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cs="宋体" w:asciiTheme="minorEastAsia" w:hAnsiTheme="minorEastAsia"/>
          <w:color w:val="auto"/>
          <w:sz w:val="48"/>
          <w:szCs w:val="48"/>
          <w:u w:val="single"/>
        </w:rPr>
      </w:pPr>
    </w:p>
    <w:p>
      <w:pPr>
        <w:pStyle w:val="9"/>
        <w:jc w:val="center"/>
        <w:rPr>
          <w:rFonts w:hint="eastAsia" w:cs="宋体" w:asciiTheme="minorEastAsia" w:hAnsiTheme="minorEastAsia"/>
          <w:color w:val="auto"/>
          <w:sz w:val="48"/>
          <w:szCs w:val="48"/>
          <w:u w:val="single"/>
        </w:rPr>
      </w:pPr>
    </w:p>
    <w:p>
      <w:pPr>
        <w:pStyle w:val="9"/>
        <w:jc w:val="center"/>
        <w:rPr>
          <w:rFonts w:hint="eastAsia" w:cs="宋体" w:asciiTheme="minorEastAsia" w:hAnsiTheme="minorEastAsia"/>
          <w:color w:val="auto"/>
          <w:sz w:val="48"/>
          <w:szCs w:val="48"/>
          <w:u w:val="single"/>
        </w:rPr>
      </w:pPr>
    </w:p>
    <w:p>
      <w:pPr>
        <w:pStyle w:val="9"/>
        <w:jc w:val="center"/>
        <w:rPr>
          <w:rFonts w:hint="eastAsia" w:cs="宋体" w:asciiTheme="minorEastAsia" w:hAnsiTheme="minorEastAsia"/>
          <w:color w:val="auto"/>
          <w:sz w:val="48"/>
          <w:szCs w:val="48"/>
          <w:u w:val="single"/>
        </w:rPr>
      </w:pPr>
    </w:p>
    <w:p>
      <w:pPr>
        <w:pStyle w:val="9"/>
        <w:jc w:val="center"/>
        <w:rPr>
          <w:rFonts w:hint="eastAsia" w:cs="宋体" w:asciiTheme="minorEastAsia" w:hAnsiTheme="minorEastAsia"/>
          <w:color w:val="auto"/>
          <w:sz w:val="48"/>
          <w:szCs w:val="48"/>
          <w:u w:val="single"/>
        </w:rPr>
      </w:pPr>
    </w:p>
    <w:p>
      <w:pPr>
        <w:pStyle w:val="9"/>
        <w:jc w:val="center"/>
        <w:rPr>
          <w:rFonts w:hint="eastAsia" w:eastAsiaTheme="minorEastAsia"/>
          <w:b/>
          <w:bCs/>
          <w:color w:val="auto"/>
          <w:sz w:val="21"/>
          <w:szCs w:val="22"/>
          <w:lang w:eastAsia="zh-CN"/>
        </w:rPr>
      </w:pPr>
      <w:r>
        <w:rPr>
          <w:rFonts w:hint="eastAsia" w:cs="宋体" w:asciiTheme="minorEastAsia" w:hAnsiTheme="minorEastAsia"/>
          <w:b/>
          <w:bCs/>
          <w:color w:val="auto"/>
          <w:sz w:val="48"/>
          <w:szCs w:val="48"/>
          <w:u w:val="single"/>
          <w:lang w:eastAsia="zh-CN"/>
        </w:rPr>
        <w:t>2025年能源运行中心碳化硅耐磨可塑料采购项目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202511013</w:t>
      </w:r>
    </w:p>
    <w:p>
      <w:pPr>
        <w:spacing w:line="360" w:lineRule="auto"/>
        <w:jc w:val="center"/>
        <w:rPr>
          <w:rFonts w:cs="仿宋" w:asciiTheme="minorEastAsia" w:hAnsiTheme="minorEastAsia"/>
          <w:b/>
          <w:bCs/>
          <w:color w:val="auto"/>
          <w:sz w:val="72"/>
          <w:szCs w:val="72"/>
        </w:rPr>
      </w:pPr>
    </w:p>
    <w:p>
      <w:pPr>
        <w:pStyle w:val="7"/>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9"/>
        <w:rPr>
          <w:color w:val="auto"/>
        </w:rPr>
      </w:pPr>
    </w:p>
    <w:p>
      <w:pPr>
        <w:rPr>
          <w:color w:val="auto"/>
        </w:rPr>
      </w:pPr>
    </w:p>
    <w:p>
      <w:pPr>
        <w:pStyle w:val="9"/>
        <w:rPr>
          <w:color w:val="auto"/>
        </w:rPr>
      </w:pPr>
    </w:p>
    <w:p>
      <w:pPr>
        <w:rPr>
          <w:color w:val="auto"/>
        </w:rPr>
      </w:pPr>
    </w:p>
    <w:p>
      <w:pPr>
        <w:spacing w:line="360" w:lineRule="auto"/>
        <w:rPr>
          <w:rFonts w:cs="仿宋" w:asciiTheme="minorEastAsia" w:hAnsiTheme="minorEastAsia"/>
          <w:color w:val="auto"/>
          <w:sz w:val="24"/>
        </w:rPr>
      </w:pPr>
    </w:p>
    <w:p>
      <w:pPr>
        <w:pStyle w:val="9"/>
        <w:rPr>
          <w:rFonts w:cs="仿宋" w:asciiTheme="minorEastAsia" w:hAnsiTheme="minorEastAsia"/>
          <w:color w:val="auto"/>
          <w:sz w:val="24"/>
          <w:szCs w:val="24"/>
        </w:rPr>
      </w:pPr>
    </w:p>
    <w:p>
      <w:pPr>
        <w:pStyle w:val="9"/>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11</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11</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35393790"/>
      <w:bookmarkStart w:id="3" w:name="_Toc28359079"/>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2025年能源运行中心碳化硅耐磨可塑料采购项目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202511013</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2025年能源运行中心碳化硅耐磨可塑料采购项目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29.23万元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lang w:val="en-US" w:eastAsia="zh-CN"/>
        </w:rPr>
        <w:t>采购碳化硅耐磨可塑料1批用于能源运行中心生活垃圾焚烧炉修复使用，</w:t>
      </w:r>
      <w:r>
        <w:rPr>
          <w:rFonts w:hint="eastAsia" w:cs="仿宋" w:asciiTheme="minorEastAsia" w:hAnsiTheme="minorEastAsia"/>
          <w:color w:val="auto"/>
          <w:sz w:val="24"/>
        </w:rPr>
        <w:t>具体要求以询价</w:t>
      </w:r>
      <w:r>
        <w:rPr>
          <w:rFonts w:hint="eastAsia" w:cs="仿宋" w:asciiTheme="minorEastAsia" w:hAnsiTheme="minorEastAsia"/>
          <w:color w:val="auto"/>
          <w:sz w:val="24"/>
          <w:lang w:val="en-US" w:eastAsia="zh-CN"/>
        </w:rPr>
        <w:t>文件</w:t>
      </w:r>
      <w:r>
        <w:rPr>
          <w:rFonts w:hint="eastAsia" w:cs="仿宋" w:asciiTheme="minorEastAsia" w:hAnsiTheme="minorEastAsia"/>
          <w:color w:val="auto"/>
          <w:sz w:val="24"/>
        </w:rPr>
        <w:t>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合同期限：</w:t>
      </w:r>
      <w:r>
        <w:rPr>
          <w:rFonts w:hint="eastAsia" w:cs="仿宋" w:asciiTheme="minorEastAsia" w:hAnsiTheme="minorEastAsia"/>
          <w:color w:val="auto"/>
          <w:sz w:val="24"/>
          <w:u w:val="single"/>
          <w:lang w:val="en-US" w:eastAsia="zh-CN"/>
        </w:rPr>
        <w:t>合同签订后2个月按照停炉计划按需供货及安装；（以采购人下达订单时间为准）。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622"/>
      <w:bookmarkStart w:id="7" w:name="_Toc28359080"/>
      <w:bookmarkStart w:id="8" w:name="_Toc28359003"/>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792"/>
      <w:bookmarkStart w:id="11" w:name="_Toc28359081"/>
      <w:bookmarkStart w:id="12" w:name="_Toc28359004"/>
      <w:bookmarkStart w:id="13" w:name="_Toc35393623"/>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pPr>
        <w:spacing w:line="360" w:lineRule="auto"/>
        <w:ind w:firstLine="480" w:firstLineChars="200"/>
        <w:rPr>
          <w:rFonts w:hint="default" w:cs="仿宋" w:asciiTheme="minorEastAsia" w:hAnsiTheme="minorEastAsia" w:eastAsiaTheme="minorEastAsia"/>
          <w:bCs/>
          <w:color w:val="auto"/>
          <w:sz w:val="24"/>
          <w:u w:val="single"/>
          <w:lang w:val="en-US" w:eastAsia="zh-CN"/>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lang w:val="en-US" w:eastAsia="zh-CN"/>
        </w:rPr>
        <w:t>具有自2023年1月1日（含）至响应文件递交截止之日至少1例单炉处理500t/d及以上垃圾焚烧发电项目耐火材料销售业绩（业绩中须含有维修或初装施工的内容）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5.供应商负责人为同一人或者存在控股、管理关系的不同单位，不得同时参加本项目。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Style w:val="14"/>
        <w:pageBreakBefore w:val="0"/>
        <w:overflowPunct/>
        <w:bidi w:val="0"/>
        <w:adjustRightInd w:val="0"/>
        <w:snapToGrid w:val="0"/>
        <w:spacing w:before="0" w:beforeAutospacing="0" w:after="0" w:afterAutospacing="0" w:line="360" w:lineRule="auto"/>
        <w:ind w:left="105" w:leftChars="50" w:firstLine="360" w:firstLineChars="150"/>
        <w:rPr>
          <w:rFonts w:hint="default" w:ascii="宋体" w:hAnsi="宋体" w:eastAsia="宋体" w:cs="宋体"/>
          <w:color w:val="auto"/>
          <w:kern w:val="2"/>
          <w:sz w:val="24"/>
          <w:szCs w:val="24"/>
          <w:highlight w:val="none"/>
          <w:lang w:val="en-US"/>
        </w:rPr>
      </w:pPr>
      <w:r>
        <w:rPr>
          <w:rFonts w:hint="default" w:cs="仿宋" w:asciiTheme="minorEastAsia" w:hAnsiTheme="minorEastAsia" w:eastAsiaTheme="minorEastAsia"/>
          <w:bCs/>
          <w:color w:val="auto"/>
          <w:kern w:val="2"/>
          <w:sz w:val="24"/>
          <w:szCs w:val="24"/>
          <w:lang w:val="en-US" w:eastAsia="zh-CN" w:bidi="ar-SA"/>
        </w:rPr>
        <w:t>7.</w:t>
      </w:r>
      <w:r>
        <w:rPr>
          <w:rFonts w:hint="eastAsia" w:cs="仿宋" w:asciiTheme="minorEastAsia" w:hAnsiTheme="minorEastAsia" w:eastAsiaTheme="minorEastAsia"/>
          <w:bCs/>
          <w:color w:val="auto"/>
          <w:kern w:val="2"/>
          <w:sz w:val="24"/>
          <w:szCs w:val="24"/>
          <w:lang w:val="en-US" w:eastAsia="zh-CN" w:bidi="ar-SA"/>
        </w:rPr>
        <w:t>本项目其他资格要求：</w:t>
      </w:r>
      <w:r>
        <w:rPr>
          <w:rFonts w:hint="eastAsia" w:cs="仿宋" w:asciiTheme="minorEastAsia" w:hAnsiTheme="minorEastAsia" w:eastAsiaTheme="minorEastAsia"/>
          <w:bCs/>
          <w:color w:val="auto"/>
          <w:kern w:val="2"/>
          <w:sz w:val="24"/>
          <w:szCs w:val="24"/>
          <w:u w:val="single"/>
          <w:lang w:val="en-US" w:eastAsia="zh-CN" w:bidi="ar-SA"/>
        </w:rPr>
        <w:t xml:space="preserve"> 无。</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28359005"/>
      <w:bookmarkStart w:id="16" w:name="_Toc35393793"/>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spacing w:line="360" w:lineRule="auto"/>
        <w:ind w:firstLine="482" w:firstLineChars="200"/>
        <w:rPr>
          <w:rFonts w:hint="eastAsia" w:eastAsia="宋体" w:cs="宋体"/>
          <w:b/>
          <w:bCs w:val="0"/>
          <w:color w:val="auto"/>
          <w:sz w:val="24"/>
          <w:szCs w:val="24"/>
          <w:u w:val="none"/>
          <w:lang w:val="en-US" w:eastAsia="zh-CN"/>
        </w:rPr>
      </w:pPr>
      <w:r>
        <w:rPr>
          <w:rFonts w:hint="eastAsia" w:cs="仿宋" w:asciiTheme="minorEastAsia" w:hAnsiTheme="minorEastAsia"/>
          <w:b/>
          <w:bCs/>
          <w:color w:val="auto"/>
          <w:sz w:val="24"/>
        </w:rPr>
        <w:t>四、询价保证金</w:t>
      </w:r>
      <w:r>
        <w:rPr>
          <w:rFonts w:hint="eastAsia" w:cs="仿宋" w:asciiTheme="minorEastAsia" w:hAnsiTheme="minorEastAsia"/>
          <w:b/>
          <w:bCs/>
          <w:color w:val="auto"/>
          <w:sz w:val="24"/>
          <w:lang w:eastAsia="zh-CN"/>
        </w:rPr>
        <w:t>：</w:t>
      </w:r>
      <w:r>
        <w:rPr>
          <w:rFonts w:hint="eastAsia" w:eastAsia="宋体" w:cs="宋体"/>
          <w:b w:val="0"/>
          <w:bCs/>
          <w:color w:val="auto"/>
          <w:sz w:val="24"/>
          <w:szCs w:val="24"/>
          <w:u w:val="none"/>
          <w:lang w:val="en-US" w:eastAsia="zh-CN"/>
        </w:rPr>
        <w:t>本项目</w:t>
      </w:r>
      <w:r>
        <w:rPr>
          <w:rFonts w:hint="eastAsia" w:eastAsia="宋体" w:cs="宋体"/>
          <w:b w:val="0"/>
          <w:bCs/>
          <w:color w:val="auto"/>
          <w:sz w:val="24"/>
          <w:szCs w:val="24"/>
          <w:u w:val="single"/>
          <w:lang w:val="en-US" w:eastAsia="zh-CN"/>
        </w:rPr>
        <w:t xml:space="preserve"> </w:t>
      </w:r>
      <w:r>
        <w:rPr>
          <w:rFonts w:hint="eastAsia" w:cs="宋体"/>
          <w:bCs/>
          <w:color w:val="auto"/>
          <w:kern w:val="2"/>
          <w:sz w:val="24"/>
          <w:szCs w:val="24"/>
          <w:u w:val="single"/>
          <w:lang w:eastAsia="zh-CN"/>
        </w:rPr>
        <w:t>☑</w:t>
      </w:r>
      <w:r>
        <w:rPr>
          <w:rFonts w:hint="eastAsia" w:eastAsia="宋体" w:cs="宋体"/>
          <w:b w:val="0"/>
          <w:bCs/>
          <w:color w:val="auto"/>
          <w:sz w:val="24"/>
          <w:szCs w:val="24"/>
          <w:u w:val="single"/>
          <w:lang w:val="en-US" w:eastAsia="zh-CN"/>
        </w:rPr>
        <w:t>需要</w:t>
      </w:r>
      <w:r>
        <w:rPr>
          <w:rFonts w:hint="eastAsia" w:cs="宋体"/>
          <w:b w:val="0"/>
          <w:bCs/>
          <w:color w:val="auto"/>
          <w:sz w:val="24"/>
          <w:szCs w:val="24"/>
          <w:u w:val="single"/>
          <w:lang w:val="en-US" w:eastAsia="zh-CN"/>
        </w:rPr>
        <w:t>/</w:t>
      </w:r>
      <w:r>
        <w:rPr>
          <w:rFonts w:hint="eastAsia" w:cs="宋体"/>
          <w:bCs/>
          <w:color w:val="auto"/>
          <w:kern w:val="2"/>
          <w:sz w:val="24"/>
          <w:szCs w:val="24"/>
          <w:u w:val="single"/>
          <w:lang w:eastAsia="zh-CN"/>
        </w:rPr>
        <w:t>□</w:t>
      </w:r>
      <w:r>
        <w:rPr>
          <w:rFonts w:hint="default" w:cs="宋体"/>
          <w:b w:val="0"/>
          <w:bCs/>
          <w:color w:val="auto"/>
          <w:sz w:val="24"/>
          <w:szCs w:val="24"/>
          <w:u w:val="single"/>
          <w:lang w:val="en-US" w:eastAsia="zh-CN"/>
        </w:rPr>
        <w:t>不需要</w:t>
      </w:r>
      <w:r>
        <w:rPr>
          <w:rFonts w:hint="eastAsia" w:cs="宋体"/>
          <w:b w:val="0"/>
          <w:bCs/>
          <w:color w:val="auto"/>
          <w:sz w:val="24"/>
          <w:szCs w:val="24"/>
          <w:u w:val="single"/>
          <w:lang w:val="en-US" w:eastAsia="zh-CN"/>
        </w:rPr>
        <w:t xml:space="preserve"> </w:t>
      </w:r>
      <w:r>
        <w:rPr>
          <w:rFonts w:hint="eastAsia" w:cs="宋体"/>
          <w:b w:val="0"/>
          <w:bCs/>
          <w:color w:val="auto"/>
          <w:sz w:val="24"/>
          <w:szCs w:val="24"/>
          <w:u w:val="none"/>
          <w:lang w:val="en-US" w:eastAsia="zh-CN"/>
        </w:rPr>
        <w:t>交纳</w:t>
      </w:r>
      <w:r>
        <w:rPr>
          <w:rFonts w:hint="eastAsia" w:cs="宋体"/>
          <w:b w:val="0"/>
          <w:bCs/>
          <w:color w:val="auto"/>
          <w:sz w:val="24"/>
          <w:szCs w:val="24"/>
          <w:lang w:val="en-US" w:eastAsia="zh-CN"/>
        </w:rPr>
        <w:t>询价</w:t>
      </w:r>
      <w:r>
        <w:rPr>
          <w:rFonts w:hint="default" w:cs="宋体"/>
          <w:b w:val="0"/>
          <w:bCs/>
          <w:color w:val="auto"/>
          <w:sz w:val="24"/>
          <w:szCs w:val="24"/>
          <w:lang w:val="en-US" w:eastAsia="zh-CN"/>
        </w:rPr>
        <w:t>保证</w:t>
      </w:r>
      <w:r>
        <w:rPr>
          <w:rFonts w:hint="eastAsia" w:cs="宋体"/>
          <w:b w:val="0"/>
          <w:bCs/>
          <w:color w:val="auto"/>
          <w:sz w:val="24"/>
          <w:szCs w:val="24"/>
          <w:lang w:val="en-US" w:eastAsia="zh-CN"/>
        </w:rPr>
        <w:t>金。交纳投标保证金</w:t>
      </w:r>
      <w:r>
        <w:rPr>
          <w:rFonts w:hint="eastAsia" w:cs="宋体"/>
          <w:color w:val="auto"/>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5800</w:t>
      </w:r>
      <w:r>
        <w:rPr>
          <w:rFonts w:hint="eastAsia" w:cs="仿宋" w:asciiTheme="minorEastAsia" w:hAnsiTheme="minorEastAsia" w:eastAsiaTheme="minorEastAsia"/>
          <w:b w:val="0"/>
          <w:bCs/>
          <w:color w:val="auto"/>
          <w:kern w:val="2"/>
          <w:sz w:val="24"/>
          <w:szCs w:val="24"/>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u w:val="single"/>
          <w:lang w:val="en-US" w:eastAsia="zh-CN" w:bidi="ar-SA"/>
        </w:rPr>
        <w:t>2025年能源运行中心碳化硅耐磨可塑料采购项目询价保证金</w:t>
      </w:r>
      <w:r>
        <w:rPr>
          <w:rFonts w:hint="eastAsia" w:cs="仿宋" w:asciiTheme="minorEastAsia" w:hAnsiTheme="minorEastAsia" w:eastAsiaTheme="minorEastAsia"/>
          <w:b w:val="0"/>
          <w:bCs/>
          <w:color w:val="auto"/>
          <w:kern w:val="2"/>
          <w:sz w:val="24"/>
          <w:szCs w:val="24"/>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lang w:val="en-US" w:eastAsia="zh-CN" w:bidi="ar-SA"/>
        </w:rPr>
        <w:t>（</w:t>
      </w:r>
      <w:r>
        <w:rPr>
          <w:rFonts w:hint="eastAsia" w:ascii="宋体" w:hAnsi="宋体" w:eastAsia="宋体" w:cs="宋体"/>
          <w:b/>
          <w:bCs w:val="0"/>
          <w:color w:val="auto"/>
          <w:sz w:val="24"/>
          <w:szCs w:val="24"/>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户    名：</w:t>
      </w:r>
      <w:r>
        <w:rPr>
          <w:rFonts w:hint="eastAsia" w:cs="仿宋" w:asciiTheme="minorEastAsia" w:hAnsiTheme="minorEastAsia" w:eastAsiaTheme="minorEastAsia"/>
          <w:b w:val="0"/>
          <w:bCs/>
          <w:color w:val="auto"/>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开户银行：</w:t>
      </w:r>
      <w:r>
        <w:rPr>
          <w:rFonts w:hint="eastAsia" w:cs="仿宋" w:asciiTheme="minorEastAsia" w:hAnsiTheme="minorEastAsia" w:eastAsiaTheme="minorEastAsia"/>
          <w:b w:val="0"/>
          <w:bCs/>
          <w:color w:val="auto"/>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帐    号：</w:t>
      </w:r>
      <w:r>
        <w:rPr>
          <w:rFonts w:hint="eastAsia" w:cs="仿宋" w:asciiTheme="minorEastAsia" w:hAnsiTheme="minorEastAsia" w:eastAsiaTheme="minorEastAsia"/>
          <w:b w:val="0"/>
          <w:bCs/>
          <w:color w:val="auto"/>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color w:val="auto"/>
          <w:sz w:val="24"/>
          <w:lang w:val="en-US" w:eastAsia="zh-CN"/>
        </w:rPr>
      </w:pPr>
      <w:r>
        <w:rPr>
          <w:rFonts w:hint="eastAsia" w:cs="仿宋" w:asciiTheme="minorEastAsia" w:hAnsiTheme="minorEastAsia"/>
          <w:b/>
          <w:bCs/>
          <w:color w:val="auto"/>
          <w:sz w:val="24"/>
        </w:rPr>
        <w:t>五、响应文件递交</w:t>
      </w:r>
      <w:r>
        <w:rPr>
          <w:rFonts w:hint="eastAsia" w:cs="仿宋" w:asciiTheme="minorEastAsia" w:hAnsiTheme="minorEastAsia"/>
          <w:b/>
          <w:bCs/>
          <w:color w:val="auto"/>
          <w:sz w:val="24"/>
          <w:lang w:val="en-US" w:eastAsia="zh-CN"/>
        </w:rPr>
        <w:t>及开启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递交</w:t>
      </w:r>
      <w:r>
        <w:rPr>
          <w:rFonts w:hint="eastAsia" w:cs="仿宋" w:asciiTheme="minorEastAsia" w:hAnsiTheme="minorEastAsia"/>
          <w:color w:val="auto"/>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color w:val="auto"/>
          <w:sz w:val="24"/>
          <w:u w:val="single"/>
          <w:lang w:eastAsia="zh-CN"/>
        </w:rPr>
        <w:t>年</w:t>
      </w:r>
      <w:r>
        <w:rPr>
          <w:rFonts w:hint="eastAsia" w:cs="仿宋" w:asciiTheme="minorEastAsia" w:hAnsiTheme="minorEastAsia"/>
          <w:color w:val="auto"/>
          <w:sz w:val="24"/>
          <w:u w:val="single"/>
          <w:lang w:val="en-US" w:eastAsia="zh-CN"/>
        </w:rPr>
        <w:t>11</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17</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15</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pPr>
        <w:spacing w:line="360" w:lineRule="auto"/>
        <w:ind w:firstLine="480" w:firstLineChars="200"/>
        <w:rPr>
          <w:color w:val="auto"/>
        </w:rPr>
      </w:pPr>
      <w:r>
        <w:rPr>
          <w:rFonts w:hint="eastAsia" w:cs="仿宋" w:asciiTheme="minorEastAsia" w:hAnsiTheme="minorEastAsia"/>
          <w:color w:val="auto"/>
          <w:sz w:val="24"/>
        </w:rPr>
        <w:t>3</w:t>
      </w:r>
      <w:r>
        <w:rPr>
          <w:rFonts w:hint="eastAsia" w:cs="仿宋" w:asciiTheme="minorEastAsia" w:hAnsiTheme="minorEastAsia"/>
          <w:color w:val="auto"/>
          <w:sz w:val="24"/>
          <w:lang w:val="en-US" w:eastAsia="zh-CN"/>
        </w:rPr>
        <w:t>.</w:t>
      </w:r>
      <w:r>
        <w:rPr>
          <w:rFonts w:hint="eastAsia" w:cs="仿宋" w:asciiTheme="minorEastAsia" w:hAnsiTheme="minorEastAsia"/>
          <w:color w:val="auto"/>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六、</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）结果确认：各供应商在线回复确认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或未参加线上</w:t>
      </w:r>
      <w:r>
        <w:rPr>
          <w:rFonts w:hint="eastAsia" w:cs="仿宋" w:asciiTheme="minorEastAsia" w:hAnsiTheme="minorEastAsia"/>
          <w:color w:val="auto"/>
          <w:sz w:val="24"/>
          <w:lang w:val="en-US" w:eastAsia="zh-CN"/>
        </w:rPr>
        <w:t>会议</w:t>
      </w:r>
      <w:r>
        <w:rPr>
          <w:rFonts w:hint="eastAsia" w:cs="仿宋" w:asciiTheme="minorEastAsia" w:hAnsiTheme="minorEastAsia"/>
          <w:color w:val="auto"/>
          <w:sz w:val="24"/>
        </w:rPr>
        <w:t>，视为认可全过程和结果，不得提出异议。</w:t>
      </w:r>
    </w:p>
    <w:p>
      <w:pPr>
        <w:spacing w:line="360" w:lineRule="auto"/>
        <w:ind w:firstLine="480" w:firstLineChars="200"/>
        <w:rPr>
          <w:color w:val="auto"/>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）异议处理：供应商对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u w:val="none"/>
          <w:lang w:eastAsia="zh-CN"/>
        </w:rPr>
        <w:t>ljhj_cg1@ljhjny.com</w:t>
      </w:r>
      <w:r>
        <w:rPr>
          <w:rFonts w:hint="eastAsia" w:cs="仿宋" w:asciiTheme="minorEastAsia" w:hAnsiTheme="minorEastAsia"/>
          <w:color w:val="auto"/>
          <w:sz w:val="24"/>
        </w:rPr>
        <w:t>提出质疑，同时联系本项目采购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w:t>
      </w:r>
      <w:r>
        <w:rPr>
          <w:rFonts w:hint="eastAsia" w:cs="仿宋" w:asciiTheme="minorEastAsia" w:hAnsiTheme="minorEastAsia"/>
          <w:color w:val="auto"/>
          <w:sz w:val="24"/>
          <w:lang w:val="en-US" w:eastAsia="zh-CN"/>
        </w:rPr>
        <w:t>15258849018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000000" w:themeColor="text1"/>
          <w:sz w:val="24"/>
          <w:lang w:val="en-US" w:eastAsia="zh-CN"/>
          <w14:textFill>
            <w14:solidFill>
              <w14:schemeClr w14:val="tx1"/>
            </w14:solidFill>
          </w14:textFill>
        </w:rPr>
      </w:pPr>
      <w:r>
        <w:rPr>
          <w:rFonts w:hint="eastAsia" w:cs="仿宋" w:asciiTheme="minorEastAsia" w:hAnsiTheme="minorEastAsia"/>
          <w:b/>
          <w:bCs/>
          <w:color w:val="000000" w:themeColor="text1"/>
          <w:sz w:val="24"/>
          <w:lang w:val="en-US" w:eastAsia="zh-CN"/>
          <w14:textFill>
            <w14:solidFill>
              <w14:schemeClr w14:val="tx1"/>
            </w14:solidFill>
          </w14:textFill>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监管单位：</w:t>
      </w:r>
      <w:r>
        <w:rPr>
          <w:rFonts w:hint="eastAsia" w:cs="仿宋" w:asciiTheme="minorEastAsia" w:hAnsiTheme="minorEastAsia"/>
          <w:color w:val="000000" w:themeColor="text1"/>
          <w:sz w:val="24"/>
          <w:lang w:val="en-US" w:eastAsia="zh-CN"/>
          <w14:textFill>
            <w14:solidFill>
              <w14:schemeClr w14:val="tx1"/>
            </w14:solidFill>
          </w14:textFill>
        </w:rPr>
        <w:t xml:space="preserve"> 杭州临江环境能源有限公司监察审计部</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地    址：</w:t>
      </w:r>
      <w:r>
        <w:rPr>
          <w:rFonts w:hint="eastAsia" w:cs="仿宋" w:asciiTheme="minorEastAsia" w:hAnsiTheme="minorEastAsia"/>
          <w:color w:val="000000" w:themeColor="text1"/>
          <w:sz w:val="24"/>
          <w:lang w:eastAsia="zh-CN"/>
          <w14:textFill>
            <w14:solidFill>
              <w14:schemeClr w14:val="tx1"/>
            </w14:solidFill>
          </w14:textFill>
        </w:rPr>
        <w:t>浙江省杭州市钱塘区临江街道红十五路10388-123号</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联 系 人：</w:t>
      </w:r>
      <w:r>
        <w:rPr>
          <w:rFonts w:hint="eastAsia" w:cs="仿宋" w:asciiTheme="minorEastAsia" w:hAnsiTheme="minorEastAsia"/>
          <w:color w:val="000000" w:themeColor="text1"/>
          <w:sz w:val="24"/>
          <w:lang w:val="en-US" w:eastAsia="zh-CN"/>
          <w14:textFill>
            <w14:solidFill>
              <w14:schemeClr w14:val="tx1"/>
            </w14:solidFill>
          </w14:textFill>
        </w:rPr>
        <w:t>吕工</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电    话：</w:t>
      </w:r>
      <w:r>
        <w:rPr>
          <w:rFonts w:hint="eastAsia" w:cs="仿宋" w:asciiTheme="minorEastAsia" w:hAnsiTheme="minorEastAsia"/>
          <w:color w:val="000000" w:themeColor="text1"/>
          <w:sz w:val="24"/>
          <w:lang w:val="en-US" w:eastAsia="zh-CN"/>
          <w14:textFill>
            <w14:solidFill>
              <w14:schemeClr w14:val="tx1"/>
            </w14:solidFill>
          </w14:textFill>
        </w:rPr>
        <w:t>0571-81997962</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000000" w:themeColor="text1"/>
          <w:sz w:val="24"/>
          <w:lang w:val="en-US" w:eastAsia="zh-CN"/>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000000" w:themeColor="text1"/>
          <w:sz w:val="24"/>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000000" w:themeColor="text1"/>
          <w:sz w:val="24"/>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杭州</w:t>
      </w:r>
      <w:r>
        <w:rPr>
          <w:rFonts w:hint="eastAsia" w:cs="仿宋" w:asciiTheme="minorEastAsia" w:hAnsiTheme="minorEastAsia"/>
          <w:color w:val="000000" w:themeColor="text1"/>
          <w:sz w:val="24"/>
          <w:lang w:eastAsia="zh-CN"/>
          <w14:textFill>
            <w14:solidFill>
              <w14:schemeClr w14:val="tx1"/>
            </w14:solidFill>
          </w14:textFill>
        </w:rPr>
        <w:t>临江环境能源</w:t>
      </w:r>
      <w:r>
        <w:rPr>
          <w:rFonts w:hint="eastAsia" w:cs="仿宋" w:asciiTheme="minorEastAsia" w:hAnsiTheme="minorEastAsia"/>
          <w:color w:val="000000" w:themeColor="text1"/>
          <w:sz w:val="24"/>
          <w14:textFill>
            <w14:solidFill>
              <w14:schemeClr w14:val="tx1"/>
            </w14:solidFill>
          </w14:textFill>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000000" w:themeColor="text1"/>
          <w:sz w:val="24"/>
          <w14:textFill>
            <w14:solidFill>
              <w14:schemeClr w14:val="tx1"/>
            </w14:solidFill>
          </w14:textFill>
        </w:rPr>
      </w:pPr>
      <w:r>
        <w:rPr>
          <w:rFonts w:hint="eastAsia" w:cs="仿宋" w:asciiTheme="minorEastAsia" w:hAnsiTheme="minorEastAsia"/>
          <w:color w:val="000000" w:themeColor="text1"/>
          <w:sz w:val="24"/>
          <w:lang w:val="en-US" w:eastAsia="zh-CN"/>
          <w14:textFill>
            <w14:solidFill>
              <w14:schemeClr w14:val="tx1"/>
            </w14:solidFill>
          </w14:textFill>
        </w:rPr>
        <w:t>2025</w:t>
      </w:r>
      <w:r>
        <w:rPr>
          <w:rFonts w:hint="default" w:cs="仿宋" w:asciiTheme="minorEastAsia" w:hAnsiTheme="minorEastAsia"/>
          <w:color w:val="000000" w:themeColor="text1"/>
          <w:sz w:val="24"/>
          <w:lang w:val="en-US"/>
          <w14:textFill>
            <w14:solidFill>
              <w14:schemeClr w14:val="tx1"/>
            </w14:solidFill>
          </w14:textFill>
        </w:rPr>
        <w:t>年</w:t>
      </w:r>
      <w:r>
        <w:rPr>
          <w:rFonts w:hint="eastAsia" w:cs="仿宋" w:asciiTheme="minorEastAsia" w:hAnsiTheme="minorEastAsia"/>
          <w:color w:val="000000" w:themeColor="text1"/>
          <w:sz w:val="24"/>
          <w:lang w:val="en-US" w:eastAsia="zh-CN"/>
          <w14:textFill>
            <w14:solidFill>
              <w14:schemeClr w14:val="tx1"/>
            </w14:solidFill>
          </w14:textFill>
        </w:rPr>
        <w:t>11月11</w:t>
      </w:r>
      <w:bookmarkStart w:id="518" w:name="_GoBack"/>
      <w:bookmarkEnd w:id="518"/>
      <w:r>
        <w:rPr>
          <w:rFonts w:hint="eastAsia" w:cs="仿宋" w:asciiTheme="minorEastAsia" w:hAnsiTheme="minorEastAsia"/>
          <w:color w:val="000000" w:themeColor="text1"/>
          <w:sz w:val="24"/>
          <w14:textFill>
            <w14:solidFill>
              <w14:schemeClr w14:val="tx1"/>
            </w14:solidFill>
          </w14:textFill>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15"/>
        <w:rPr>
          <w:rFonts w:cs="仿宋" w:asciiTheme="minorEastAsia" w:hAnsiTheme="minorEastAsia"/>
          <w:b/>
          <w:bCs/>
          <w:sz w:val="36"/>
          <w:szCs w:val="36"/>
        </w:rPr>
      </w:pPr>
    </w:p>
    <w:p>
      <w:pPr>
        <w:rPr>
          <w:rFonts w:cs="仿宋" w:asciiTheme="minorEastAsia" w:hAnsiTheme="minorEastAsia"/>
          <w:b/>
          <w:bCs/>
          <w:sz w:val="36"/>
          <w:szCs w:val="36"/>
        </w:rPr>
      </w:pPr>
    </w:p>
    <w:p>
      <w:pPr>
        <w:rPr>
          <w:rFonts w:cs="仿宋" w:asciiTheme="minorEastAsia" w:hAnsiTheme="minorEastAsia"/>
          <w:b/>
          <w:bCs/>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是否分册装订：</w:t>
            </w:r>
          </w:p>
          <w:p>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7"/>
        <w:rPr>
          <w:rFonts w:cs="仿宋" w:asciiTheme="minorEastAsia" w:hAnsiTheme="minorEastAsia"/>
          <w:b/>
          <w:sz w:val="32"/>
          <w:szCs w:val="20"/>
        </w:rPr>
      </w:pPr>
    </w:p>
    <w:p/>
    <w:p/>
    <w:p/>
    <w:p/>
    <w:p/>
    <w:p/>
    <w:p/>
    <w:p/>
    <w:p/>
    <w:p/>
    <w:p/>
    <w:p/>
    <w:p/>
    <w:p/>
    <w:p/>
    <w:p/>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3"/>
        <w:spacing w:before="0"/>
        <w:ind w:firstLine="0" w:firstLineChars="0"/>
        <w:jc w:val="center"/>
        <w:rPr>
          <w:rFonts w:cs="仿宋" w:asciiTheme="minorEastAsia" w:hAnsiTheme="minorEastAsia"/>
          <w:b/>
          <w:sz w:val="32"/>
        </w:rPr>
      </w:pPr>
    </w:p>
    <w:p>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3"/>
        <w:spacing w:before="0"/>
        <w:ind w:firstLine="495" w:firstLineChars="0"/>
        <w:rPr>
          <w:rFonts w:cs="仿宋" w:asciiTheme="minorEastAsia" w:hAnsiTheme="minorEastAsia"/>
          <w:kern w:val="0"/>
          <w:szCs w:val="24"/>
        </w:rPr>
      </w:pPr>
    </w:p>
    <w:p>
      <w:pPr>
        <w:pStyle w:val="23"/>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8"/>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8"/>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headerReference r:id="rId15" w:type="default"/>
          <w:footerReference r:id="rId16" w:type="default"/>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color w:val="auto"/>
          <w:lang w:val="en-US" w:eastAsia="zh-CN"/>
        </w:rPr>
      </w:pPr>
      <w:r>
        <w:rPr>
          <w:rFonts w:hint="eastAsia" w:hAnsi="宋体" w:cs="宋体"/>
          <w:bCs/>
          <w:color w:val="auto"/>
          <w:sz w:val="24"/>
          <w:highlight w:val="none"/>
          <w:lang w:val="en-US" w:eastAsia="zh-CN"/>
        </w:rPr>
        <w:t>采购碳化硅耐磨可塑料1批用于能源运行中心生活垃圾焚烧炉修复使用。清单</w:t>
      </w:r>
      <w:r>
        <w:rPr>
          <w:rFonts w:hint="eastAsia"/>
          <w:color w:val="auto"/>
          <w:lang w:val="en-US" w:eastAsia="zh-CN"/>
        </w:rPr>
        <w:t>具体如下：</w:t>
      </w:r>
    </w:p>
    <w:tbl>
      <w:tblPr>
        <w:tblStyle w:val="18"/>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081"/>
        <w:gridCol w:w="1089"/>
        <w:gridCol w:w="965"/>
        <w:gridCol w:w="4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24" w:type="dxa"/>
            <w:vAlign w:val="center"/>
          </w:tcPr>
          <w:p>
            <w:pPr>
              <w:widowControl w:val="0"/>
              <w:kinsoku/>
              <w:autoSpaceDE/>
              <w:autoSpaceDN/>
              <w:adjustRightInd/>
              <w:snapToGrid/>
              <w:spacing w:line="360" w:lineRule="auto"/>
              <w:jc w:val="center"/>
              <w:textAlignment w:val="auto"/>
              <w:rPr>
                <w:rFonts w:hint="eastAsia" w:ascii="宋体" w:hAnsi="宋体" w:eastAsia="宋体" w:cs="宋体"/>
                <w:snapToGrid/>
                <w:kern w:val="2"/>
                <w:lang w:val="en-US" w:eastAsia="zh-CN"/>
              </w:rPr>
            </w:pPr>
            <w:r>
              <w:rPr>
                <w:rFonts w:hint="eastAsia" w:ascii="宋体" w:hAnsi="宋体" w:eastAsia="宋体" w:cs="宋体"/>
                <w:snapToGrid/>
                <w:kern w:val="2"/>
                <w:lang w:val="en-US" w:eastAsia="zh-CN"/>
              </w:rPr>
              <w:t>序号</w:t>
            </w:r>
          </w:p>
        </w:tc>
        <w:tc>
          <w:tcPr>
            <w:tcW w:w="1081" w:type="dxa"/>
            <w:vAlign w:val="center"/>
          </w:tcPr>
          <w:p>
            <w:pPr>
              <w:widowControl w:val="0"/>
              <w:kinsoku/>
              <w:autoSpaceDE/>
              <w:autoSpaceDN/>
              <w:adjustRightInd/>
              <w:snapToGrid/>
              <w:spacing w:line="360" w:lineRule="auto"/>
              <w:jc w:val="center"/>
              <w:textAlignment w:val="auto"/>
              <w:rPr>
                <w:rFonts w:ascii="宋体" w:hAnsi="宋体" w:eastAsia="宋体" w:cs="宋体"/>
                <w:snapToGrid/>
                <w:kern w:val="2"/>
              </w:rPr>
            </w:pPr>
            <w:r>
              <w:rPr>
                <w:rFonts w:hint="eastAsia" w:ascii="宋体" w:hAnsi="宋体" w:eastAsia="宋体" w:cs="宋体"/>
                <w:snapToGrid/>
                <w:kern w:val="2"/>
              </w:rPr>
              <w:t>产品名称</w:t>
            </w:r>
          </w:p>
        </w:tc>
        <w:tc>
          <w:tcPr>
            <w:tcW w:w="1089" w:type="dxa"/>
            <w:vAlign w:val="center"/>
          </w:tcPr>
          <w:p>
            <w:pPr>
              <w:widowControl w:val="0"/>
              <w:kinsoku/>
              <w:autoSpaceDE/>
              <w:autoSpaceDN/>
              <w:adjustRightInd/>
              <w:snapToGrid/>
              <w:spacing w:line="360" w:lineRule="auto"/>
              <w:jc w:val="center"/>
              <w:textAlignment w:val="auto"/>
              <w:rPr>
                <w:rFonts w:ascii="宋体" w:hAnsi="宋体" w:eastAsia="宋体" w:cs="宋体"/>
                <w:snapToGrid/>
                <w:kern w:val="2"/>
              </w:rPr>
            </w:pPr>
            <w:r>
              <w:rPr>
                <w:rFonts w:hint="eastAsia" w:ascii="宋体" w:hAnsi="宋体" w:eastAsia="宋体" w:cs="宋体"/>
                <w:snapToGrid/>
                <w:kern w:val="2"/>
              </w:rPr>
              <w:t>预估用量</w:t>
            </w:r>
          </w:p>
        </w:tc>
        <w:tc>
          <w:tcPr>
            <w:tcW w:w="965" w:type="dxa"/>
            <w:vAlign w:val="center"/>
          </w:tcPr>
          <w:p>
            <w:pPr>
              <w:widowControl w:val="0"/>
              <w:kinsoku/>
              <w:autoSpaceDE/>
              <w:autoSpaceDN/>
              <w:adjustRightInd/>
              <w:snapToGrid/>
              <w:spacing w:line="360" w:lineRule="auto"/>
              <w:jc w:val="center"/>
              <w:textAlignment w:val="auto"/>
              <w:rPr>
                <w:rFonts w:ascii="宋体" w:hAnsi="宋体" w:eastAsia="宋体" w:cs="宋体"/>
                <w:snapToGrid/>
                <w:kern w:val="2"/>
              </w:rPr>
            </w:pPr>
            <w:r>
              <w:rPr>
                <w:rFonts w:hint="eastAsia" w:ascii="宋体" w:hAnsi="宋体" w:eastAsia="宋体" w:cs="宋体"/>
                <w:snapToGrid/>
                <w:kern w:val="2"/>
              </w:rPr>
              <w:t>单位</w:t>
            </w:r>
          </w:p>
        </w:tc>
        <w:tc>
          <w:tcPr>
            <w:tcW w:w="4898" w:type="dxa"/>
            <w:vAlign w:val="center"/>
          </w:tcPr>
          <w:p>
            <w:pPr>
              <w:widowControl w:val="0"/>
              <w:kinsoku/>
              <w:autoSpaceDE/>
              <w:autoSpaceDN/>
              <w:adjustRightInd/>
              <w:snapToGrid/>
              <w:spacing w:line="360" w:lineRule="auto"/>
              <w:jc w:val="center"/>
              <w:textAlignment w:val="auto"/>
              <w:rPr>
                <w:rFonts w:ascii="宋体" w:hAnsi="宋体" w:eastAsia="宋体" w:cs="宋体"/>
                <w:snapToGrid/>
                <w:kern w:val="2"/>
              </w:rPr>
            </w:pPr>
            <w:r>
              <w:rPr>
                <w:rFonts w:hint="eastAsia" w:ascii="宋体" w:hAnsi="宋体" w:eastAsia="宋体" w:cs="宋体"/>
                <w:snapToGrid/>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724" w:type="dxa"/>
            <w:vAlign w:val="center"/>
          </w:tcPr>
          <w:p>
            <w:pPr>
              <w:widowControl w:val="0"/>
              <w:kinsoku/>
              <w:autoSpaceDE/>
              <w:autoSpaceDN/>
              <w:adjustRightInd/>
              <w:snapToGrid/>
              <w:spacing w:line="360" w:lineRule="auto"/>
              <w:jc w:val="center"/>
              <w:textAlignment w:val="auto"/>
              <w:rPr>
                <w:rFonts w:hint="eastAsia" w:ascii="宋体" w:hAnsi="宋体" w:eastAsia="宋体" w:cs="宋体"/>
                <w:snapToGrid/>
                <w:lang w:val="en-US" w:eastAsia="zh-CN"/>
              </w:rPr>
            </w:pPr>
            <w:r>
              <w:rPr>
                <w:rFonts w:hint="eastAsia" w:ascii="宋体" w:hAnsi="宋体" w:eastAsia="宋体" w:cs="宋体"/>
                <w:snapToGrid/>
                <w:lang w:val="en-US" w:eastAsia="zh-CN"/>
              </w:rPr>
              <w:t>1</w:t>
            </w:r>
          </w:p>
        </w:tc>
        <w:tc>
          <w:tcPr>
            <w:tcW w:w="1081" w:type="dxa"/>
            <w:vAlign w:val="center"/>
          </w:tcPr>
          <w:p>
            <w:pPr>
              <w:widowControl w:val="0"/>
              <w:kinsoku/>
              <w:autoSpaceDE/>
              <w:autoSpaceDN/>
              <w:adjustRightInd/>
              <w:snapToGrid/>
              <w:spacing w:line="360" w:lineRule="auto"/>
              <w:jc w:val="center"/>
              <w:textAlignment w:val="auto"/>
              <w:rPr>
                <w:rFonts w:ascii="宋体" w:hAnsi="宋体" w:eastAsia="宋体" w:cs="宋体"/>
                <w:snapToGrid/>
              </w:rPr>
            </w:pPr>
            <w:r>
              <w:rPr>
                <w:rFonts w:hint="eastAsia" w:ascii="宋体" w:hAnsi="宋体" w:eastAsia="宋体" w:cs="宋体"/>
                <w:snapToGrid/>
              </w:rPr>
              <w:t>碳化硅耐磨可塑料</w:t>
            </w:r>
          </w:p>
        </w:tc>
        <w:tc>
          <w:tcPr>
            <w:tcW w:w="1089" w:type="dxa"/>
            <w:vAlign w:val="center"/>
          </w:tcPr>
          <w:p>
            <w:pPr>
              <w:widowControl w:val="0"/>
              <w:kinsoku/>
              <w:autoSpaceDE/>
              <w:autoSpaceDN/>
              <w:adjustRightInd/>
              <w:snapToGrid/>
              <w:spacing w:line="360" w:lineRule="auto"/>
              <w:jc w:val="center"/>
              <w:textAlignment w:val="auto"/>
              <w:rPr>
                <w:rFonts w:hint="default" w:ascii="宋体" w:hAnsi="宋体" w:eastAsia="宋体" w:cs="宋体"/>
                <w:snapToGrid/>
                <w:lang w:val="en-US" w:eastAsia="zh-CN"/>
              </w:rPr>
            </w:pPr>
            <w:r>
              <w:rPr>
                <w:rFonts w:hint="eastAsia" w:ascii="宋体" w:hAnsi="宋体" w:eastAsia="宋体" w:cs="宋体"/>
                <w:snapToGrid/>
                <w:lang w:val="en-US" w:eastAsia="zh-CN"/>
              </w:rPr>
              <w:t>37</w:t>
            </w:r>
          </w:p>
        </w:tc>
        <w:tc>
          <w:tcPr>
            <w:tcW w:w="965" w:type="dxa"/>
            <w:vAlign w:val="center"/>
          </w:tcPr>
          <w:p>
            <w:pPr>
              <w:widowControl w:val="0"/>
              <w:kinsoku/>
              <w:autoSpaceDE/>
              <w:autoSpaceDN/>
              <w:adjustRightInd/>
              <w:snapToGrid/>
              <w:spacing w:line="360" w:lineRule="auto"/>
              <w:jc w:val="center"/>
              <w:textAlignment w:val="auto"/>
              <w:rPr>
                <w:rFonts w:ascii="宋体" w:hAnsi="宋体" w:eastAsia="宋体" w:cs="宋体"/>
                <w:snapToGrid/>
              </w:rPr>
            </w:pPr>
            <w:r>
              <w:rPr>
                <w:rFonts w:hint="eastAsia" w:ascii="宋体" w:hAnsi="宋体" w:eastAsia="宋体" w:cs="宋体"/>
                <w:snapToGrid/>
              </w:rPr>
              <w:t>吨</w:t>
            </w:r>
          </w:p>
        </w:tc>
        <w:tc>
          <w:tcPr>
            <w:tcW w:w="4898" w:type="dxa"/>
          </w:tcPr>
          <w:p>
            <w:pPr>
              <w:widowControl w:val="0"/>
              <w:kinsoku/>
              <w:autoSpaceDE/>
              <w:autoSpaceDN/>
              <w:adjustRightInd/>
              <w:snapToGrid/>
              <w:spacing w:line="360" w:lineRule="auto"/>
              <w:ind w:firstLine="420" w:firstLineChars="200"/>
              <w:jc w:val="center"/>
              <w:textAlignment w:val="auto"/>
              <w:rPr>
                <w:rFonts w:ascii="宋体" w:hAnsi="宋体" w:eastAsia="宋体" w:cs="宋体"/>
                <w:snapToGrid/>
              </w:rPr>
            </w:pPr>
            <w:r>
              <w:rPr>
                <w:rFonts w:hint="eastAsia" w:ascii="宋体" w:hAnsi="宋体" w:eastAsia="宋体" w:cs="宋体"/>
                <w:snapToGrid/>
              </w:rPr>
              <w:t>材料价格包含辅材（抓钉、</w:t>
            </w:r>
            <w:r>
              <w:rPr>
                <w:rFonts w:hint="eastAsia" w:ascii="宋体" w:hAnsi="宋体" w:eastAsia="宋体" w:cs="宋体"/>
                <w:snapToGrid/>
                <w:lang w:val="en-US" w:eastAsia="zh-CN"/>
              </w:rPr>
              <w:t>耐热钢筋、</w:t>
            </w:r>
            <w:r>
              <w:rPr>
                <w:rFonts w:hint="eastAsia" w:ascii="宋体" w:hAnsi="宋体" w:eastAsia="宋体" w:cs="宋体"/>
                <w:snapToGrid/>
              </w:rPr>
              <w:t>耐火泥等所有）、运输费、施工费、工具设备、模板、安全措施费、</w:t>
            </w:r>
            <w:r>
              <w:rPr>
                <w:rFonts w:hint="eastAsia" w:ascii="宋体" w:hAnsi="宋体" w:eastAsia="宋体" w:cs="宋体"/>
                <w:b/>
                <w:bCs/>
                <w:snapToGrid/>
              </w:rPr>
              <w:t>脚手架搭设（需要提供方案并经</w:t>
            </w:r>
            <w:r>
              <w:rPr>
                <w:rFonts w:hint="eastAsia" w:ascii="宋体" w:hAnsi="宋体" w:eastAsia="宋体" w:cs="宋体"/>
                <w:b/>
                <w:bCs/>
                <w:snapToGrid/>
                <w:lang w:val="en-US" w:eastAsia="zh-CN"/>
              </w:rPr>
              <w:t>采购人</w:t>
            </w:r>
            <w:r>
              <w:rPr>
                <w:rFonts w:hint="eastAsia" w:ascii="宋体" w:hAnsi="宋体" w:eastAsia="宋体" w:cs="宋体"/>
                <w:b/>
                <w:bCs/>
                <w:snapToGrid/>
              </w:rPr>
              <w:t>验收）、原残留浇注料拆除、</w:t>
            </w:r>
            <w:r>
              <w:rPr>
                <w:rFonts w:hint="eastAsia" w:ascii="宋体" w:hAnsi="宋体" w:eastAsia="宋体" w:cs="宋体"/>
                <w:snapToGrid/>
              </w:rPr>
              <w:t>设备设施等一切费用。</w:t>
            </w:r>
          </w:p>
        </w:tc>
      </w:tr>
    </w:tbl>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cs="仿宋" w:asciiTheme="minorEastAsia" w:hAnsiTheme="minorEastAsia"/>
          <w:color w:val="auto"/>
          <w:sz w:val="24"/>
          <w:u w:val="single"/>
          <w:lang w:val="en-US" w:eastAsia="zh-CN"/>
        </w:rPr>
        <w:t>合同签订后2个月按照停炉计划按需供货（以采购人下达订单时间为准）。</w:t>
      </w:r>
    </w:p>
    <w:p>
      <w:pPr>
        <w:pStyle w:val="7"/>
        <w:ind w:firstLine="482" w:firstLineChars="200"/>
        <w:rPr>
          <w:rFonts w:hint="eastAsia"/>
          <w:b w:val="0"/>
          <w:bCs w:val="0"/>
          <w:color w:val="auto"/>
          <w:highlight w:val="none"/>
          <w:lang w:val="en-US" w:eastAsia="zh-CN"/>
        </w:rPr>
      </w:pPr>
      <w:r>
        <w:rPr>
          <w:rFonts w:hint="eastAsia"/>
          <w:b/>
          <w:bCs/>
          <w:lang w:val="en-US" w:eastAsia="zh-CN"/>
        </w:rPr>
        <w:t>三</w:t>
      </w:r>
      <w:r>
        <w:rPr>
          <w:rFonts w:hint="eastAsia"/>
          <w:b/>
          <w:bCs/>
          <w:lang w:val="en-US"/>
        </w:rPr>
        <w:t>、</w:t>
      </w:r>
      <w:r>
        <w:rPr>
          <w:rFonts w:hint="eastAsia"/>
          <w:b/>
          <w:bCs/>
          <w:lang w:val="en-US" w:eastAsia="zh-CN"/>
        </w:rPr>
        <w:t>履约方式：</w:t>
      </w:r>
      <w:r>
        <w:rPr>
          <w:rFonts w:hint="eastAsia"/>
          <w:b w:val="0"/>
          <w:bCs w:val="0"/>
          <w:lang w:val="en-US" w:eastAsia="zh-CN"/>
        </w:rPr>
        <w:t>按合同清单最多分两次次完成供货及安装服务</w:t>
      </w:r>
      <w:r>
        <w:rPr>
          <w:rFonts w:hint="eastAsia"/>
          <w:b w:val="0"/>
          <w:bCs w:val="0"/>
          <w:color w:val="auto"/>
          <w:highlight w:val="none"/>
          <w:lang w:val="en-US" w:eastAsia="zh-CN"/>
        </w:rPr>
        <w:t>。</w:t>
      </w:r>
    </w:p>
    <w:p>
      <w:pPr>
        <w:widowControl w:val="0"/>
        <w:spacing w:line="360" w:lineRule="auto"/>
        <w:ind w:firstLine="482" w:firstLineChars="200"/>
        <w:jc w:val="both"/>
        <w:rPr>
          <w:rFonts w:hint="eastAsia" w:ascii="宋体" w:hAnsi="宋体" w:eastAsia="宋体" w:cs="仿宋"/>
          <w:b/>
          <w:bCs/>
          <w:snapToGrid/>
          <w:sz w:val="24"/>
          <w:szCs w:val="20"/>
        </w:rPr>
      </w:pPr>
      <w:r>
        <w:rPr>
          <w:rFonts w:hint="eastAsia" w:ascii="宋体" w:hAnsi="宋体" w:eastAsia="宋体" w:cs="仿宋"/>
          <w:b/>
          <w:bCs/>
          <w:sz w:val="24"/>
          <w:lang w:val="en-US" w:eastAsia="zh-CN"/>
        </w:rPr>
        <w:t>四</w:t>
      </w:r>
      <w:r>
        <w:rPr>
          <w:rFonts w:hint="eastAsia" w:ascii="宋体" w:hAnsi="宋体" w:eastAsia="宋体" w:cs="仿宋"/>
          <w:b/>
          <w:bCs/>
          <w:sz w:val="24"/>
          <w:lang w:val="zh-CN"/>
        </w:rPr>
        <w:t>、碳化硅耐磨可塑料参数要求</w:t>
      </w:r>
    </w:p>
    <w:p>
      <w:pPr>
        <w:widowControl w:val="0"/>
        <w:spacing w:line="360" w:lineRule="auto"/>
        <w:jc w:val="center"/>
        <w:rPr>
          <w:rFonts w:ascii="宋体" w:hAnsi="Times New Roman" w:eastAsia="宋体" w:cs="Times New Roman"/>
          <w:snapToGrid/>
          <w:kern w:val="2"/>
          <w:sz w:val="24"/>
          <w:szCs w:val="20"/>
        </w:rPr>
      </w:pPr>
      <w:r>
        <w:rPr>
          <w:rFonts w:hint="eastAsia" w:ascii="宋体" w:hAnsi="宋体" w:eastAsia="宋体" w:cs="宋体"/>
          <w:b/>
          <w:bCs/>
          <w:snapToGrid/>
        </w:rPr>
        <w:t>碳化硅耐磨可塑料</w:t>
      </w:r>
      <w:r>
        <w:rPr>
          <w:rFonts w:hint="eastAsia" w:ascii="宋体" w:hAnsi="宋体" w:eastAsia="宋体" w:cs="宋体"/>
          <w:b/>
          <w:bCs/>
          <w:snapToGrid/>
          <w:sz w:val="24"/>
          <w:szCs w:val="20"/>
        </w:rPr>
        <w:t>理化指标</w:t>
      </w:r>
    </w:p>
    <w:tbl>
      <w:tblPr>
        <w:tblStyle w:val="17"/>
        <w:tblW w:w="8796" w:type="dxa"/>
        <w:jc w:val="center"/>
        <w:tblLayout w:type="fixed"/>
        <w:tblCellMar>
          <w:top w:w="0" w:type="dxa"/>
          <w:left w:w="108" w:type="dxa"/>
          <w:bottom w:w="0" w:type="dxa"/>
          <w:right w:w="108" w:type="dxa"/>
        </w:tblCellMar>
      </w:tblPr>
      <w:tblGrid>
        <w:gridCol w:w="2467"/>
        <w:gridCol w:w="1764"/>
        <w:gridCol w:w="1449"/>
        <w:gridCol w:w="3116"/>
      </w:tblGrid>
      <w:tr>
        <w:tblPrEx>
          <w:tblCellMar>
            <w:top w:w="0" w:type="dxa"/>
            <w:left w:w="108" w:type="dxa"/>
            <w:bottom w:w="0" w:type="dxa"/>
            <w:right w:w="108" w:type="dxa"/>
          </w:tblCellMar>
        </w:tblPrEx>
        <w:trPr>
          <w:trHeight w:val="113" w:hRule="atLeast"/>
          <w:jc w:val="center"/>
        </w:trPr>
        <w:tc>
          <w:tcPr>
            <w:tcW w:w="5680" w:type="dxa"/>
            <w:gridSpan w:val="3"/>
            <w:tcBorders>
              <w:top w:val="single" w:color="auto" w:sz="4" w:space="0"/>
              <w:left w:val="single" w:color="auto" w:sz="4" w:space="0"/>
              <w:bottom w:val="single" w:color="auto" w:sz="4" w:space="0"/>
              <w:right w:val="single" w:color="auto" w:sz="4" w:space="0"/>
            </w:tcBorders>
          </w:tcPr>
          <w:p>
            <w:pPr>
              <w:kinsoku/>
              <w:autoSpaceDE/>
              <w:autoSpaceDN/>
              <w:adjustRightInd/>
              <w:snapToGrid/>
              <w:spacing w:line="360" w:lineRule="auto"/>
              <w:jc w:val="both"/>
              <w:textAlignment w:val="auto"/>
              <w:rPr>
                <w:rFonts w:ascii="宋体" w:hAnsi="宋体" w:eastAsia="宋体" w:cs="宋体"/>
                <w:b/>
                <w:bCs/>
                <w:snapToGrid/>
              </w:rPr>
            </w:pPr>
            <w:r>
              <w:rPr>
                <w:rFonts w:hint="eastAsia" w:ascii="宋体" w:hAnsi="宋体" w:eastAsia="宋体" w:cs="宋体"/>
                <w:b/>
                <w:bCs/>
                <w:snapToGrid/>
              </w:rPr>
              <w:t>产品名称：碳化硅耐磨可塑料</w:t>
            </w:r>
          </w:p>
        </w:tc>
        <w:tc>
          <w:tcPr>
            <w:tcW w:w="3116" w:type="dxa"/>
            <w:tcBorders>
              <w:top w:val="single" w:color="auto" w:sz="4" w:space="0"/>
              <w:left w:val="nil"/>
              <w:bottom w:val="single" w:color="auto" w:sz="4" w:space="0"/>
              <w:right w:val="single" w:color="auto" w:sz="4" w:space="0"/>
            </w:tcBorders>
            <w:vAlign w:val="center"/>
          </w:tcPr>
          <w:p>
            <w:pPr>
              <w:kinsoku/>
              <w:autoSpaceDE/>
              <w:autoSpaceDN/>
              <w:adjustRightInd/>
              <w:snapToGrid/>
              <w:spacing w:line="360" w:lineRule="auto"/>
              <w:jc w:val="both"/>
              <w:textAlignment w:val="auto"/>
              <w:rPr>
                <w:rFonts w:ascii="宋体" w:hAnsi="宋体" w:eastAsia="宋体" w:cs="宋体"/>
                <w:b/>
                <w:bCs/>
                <w:snapToGrid/>
              </w:rPr>
            </w:pPr>
            <w:r>
              <w:rPr>
                <w:rFonts w:hint="eastAsia" w:ascii="宋体" w:hAnsi="宋体" w:eastAsia="宋体" w:cs="宋体"/>
                <w:b/>
                <w:bCs/>
                <w:snapToGrid/>
              </w:rPr>
              <w:t>理化指标</w:t>
            </w:r>
          </w:p>
        </w:tc>
      </w:tr>
      <w:tr>
        <w:tblPrEx>
          <w:tblCellMar>
            <w:top w:w="0" w:type="dxa"/>
            <w:left w:w="108" w:type="dxa"/>
            <w:bottom w:w="0" w:type="dxa"/>
            <w:right w:w="108" w:type="dxa"/>
          </w:tblCellMar>
        </w:tblPrEx>
        <w:trPr>
          <w:trHeight w:val="113" w:hRule="atLeast"/>
          <w:jc w:val="center"/>
        </w:trPr>
        <w:tc>
          <w:tcPr>
            <w:tcW w:w="2467" w:type="dxa"/>
            <w:vMerge w:val="restart"/>
            <w:tcBorders>
              <w:top w:val="nil"/>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化学成分</w:t>
            </w:r>
          </w:p>
        </w:tc>
        <w:tc>
          <w:tcPr>
            <w:tcW w:w="1764" w:type="dxa"/>
            <w:tcBorders>
              <w:top w:val="nil"/>
              <w:left w:val="nil"/>
              <w:bottom w:val="single" w:color="auto" w:sz="4" w:space="0"/>
              <w:right w:val="single" w:color="auto" w:sz="4" w:space="0"/>
            </w:tcBorders>
          </w:tcPr>
          <w:p>
            <w:pPr>
              <w:widowControl w:val="0"/>
              <w:tabs>
                <w:tab w:val="left" w:pos="257"/>
              </w:tabs>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SiC</w:t>
            </w:r>
          </w:p>
        </w:tc>
        <w:tc>
          <w:tcPr>
            <w:tcW w:w="1449"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w:t>
            </w:r>
          </w:p>
        </w:tc>
        <w:tc>
          <w:tcPr>
            <w:tcW w:w="3116"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≥75</w:t>
            </w:r>
          </w:p>
        </w:tc>
      </w:tr>
      <w:tr>
        <w:tblPrEx>
          <w:tblCellMar>
            <w:top w:w="0" w:type="dxa"/>
            <w:left w:w="108" w:type="dxa"/>
            <w:bottom w:w="0" w:type="dxa"/>
            <w:right w:w="108" w:type="dxa"/>
          </w:tblCellMar>
        </w:tblPrEx>
        <w:trPr>
          <w:trHeight w:val="113" w:hRule="atLeast"/>
          <w:jc w:val="center"/>
        </w:trPr>
        <w:tc>
          <w:tcPr>
            <w:tcW w:w="2467" w:type="dxa"/>
            <w:vMerge w:val="continue"/>
            <w:tcBorders>
              <w:top w:val="nil"/>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p>
        </w:tc>
        <w:tc>
          <w:tcPr>
            <w:tcW w:w="1764"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Al2O</w:t>
            </w:r>
            <w:r>
              <w:rPr>
                <w:rFonts w:hint="eastAsia" w:ascii="宋体" w:hAnsi="宋体" w:eastAsia="宋体" w:cs="宋体"/>
                <w:snapToGrid/>
                <w:spacing w:val="-4"/>
                <w:kern w:val="2"/>
                <w:vertAlign w:val="subscript"/>
              </w:rPr>
              <w:t>3</w:t>
            </w:r>
          </w:p>
        </w:tc>
        <w:tc>
          <w:tcPr>
            <w:tcW w:w="1449"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w:t>
            </w:r>
          </w:p>
        </w:tc>
        <w:tc>
          <w:tcPr>
            <w:tcW w:w="3116"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＞14</w:t>
            </w:r>
          </w:p>
        </w:tc>
      </w:tr>
      <w:tr>
        <w:tblPrEx>
          <w:tblCellMar>
            <w:top w:w="0" w:type="dxa"/>
            <w:left w:w="108" w:type="dxa"/>
            <w:bottom w:w="0" w:type="dxa"/>
            <w:right w:w="108" w:type="dxa"/>
          </w:tblCellMar>
        </w:tblPrEx>
        <w:trPr>
          <w:trHeight w:val="113" w:hRule="atLeast"/>
          <w:jc w:val="center"/>
        </w:trPr>
        <w:tc>
          <w:tcPr>
            <w:tcW w:w="2467" w:type="dxa"/>
            <w:vMerge w:val="continue"/>
            <w:tcBorders>
              <w:top w:val="nil"/>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p>
        </w:tc>
        <w:tc>
          <w:tcPr>
            <w:tcW w:w="1764"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Fe2O</w:t>
            </w:r>
            <w:r>
              <w:rPr>
                <w:rFonts w:hint="eastAsia" w:ascii="宋体" w:hAnsi="宋体" w:eastAsia="宋体" w:cs="宋体"/>
                <w:snapToGrid/>
                <w:spacing w:val="-4"/>
                <w:kern w:val="2"/>
                <w:vertAlign w:val="subscript"/>
              </w:rPr>
              <w:t>3</w:t>
            </w:r>
          </w:p>
        </w:tc>
        <w:tc>
          <w:tcPr>
            <w:tcW w:w="1449"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w:t>
            </w:r>
          </w:p>
        </w:tc>
        <w:tc>
          <w:tcPr>
            <w:tcW w:w="3116"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≤1.5</w:t>
            </w:r>
          </w:p>
        </w:tc>
      </w:tr>
      <w:tr>
        <w:tblPrEx>
          <w:tblCellMar>
            <w:top w:w="0" w:type="dxa"/>
            <w:left w:w="108" w:type="dxa"/>
            <w:bottom w:w="0" w:type="dxa"/>
            <w:right w:w="108" w:type="dxa"/>
          </w:tblCellMar>
        </w:tblPrEx>
        <w:trPr>
          <w:trHeight w:val="113" w:hRule="atLeast"/>
          <w:jc w:val="center"/>
        </w:trPr>
        <w:tc>
          <w:tcPr>
            <w:tcW w:w="4231" w:type="dxa"/>
            <w:gridSpan w:val="2"/>
            <w:tcBorders>
              <w:top w:val="single" w:color="auto" w:sz="4" w:space="0"/>
              <w:left w:val="single" w:color="auto" w:sz="4" w:space="0"/>
              <w:bottom w:val="single" w:color="auto" w:sz="4" w:space="0"/>
              <w:right w:val="single" w:color="000000"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最高使用温度</w:t>
            </w:r>
          </w:p>
        </w:tc>
        <w:tc>
          <w:tcPr>
            <w:tcW w:w="1449"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w:t>
            </w:r>
          </w:p>
        </w:tc>
        <w:tc>
          <w:tcPr>
            <w:tcW w:w="3116"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＞1650</w:t>
            </w:r>
          </w:p>
        </w:tc>
      </w:tr>
      <w:tr>
        <w:tblPrEx>
          <w:tblCellMar>
            <w:top w:w="0" w:type="dxa"/>
            <w:left w:w="108" w:type="dxa"/>
            <w:bottom w:w="0" w:type="dxa"/>
            <w:right w:w="108" w:type="dxa"/>
          </w:tblCellMar>
        </w:tblPrEx>
        <w:trPr>
          <w:trHeight w:val="113" w:hRule="atLeast"/>
          <w:jc w:val="center"/>
        </w:trPr>
        <w:tc>
          <w:tcPr>
            <w:tcW w:w="4231" w:type="dxa"/>
            <w:gridSpan w:val="2"/>
            <w:tcBorders>
              <w:top w:val="single" w:color="auto" w:sz="4" w:space="0"/>
              <w:left w:val="single" w:color="auto" w:sz="4" w:space="0"/>
              <w:bottom w:val="single" w:color="auto" w:sz="4" w:space="0"/>
              <w:right w:val="single" w:color="000000"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体积密度</w:t>
            </w:r>
          </w:p>
        </w:tc>
        <w:tc>
          <w:tcPr>
            <w:tcW w:w="1449"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g/cm</w:t>
            </w:r>
            <w:r>
              <w:rPr>
                <w:rFonts w:hint="eastAsia" w:ascii="宋体" w:hAnsi="宋体" w:eastAsia="宋体" w:cs="宋体"/>
                <w:snapToGrid/>
                <w:spacing w:val="-4"/>
                <w:kern w:val="2"/>
                <w:vertAlign w:val="superscript"/>
              </w:rPr>
              <w:t>3</w:t>
            </w:r>
          </w:p>
        </w:tc>
        <w:tc>
          <w:tcPr>
            <w:tcW w:w="3116"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2.6</w:t>
            </w:r>
          </w:p>
        </w:tc>
      </w:tr>
      <w:tr>
        <w:tblPrEx>
          <w:tblCellMar>
            <w:top w:w="0" w:type="dxa"/>
            <w:left w:w="108" w:type="dxa"/>
            <w:bottom w:w="0" w:type="dxa"/>
            <w:right w:w="108" w:type="dxa"/>
          </w:tblCellMar>
        </w:tblPrEx>
        <w:trPr>
          <w:trHeight w:val="113" w:hRule="atLeast"/>
          <w:jc w:val="center"/>
        </w:trPr>
        <w:tc>
          <w:tcPr>
            <w:tcW w:w="4231" w:type="dxa"/>
            <w:gridSpan w:val="2"/>
            <w:tcBorders>
              <w:top w:val="single" w:color="auto" w:sz="4" w:space="0"/>
              <w:left w:val="single" w:color="auto" w:sz="4" w:space="0"/>
              <w:bottom w:val="single" w:color="auto" w:sz="4" w:space="0"/>
              <w:right w:val="single" w:color="000000"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高温抗折强度，1000℃</w:t>
            </w:r>
          </w:p>
        </w:tc>
        <w:tc>
          <w:tcPr>
            <w:tcW w:w="1449"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Mpa</w:t>
            </w:r>
          </w:p>
        </w:tc>
        <w:tc>
          <w:tcPr>
            <w:tcW w:w="3116"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≥14</w:t>
            </w:r>
          </w:p>
        </w:tc>
      </w:tr>
      <w:tr>
        <w:tblPrEx>
          <w:tblCellMar>
            <w:top w:w="0" w:type="dxa"/>
            <w:left w:w="108" w:type="dxa"/>
            <w:bottom w:w="0" w:type="dxa"/>
            <w:right w:w="108" w:type="dxa"/>
          </w:tblCellMar>
        </w:tblPrEx>
        <w:trPr>
          <w:trHeight w:val="113" w:hRule="atLeast"/>
          <w:jc w:val="center"/>
        </w:trPr>
        <w:tc>
          <w:tcPr>
            <w:tcW w:w="2467" w:type="dxa"/>
            <w:tcBorders>
              <w:top w:val="nil"/>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导热系数</w:t>
            </w:r>
          </w:p>
        </w:tc>
        <w:tc>
          <w:tcPr>
            <w:tcW w:w="1764"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500℃</w:t>
            </w:r>
          </w:p>
        </w:tc>
        <w:tc>
          <w:tcPr>
            <w:tcW w:w="1449"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W/m.k</w:t>
            </w:r>
          </w:p>
        </w:tc>
        <w:tc>
          <w:tcPr>
            <w:tcW w:w="3116"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＞10</w:t>
            </w:r>
          </w:p>
        </w:tc>
      </w:tr>
      <w:tr>
        <w:tblPrEx>
          <w:tblCellMar>
            <w:top w:w="0" w:type="dxa"/>
            <w:left w:w="108" w:type="dxa"/>
            <w:bottom w:w="0" w:type="dxa"/>
            <w:right w:w="108" w:type="dxa"/>
          </w:tblCellMar>
        </w:tblPrEx>
        <w:trPr>
          <w:trHeight w:val="113" w:hRule="atLeast"/>
          <w:jc w:val="center"/>
        </w:trPr>
        <w:tc>
          <w:tcPr>
            <w:tcW w:w="4231" w:type="dxa"/>
            <w:gridSpan w:val="2"/>
            <w:tcBorders>
              <w:top w:val="single" w:color="auto" w:sz="4" w:space="0"/>
              <w:left w:val="single" w:color="auto" w:sz="4" w:space="0"/>
              <w:bottom w:val="single" w:color="auto" w:sz="4" w:space="0"/>
              <w:right w:val="single" w:color="000000"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可塑性指标</w:t>
            </w:r>
          </w:p>
        </w:tc>
        <w:tc>
          <w:tcPr>
            <w:tcW w:w="4565" w:type="dxa"/>
            <w:gridSpan w:val="2"/>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20~40</w:t>
            </w:r>
          </w:p>
        </w:tc>
      </w:tr>
    </w:tbl>
    <w:p>
      <w:pPr>
        <w:pStyle w:val="7"/>
        <w:ind w:firstLine="482" w:firstLineChars="200"/>
        <w:rPr>
          <w:b/>
          <w:bCs/>
          <w:lang w:val="en-US"/>
        </w:rPr>
      </w:pPr>
      <w:r>
        <w:rPr>
          <w:rFonts w:hint="eastAsia"/>
          <w:b/>
          <w:bCs/>
          <w:lang w:val="en-US" w:eastAsia="zh-CN"/>
        </w:rPr>
        <w:t>五</w:t>
      </w:r>
      <w:r>
        <w:rPr>
          <w:rFonts w:hint="eastAsia"/>
          <w:b/>
          <w:bCs/>
          <w:lang w:val="en-US"/>
        </w:rPr>
        <w:t>、</w:t>
      </w:r>
      <w:r>
        <w:rPr>
          <w:rFonts w:hint="eastAsia"/>
          <w:b/>
          <w:bCs/>
          <w:lang w:val="en-US" w:eastAsia="zh-CN"/>
        </w:rPr>
        <w:t>服务</w:t>
      </w:r>
      <w:r>
        <w:rPr>
          <w:rFonts w:hint="eastAsia"/>
          <w:b/>
          <w:bCs/>
          <w:lang w:val="en-US"/>
        </w:rPr>
        <w:t>要求</w:t>
      </w:r>
    </w:p>
    <w:p>
      <w:pPr>
        <w:pStyle w:val="7"/>
        <w:numPr>
          <w:ilvl w:val="0"/>
          <w:numId w:val="0"/>
        </w:numPr>
        <w:ind w:firstLine="720" w:firstLineChars="300"/>
        <w:rPr>
          <w:rFonts w:hint="eastAsia" w:ascii="宋体" w:hAnsi="宋体" w:cs="宋体"/>
          <w:sz w:val="24"/>
          <w:highlight w:val="none"/>
          <w:lang w:val="en-US" w:eastAsia="zh-CN"/>
        </w:rPr>
      </w:pPr>
      <w:r>
        <w:rPr>
          <w:rFonts w:hint="eastAsia" w:ascii="宋体" w:hAnsi="宋体" w:cs="宋体"/>
          <w:sz w:val="24"/>
          <w:highlight w:val="none"/>
          <w:lang w:val="en-US" w:eastAsia="zh-CN"/>
        </w:rPr>
        <w:t>1.供应商须根据采购人</w:t>
      </w:r>
      <w:bookmarkStart w:id="19" w:name="OLE_LINK12"/>
      <w:r>
        <w:rPr>
          <w:rFonts w:hint="eastAsia" w:ascii="宋体" w:hAnsi="宋体" w:cs="宋体"/>
          <w:sz w:val="24"/>
          <w:highlight w:val="none"/>
          <w:lang w:val="en-US" w:eastAsia="zh-CN"/>
        </w:rPr>
        <w:t>上述的材料的理化指标</w:t>
      </w:r>
      <w:bookmarkEnd w:id="19"/>
      <w:r>
        <w:rPr>
          <w:rFonts w:hint="eastAsia" w:ascii="宋体" w:hAnsi="宋体" w:cs="宋体"/>
          <w:sz w:val="24"/>
          <w:highlight w:val="none"/>
          <w:lang w:val="en-US" w:eastAsia="zh-CN"/>
        </w:rPr>
        <w:t>、锅炉耐火材料砌筑图自行编制维修方案。如图纸存在遗漏、错误等问题的，供应商应按询价文件提出疑问或要求采购人予以澄清；否则因此导致本项目成本增加，由采购人自行承担。</w:t>
      </w:r>
    </w:p>
    <w:p>
      <w:pPr>
        <w:pStyle w:val="7"/>
        <w:numPr>
          <w:ilvl w:val="0"/>
          <w:numId w:val="0"/>
        </w:numPr>
        <w:ind w:firstLine="720" w:firstLineChars="300"/>
        <w:rPr>
          <w:rFonts w:hint="eastAsia" w:ascii="宋体" w:hAnsi="宋体" w:cs="宋体"/>
          <w:sz w:val="24"/>
          <w:highlight w:val="none"/>
          <w:lang w:val="en-US" w:eastAsia="zh-CN"/>
        </w:rPr>
      </w:pPr>
      <w:r>
        <w:rPr>
          <w:rFonts w:hint="eastAsia" w:ascii="宋体" w:hAnsi="宋体" w:cs="宋体"/>
          <w:sz w:val="24"/>
          <w:highlight w:val="none"/>
          <w:lang w:val="en-US" w:eastAsia="zh-CN"/>
        </w:rPr>
        <w:t>2.具体维修时间采购人应在停炉检修开始提前5天通知供应商，供应商在接到通知后3天内安排发货和进场维修。每台炉每次停炉维修工期一般控制在5天内（以焚烧炉筑炉检修维修工作票开始至终结日期为准），如遇大面积损坏，可适当延长至7天。</w:t>
      </w:r>
    </w:p>
    <w:p>
      <w:pPr>
        <w:pStyle w:val="7"/>
        <w:numPr>
          <w:ilvl w:val="0"/>
          <w:numId w:val="0"/>
        </w:numPr>
        <w:ind w:firstLine="720" w:firstLineChars="300"/>
        <w:rPr>
          <w:rFonts w:hint="eastAsia" w:ascii="宋体" w:hAnsi="宋体" w:cs="宋体"/>
          <w:sz w:val="24"/>
          <w:highlight w:val="none"/>
          <w:lang w:val="en-US" w:eastAsia="zh-CN"/>
        </w:rPr>
      </w:pPr>
      <w:r>
        <w:rPr>
          <w:rFonts w:hint="eastAsia" w:ascii="宋体" w:hAnsi="宋体" w:cs="宋体"/>
          <w:sz w:val="24"/>
          <w:highlight w:val="none"/>
          <w:lang w:val="en-US" w:eastAsia="zh-CN"/>
        </w:rPr>
        <w:t>3.供应商维修作业过程涉及特殊作业的人员须持证上岗，如架子工、焊工、电工等。</w:t>
      </w:r>
    </w:p>
    <w:p>
      <w:pPr>
        <w:pStyle w:val="7"/>
        <w:numPr>
          <w:ilvl w:val="0"/>
          <w:numId w:val="0"/>
        </w:numPr>
        <w:ind w:firstLine="720" w:firstLineChars="300"/>
        <w:rPr>
          <w:rFonts w:hint="eastAsia" w:ascii="宋体" w:hAnsi="宋体" w:cs="宋体"/>
          <w:sz w:val="24"/>
          <w:highlight w:val="none"/>
          <w:lang w:val="en-US" w:eastAsia="zh-CN"/>
        </w:rPr>
      </w:pPr>
      <w:r>
        <w:rPr>
          <w:rFonts w:hint="eastAsia" w:ascii="宋体" w:hAnsi="宋体" w:cs="宋体"/>
          <w:sz w:val="24"/>
          <w:highlight w:val="none"/>
          <w:lang w:val="en-US" w:eastAsia="zh-CN"/>
        </w:rPr>
        <w:t>4.供应商应在验收合格后15天内提供检修技术报告、检验报告、合格证等验收资料。</w:t>
      </w:r>
    </w:p>
    <w:p>
      <w:pPr>
        <w:pStyle w:val="7"/>
        <w:numPr>
          <w:ilvl w:val="0"/>
          <w:numId w:val="0"/>
        </w:numPr>
        <w:ind w:firstLine="720" w:firstLineChars="300"/>
        <w:rPr>
          <w:rFonts w:hint="eastAsia" w:ascii="宋体" w:hAnsi="宋体" w:cs="宋体"/>
          <w:sz w:val="24"/>
          <w:highlight w:val="none"/>
          <w:lang w:val="en-US" w:eastAsia="zh-CN"/>
        </w:rPr>
      </w:pPr>
      <w:r>
        <w:rPr>
          <w:rFonts w:hint="eastAsia" w:ascii="宋体" w:hAnsi="宋体" w:cs="宋体"/>
          <w:sz w:val="24"/>
          <w:highlight w:val="none"/>
          <w:lang w:val="en-US" w:eastAsia="zh-CN"/>
        </w:rPr>
        <w:t>5.送货地点：杭州市钱塘区临江街道红十五线与观十五线交叉口杭州临江环境能源有限公司能源运行中心,运输及装卸货品全过程安全责任和费用由供应商自行承担。</w:t>
      </w:r>
    </w:p>
    <w:p>
      <w:pPr>
        <w:pStyle w:val="7"/>
        <w:numPr>
          <w:ilvl w:val="0"/>
          <w:numId w:val="0"/>
        </w:numPr>
        <w:ind w:firstLine="720" w:firstLineChars="300"/>
        <w:rPr>
          <w:rFonts w:hint="eastAsia" w:ascii="宋体" w:hAnsi="宋体" w:cs="宋体"/>
          <w:sz w:val="24"/>
          <w:highlight w:val="none"/>
          <w:lang w:val="en-US" w:eastAsia="zh-CN"/>
        </w:rPr>
      </w:pPr>
      <w:r>
        <w:rPr>
          <w:rFonts w:hint="eastAsia" w:ascii="宋体" w:hAnsi="宋体" w:cs="宋体"/>
          <w:sz w:val="24"/>
          <w:highlight w:val="none"/>
          <w:lang w:val="en-US" w:eastAsia="zh-CN"/>
        </w:rPr>
        <w:t>6.供应商每一批次货物需提供出厂检验合格报告（或合格证）和送货单。</w:t>
      </w:r>
    </w:p>
    <w:p>
      <w:pPr>
        <w:pStyle w:val="7"/>
        <w:numPr>
          <w:ilvl w:val="0"/>
          <w:numId w:val="0"/>
        </w:numPr>
        <w:ind w:firstLine="720" w:firstLineChars="300"/>
        <w:rPr>
          <w:rFonts w:hint="eastAsia" w:ascii="宋体" w:hAnsi="宋体" w:cs="宋体"/>
          <w:sz w:val="24"/>
          <w:highlight w:val="none"/>
          <w:lang w:val="en-US" w:eastAsia="zh-CN"/>
        </w:rPr>
      </w:pPr>
      <w:r>
        <w:rPr>
          <w:rFonts w:hint="eastAsia" w:ascii="宋体" w:hAnsi="宋体" w:cs="宋体"/>
          <w:sz w:val="24"/>
          <w:highlight w:val="none"/>
          <w:lang w:val="en-US" w:eastAsia="zh-CN"/>
        </w:rPr>
        <w:t>7.供应商必须满足采购人售后服务要求。如质保期内发生故障，供应商须在接到采购人通知后2小时内响应，24小时内派人赶到现场解决故障。</w:t>
      </w:r>
    </w:p>
    <w:p>
      <w:pPr>
        <w:pStyle w:val="7"/>
        <w:numPr>
          <w:ilvl w:val="0"/>
          <w:numId w:val="0"/>
        </w:numPr>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8.采购人不再对质保期内的任何售后服务进行付费。供应商派遣人员产生的一切费用由</w:t>
      </w:r>
      <w:r>
        <w:rPr>
          <w:rFonts w:hint="eastAsia" w:hAnsi="宋体" w:cs="宋体"/>
          <w:color w:val="auto"/>
          <w:sz w:val="24"/>
          <w:highlight w:val="none"/>
          <w:lang w:val="en-US" w:eastAsia="zh-CN"/>
        </w:rPr>
        <w:t>供应商</w:t>
      </w:r>
      <w:r>
        <w:rPr>
          <w:rFonts w:hint="eastAsia" w:ascii="宋体" w:hAnsi="宋体" w:cs="宋体"/>
          <w:color w:val="auto"/>
          <w:sz w:val="24"/>
          <w:highlight w:val="none"/>
          <w:lang w:val="en-US" w:eastAsia="zh-CN"/>
        </w:rPr>
        <w:t>承担。</w:t>
      </w:r>
    </w:p>
    <w:p>
      <w:pPr>
        <w:pStyle w:val="7"/>
        <w:numPr>
          <w:ilvl w:val="0"/>
          <w:numId w:val="0"/>
        </w:numPr>
        <w:ind w:firstLine="720" w:firstLineChars="300"/>
        <w:rPr>
          <w:rFonts w:hint="default" w:ascii="宋体" w:hAnsi="宋体" w:cs="宋体"/>
          <w:color w:val="auto"/>
          <w:sz w:val="24"/>
          <w:highlight w:val="none"/>
          <w:lang w:val="en-US" w:eastAsia="zh-CN"/>
        </w:rPr>
      </w:pPr>
      <w:r>
        <w:rPr>
          <w:rFonts w:hint="eastAsia" w:hAnsi="宋体" w:cs="宋体"/>
          <w:color w:val="auto"/>
          <w:sz w:val="24"/>
          <w:highlight w:val="none"/>
          <w:lang w:val="en-US" w:eastAsia="zh-CN"/>
        </w:rPr>
        <w:t>9.供应商人员的食宿自理，采购人不额外支付费用。</w:t>
      </w:r>
    </w:p>
    <w:p>
      <w:pPr>
        <w:pStyle w:val="7"/>
        <w:ind w:firstLine="480" w:firstLineChars="200"/>
        <w:rPr>
          <w:b/>
          <w:bCs/>
          <w:highlight w:val="none"/>
          <w:lang w:val="en-US"/>
        </w:rPr>
      </w:pPr>
      <w:r>
        <w:rPr>
          <w:rFonts w:hint="eastAsia" w:cs="仿宋" w:asciiTheme="minorEastAsia" w:hAnsiTheme="minorEastAsia"/>
          <w:kern w:val="0"/>
          <w:highlight w:val="none"/>
          <w:lang w:val="en-US" w:eastAsia="zh-CN"/>
        </w:rPr>
        <w:t>六</w:t>
      </w:r>
      <w:r>
        <w:rPr>
          <w:rFonts w:hint="eastAsia"/>
          <w:b/>
          <w:bCs/>
          <w:highlight w:val="none"/>
          <w:lang w:val="en-US"/>
        </w:rPr>
        <w:t>、</w:t>
      </w:r>
      <w:r>
        <w:rPr>
          <w:rFonts w:hint="eastAsia"/>
          <w:b/>
          <w:bCs/>
          <w:highlight w:val="none"/>
          <w:lang w:val="en-US" w:eastAsia="zh-CN"/>
        </w:rPr>
        <w:t>质量</w:t>
      </w:r>
      <w:r>
        <w:rPr>
          <w:rFonts w:hint="eastAsia"/>
          <w:b/>
          <w:bCs/>
          <w:highlight w:val="none"/>
          <w:lang w:val="en-US"/>
        </w:rPr>
        <w:t>要求</w:t>
      </w:r>
    </w:p>
    <w:p>
      <w:pPr>
        <w:pStyle w:val="7"/>
        <w:numPr>
          <w:ilvl w:val="0"/>
          <w:numId w:val="0"/>
        </w:numPr>
        <w:ind w:firstLine="720" w:firstLineChars="300"/>
        <w:rPr>
          <w:rFonts w:hint="default" w:ascii="宋体" w:hAnsi="宋体" w:cs="宋体"/>
          <w:sz w:val="24"/>
          <w:highlight w:val="none"/>
          <w:lang w:val="en-US" w:eastAsia="zh-CN"/>
        </w:rPr>
      </w:pPr>
      <w:r>
        <w:rPr>
          <w:rFonts w:hint="eastAsia" w:ascii="宋体" w:hAnsi="宋体" w:cs="宋体"/>
          <w:sz w:val="24"/>
          <w:highlight w:val="none"/>
          <w:lang w:val="zh-CN" w:eastAsia="zh-CN"/>
        </w:rPr>
        <w:t>1.</w:t>
      </w:r>
      <w:r>
        <w:rPr>
          <w:rFonts w:hint="eastAsia" w:ascii="宋体" w:hAnsi="宋体" w:cs="宋体"/>
          <w:sz w:val="24"/>
          <w:highlight w:val="none"/>
          <w:lang w:val="en-US" w:eastAsia="zh-CN"/>
        </w:rPr>
        <w:t>供应商提供的耐火材料及辅助材料满足采购人的理化指标和实际运行工况要求。</w:t>
      </w:r>
    </w:p>
    <w:p>
      <w:pPr>
        <w:pStyle w:val="7"/>
        <w:numPr>
          <w:ilvl w:val="0"/>
          <w:numId w:val="0"/>
        </w:numPr>
        <w:ind w:firstLine="720" w:firstLineChars="300"/>
        <w:rPr>
          <w:rFonts w:hint="eastAsia" w:ascii="宋体" w:hAnsi="宋体" w:cs="宋体"/>
          <w:sz w:val="24"/>
          <w:highlight w:val="none"/>
          <w:lang w:val="zh-CN" w:eastAsia="zh-CN"/>
        </w:rPr>
      </w:pPr>
      <w:r>
        <w:rPr>
          <w:rFonts w:hint="eastAsia" w:ascii="宋体" w:hAnsi="宋体" w:cs="宋体"/>
          <w:sz w:val="24"/>
          <w:highlight w:val="none"/>
          <w:lang w:val="en-US" w:eastAsia="zh-CN"/>
        </w:rPr>
        <w:t>2.</w:t>
      </w:r>
      <w:r>
        <w:rPr>
          <w:rFonts w:hint="eastAsia" w:ascii="宋体" w:hAnsi="宋体" w:cs="宋体"/>
          <w:sz w:val="24"/>
          <w:highlight w:val="none"/>
          <w:lang w:val="zh-CN" w:eastAsia="zh-CN"/>
        </w:rPr>
        <w:t>耐火材料维修质保期为</w:t>
      </w:r>
      <w:r>
        <w:rPr>
          <w:rFonts w:hint="eastAsia" w:ascii="宋体" w:hAnsi="宋体" w:cs="宋体"/>
          <w:sz w:val="24"/>
          <w:highlight w:val="none"/>
          <w:lang w:val="en-US" w:eastAsia="zh-CN"/>
        </w:rPr>
        <w:t>验收合格后12个月</w:t>
      </w:r>
      <w:r>
        <w:rPr>
          <w:rFonts w:hint="default" w:ascii="宋体" w:hAnsi="宋体" w:cs="宋体"/>
          <w:sz w:val="24"/>
          <w:highlight w:val="none"/>
          <w:lang w:val="en-US" w:eastAsia="zh-CN"/>
        </w:rPr>
        <w:t>。</w:t>
      </w:r>
    </w:p>
    <w:p>
      <w:pPr>
        <w:pStyle w:val="7"/>
        <w:numPr>
          <w:ilvl w:val="0"/>
          <w:numId w:val="0"/>
        </w:numPr>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3.供应商</w:t>
      </w:r>
      <w:r>
        <w:rPr>
          <w:rFonts w:hint="eastAsia" w:ascii="宋体" w:hAnsi="宋体" w:cs="宋体"/>
          <w:color w:val="auto"/>
          <w:sz w:val="24"/>
          <w:highlight w:val="none"/>
          <w:lang w:val="zh-CN" w:eastAsia="zh-CN"/>
        </w:rPr>
        <w:t>所提供的耐火保温材料在合同规定的质保期内，在正常运行条件下，如因为耐火材料质量或检修维修</w:t>
      </w:r>
      <w:r>
        <w:rPr>
          <w:rFonts w:hint="eastAsia" w:ascii="宋体" w:hAnsi="宋体" w:cs="宋体"/>
          <w:color w:val="auto"/>
          <w:sz w:val="24"/>
          <w:highlight w:val="none"/>
          <w:lang w:val="en-US" w:eastAsia="zh-CN"/>
        </w:rPr>
        <w:t>质量问题发生</w:t>
      </w:r>
      <w:r>
        <w:rPr>
          <w:rFonts w:hint="eastAsia" w:ascii="宋体" w:hAnsi="宋体" w:cs="宋体"/>
          <w:color w:val="auto"/>
          <w:sz w:val="24"/>
          <w:highlight w:val="none"/>
          <w:lang w:val="zh-CN" w:eastAsia="zh-CN"/>
        </w:rPr>
        <w:t>耐火材料残存厚度(表面浮物不计)小于</w:t>
      </w:r>
      <w:r>
        <w:rPr>
          <w:rFonts w:hint="eastAsia" w:ascii="宋体" w:hAnsi="宋体" w:cs="宋体"/>
          <w:color w:val="auto"/>
          <w:sz w:val="24"/>
          <w:highlight w:val="none"/>
          <w:lang w:val="en-US" w:eastAsia="zh-CN"/>
        </w:rPr>
        <w:t>原始厚度</w:t>
      </w:r>
      <w:r>
        <w:rPr>
          <w:rFonts w:hint="eastAsia" w:ascii="宋体" w:hAnsi="宋体" w:cs="宋体"/>
          <w:color w:val="auto"/>
          <w:sz w:val="24"/>
          <w:highlight w:val="none"/>
          <w:lang w:val="zh-CN" w:eastAsia="zh-CN"/>
        </w:rPr>
        <w:t>的50％、锅炉管裸露、耐火材料裂纹已延伸至锅炉管、大范围耐火材料脱落</w:t>
      </w:r>
      <w:r>
        <w:rPr>
          <w:rFonts w:hint="eastAsia" w:ascii="宋体" w:hAnsi="宋体" w:cs="宋体"/>
          <w:color w:val="auto"/>
          <w:sz w:val="24"/>
          <w:highlight w:val="none"/>
          <w:lang w:val="en-US" w:eastAsia="zh-CN"/>
        </w:rPr>
        <w:t>等情况</w:t>
      </w:r>
      <w:r>
        <w:rPr>
          <w:rFonts w:hint="eastAsia" w:ascii="宋体" w:hAnsi="宋体" w:cs="宋体"/>
          <w:color w:val="auto"/>
          <w:sz w:val="24"/>
          <w:highlight w:val="none"/>
          <w:lang w:val="zh-CN" w:eastAsia="zh-CN"/>
        </w:rPr>
        <w:t>，</w:t>
      </w:r>
      <w:r>
        <w:rPr>
          <w:rFonts w:hint="eastAsia" w:ascii="宋体" w:hAnsi="宋体" w:cs="宋体"/>
          <w:color w:val="auto"/>
          <w:sz w:val="24"/>
          <w:highlight w:val="none"/>
          <w:lang w:val="en-US" w:eastAsia="zh-CN"/>
        </w:rPr>
        <w:t>供应商应</w:t>
      </w:r>
      <w:r>
        <w:rPr>
          <w:rFonts w:hint="eastAsia" w:ascii="宋体" w:hAnsi="宋体" w:cs="宋体"/>
          <w:color w:val="auto"/>
          <w:sz w:val="24"/>
          <w:highlight w:val="none"/>
          <w:lang w:val="zh-CN" w:eastAsia="zh-CN"/>
        </w:rPr>
        <w:t>免费进行修补或更换；</w:t>
      </w:r>
      <w:r>
        <w:rPr>
          <w:rFonts w:hint="default" w:ascii="宋体" w:hAnsi="宋体" w:cs="宋体"/>
          <w:color w:val="auto"/>
          <w:sz w:val="24"/>
          <w:highlight w:val="none"/>
          <w:lang w:val="en-US" w:eastAsia="zh-CN"/>
        </w:rPr>
        <w:t>质保期内同一部位维修次数不超过2次</w:t>
      </w:r>
      <w:r>
        <w:rPr>
          <w:rFonts w:hint="eastAsia" w:ascii="宋体" w:hAnsi="宋体" w:cs="宋体"/>
          <w:color w:val="auto"/>
          <w:sz w:val="24"/>
          <w:highlight w:val="none"/>
          <w:lang w:val="en-US" w:eastAsia="zh-CN"/>
        </w:rPr>
        <w:t>，若超过2次，</w:t>
      </w:r>
      <w:r>
        <w:rPr>
          <w:rFonts w:hint="eastAsia" w:hAnsi="宋体" w:cs="宋体"/>
          <w:color w:val="auto"/>
          <w:sz w:val="24"/>
          <w:highlight w:val="none"/>
          <w:lang w:val="en-US" w:eastAsia="zh-CN"/>
        </w:rPr>
        <w:t>供应商</w:t>
      </w:r>
      <w:r>
        <w:rPr>
          <w:rFonts w:hint="eastAsia" w:ascii="宋体" w:hAnsi="宋体" w:cs="宋体"/>
          <w:color w:val="auto"/>
          <w:sz w:val="24"/>
          <w:highlight w:val="none"/>
          <w:lang w:val="en-US" w:eastAsia="zh-CN"/>
        </w:rPr>
        <w:t>不仅需要承担免费维修义务，还需要承担违约责任。</w:t>
      </w:r>
    </w:p>
    <w:p>
      <w:pPr>
        <w:pStyle w:val="7"/>
        <w:ind w:firstLine="723" w:firstLineChars="300"/>
        <w:rPr>
          <w:rFonts w:hint="default" w:eastAsiaTheme="minorEastAsia"/>
          <w:b/>
          <w:bCs/>
          <w:lang w:val="en-US" w:eastAsia="zh-CN"/>
        </w:rPr>
      </w:pPr>
      <w:r>
        <w:rPr>
          <w:rFonts w:hint="eastAsia"/>
          <w:b/>
          <w:bCs/>
          <w:lang w:val="en-US" w:eastAsia="zh-CN"/>
        </w:rPr>
        <w:t>七</w:t>
      </w:r>
      <w:r>
        <w:rPr>
          <w:rFonts w:hint="eastAsia"/>
          <w:b/>
          <w:bCs/>
          <w:lang w:val="en-US"/>
        </w:rPr>
        <w:t>、验收</w:t>
      </w:r>
      <w:r>
        <w:rPr>
          <w:rFonts w:hint="eastAsia"/>
          <w:b/>
          <w:bCs/>
          <w:lang w:val="en-US" w:eastAsia="zh-CN"/>
        </w:rPr>
        <w:t>方式及要求</w:t>
      </w:r>
    </w:p>
    <w:p>
      <w:pPr>
        <w:pStyle w:val="7"/>
        <w:numPr>
          <w:ilvl w:val="0"/>
          <w:numId w:val="0"/>
        </w:numPr>
        <w:ind w:firstLine="720" w:firstLineChars="3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hint="eastAsia" w:ascii="宋体" w:hAnsi="宋体" w:eastAsia="宋体" w:cs="宋体"/>
          <w:sz w:val="24"/>
          <w:lang w:eastAsia="zh-CN"/>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包括但不限于合格证、检测报告（制造厂家或者第三方机构）证明材料</w:t>
      </w:r>
      <w:r>
        <w:rPr>
          <w:rFonts w:hint="eastAsia" w:ascii="宋体" w:hAnsi="宋体" w:eastAsia="宋体" w:cs="宋体"/>
          <w:sz w:val="24"/>
          <w:lang w:eastAsia="zh-CN"/>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pPr>
        <w:pStyle w:val="16"/>
        <w:ind w:left="0" w:leftChars="0" w:firstLine="480" w:firstLineChars="200"/>
        <w:rPr>
          <w:rFonts w:hint="eastAsia"/>
          <w:highlight w:val="none"/>
          <w:lang w:val="en-US" w:eastAsia="zh-CN"/>
        </w:rPr>
      </w:pPr>
      <w:r>
        <w:rPr>
          <w:rFonts w:hint="eastAsia"/>
          <w:highlight w:val="none"/>
          <w:lang w:val="en-US" w:eastAsia="zh-CN"/>
        </w:rPr>
        <w:t>3.供应商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w:t>
      </w:r>
    </w:p>
    <w:p>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7"/>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配合采购人做好货物的到货数量验收工作，将货物运达采购人指定交货地点后及时通知采购人，双方指定人员现场确认送货数量并由双方签字确认。</w:t>
      </w:r>
    </w:p>
    <w:p>
      <w:pPr>
        <w:pStyle w:val="7"/>
        <w:ind w:firstLine="480" w:firstLineChars="200"/>
        <w:rPr>
          <w:rFonts w:hint="default"/>
          <w:color w:val="auto"/>
          <w:highlight w:val="none"/>
          <w:lang w:val="en-US" w:eastAsia="zh-CN"/>
        </w:rPr>
      </w:pPr>
      <w:r>
        <w:rPr>
          <w:rFonts w:hint="eastAsia"/>
          <w:color w:val="auto"/>
          <w:highlight w:val="none"/>
          <w:lang w:val="en-US" w:eastAsia="zh-CN"/>
        </w:rPr>
        <w:t>6.供应商维修完成后双方就维修部位水平度、垂直度和表面平整度根据《电力建设施工技术规范(锅炉机组篇)》DL/T 5190.2进行初步验收，待焚烧系统7天内正常运行，无脱落、设备高温等情况发生的，视为本次维修验收合格。结算数量以每次停炉检修实际用量（采购人双向过磅净重）为准。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八</w:t>
      </w:r>
      <w:r>
        <w:rPr>
          <w:rFonts w:hint="eastAsia"/>
          <w:b/>
          <w:bCs/>
          <w:lang w:val="en-US"/>
        </w:rPr>
        <w:t>、结算方式</w:t>
      </w:r>
    </w:p>
    <w:p>
      <w:pPr>
        <w:pStyle w:val="16"/>
        <w:ind w:firstLine="480" w:firstLineChars="200"/>
        <w:rPr>
          <w:lang w:val="en-US"/>
        </w:rPr>
      </w:pPr>
      <w:r>
        <w:rPr>
          <w:rFonts w:hint="eastAsia"/>
          <w:lang w:val="en-US"/>
        </w:rPr>
        <w:t>以本询价采购文件中的合同条款为准。</w:t>
      </w:r>
    </w:p>
    <w:p>
      <w:pPr>
        <w:pStyle w:val="7"/>
        <w:ind w:firstLine="482" w:firstLineChars="200"/>
        <w:rPr>
          <w:rFonts w:hint="eastAsia" w:ascii="宋体"/>
          <w:b/>
          <w:bCs/>
          <w:lang w:val="en-US"/>
        </w:rPr>
      </w:pPr>
      <w:r>
        <w:rPr>
          <w:rFonts w:hint="eastAsia" w:ascii="宋体"/>
          <w:b/>
          <w:bCs/>
          <w:lang w:val="en-US" w:eastAsia="zh-CN"/>
        </w:rPr>
        <w:t>九</w:t>
      </w:r>
      <w:r>
        <w:rPr>
          <w:rFonts w:hint="eastAsia" w:ascii="宋体"/>
          <w:b/>
          <w:bCs/>
          <w:lang w:val="en-US"/>
        </w:rPr>
        <w:t>、</w:t>
      </w:r>
      <w:r>
        <w:rPr>
          <w:rFonts w:hint="eastAsia" w:ascii="宋体"/>
          <w:b/>
          <w:bCs/>
          <w:lang w:val="en-US" w:eastAsia="zh-CN"/>
        </w:rPr>
        <w:t>安全</w:t>
      </w:r>
      <w:r>
        <w:rPr>
          <w:rFonts w:hint="eastAsia" w:ascii="宋体"/>
          <w:b/>
          <w:bCs/>
          <w:lang w:val="en-US"/>
        </w:rPr>
        <w:t>要求</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1.供应商应满足采购人的现场管理制度要求，遵守国家、行业、地方法律法规，不得违章作业，出现任何人员安全事故由供应商自行承担。</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2.供应商在自备设备专用工具和服务人员的所有劳防用品。</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3.供应商在实施过程中应负责对采购人生产场地的保护，与实施区域无关进行必要隔离，若造成损坏应负责修复或赔偿。对实施区域必须做到工完料尽场地清，实施中更换下来的废旧物资应按时堆放至采购人指定的相应地点。</w:t>
      </w:r>
    </w:p>
    <w:p>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pStyle w:val="7"/>
        <w:numPr>
          <w:ilvl w:val="0"/>
          <w:numId w:val="0"/>
        </w:numPr>
        <w:ind w:firstLine="723" w:firstLineChars="200"/>
        <w:rPr>
          <w:rFonts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2070"/>
      <w:bookmarkEnd w:id="20"/>
      <w:bookmarkStart w:id="21" w:name="_Toc184308082"/>
      <w:bookmarkEnd w:id="21"/>
      <w:bookmarkStart w:id="22" w:name="_Toc184314452"/>
      <w:bookmarkEnd w:id="22"/>
      <w:bookmarkStart w:id="23" w:name="_Toc184310324"/>
      <w:bookmarkEnd w:id="23"/>
      <w:bookmarkStart w:id="24" w:name="_Toc184314455"/>
      <w:bookmarkEnd w:id="24"/>
      <w:bookmarkStart w:id="25" w:name="_Toc184308090"/>
      <w:bookmarkEnd w:id="25"/>
      <w:bookmarkStart w:id="26" w:name="_Toc184312093"/>
      <w:bookmarkEnd w:id="26"/>
      <w:bookmarkStart w:id="27" w:name="_Toc184314422"/>
      <w:bookmarkEnd w:id="27"/>
      <w:bookmarkStart w:id="28" w:name="_Toc184314415"/>
      <w:bookmarkEnd w:id="28"/>
      <w:bookmarkStart w:id="29" w:name="_Toc184312078"/>
      <w:bookmarkEnd w:id="29"/>
      <w:bookmarkStart w:id="30" w:name="_Toc184312068"/>
      <w:bookmarkEnd w:id="30"/>
      <w:bookmarkStart w:id="31" w:name="_Toc184313306"/>
      <w:bookmarkEnd w:id="31"/>
      <w:bookmarkStart w:id="32" w:name="_Toc184308074"/>
      <w:bookmarkEnd w:id="32"/>
      <w:bookmarkStart w:id="33" w:name="_Toc184314440"/>
      <w:bookmarkEnd w:id="33"/>
      <w:bookmarkStart w:id="34" w:name="_Toc184308077"/>
      <w:bookmarkEnd w:id="34"/>
      <w:bookmarkStart w:id="35" w:name="_Toc184310300"/>
      <w:bookmarkEnd w:id="35"/>
      <w:bookmarkStart w:id="36" w:name="_Toc184313251"/>
      <w:bookmarkEnd w:id="36"/>
      <w:bookmarkStart w:id="37" w:name="_Toc184310277"/>
      <w:bookmarkEnd w:id="37"/>
      <w:bookmarkStart w:id="38" w:name="_Toc184314433"/>
      <w:bookmarkEnd w:id="38"/>
      <w:bookmarkStart w:id="39" w:name="_Toc184314481"/>
      <w:bookmarkEnd w:id="39"/>
      <w:bookmarkStart w:id="40" w:name="_Toc184310293"/>
      <w:bookmarkEnd w:id="40"/>
      <w:bookmarkStart w:id="41" w:name="_Toc184308092"/>
      <w:bookmarkEnd w:id="41"/>
      <w:bookmarkStart w:id="42" w:name="_Toc184308079"/>
      <w:bookmarkEnd w:id="42"/>
      <w:bookmarkStart w:id="43" w:name="_Toc184310297"/>
      <w:bookmarkEnd w:id="43"/>
      <w:bookmarkStart w:id="44" w:name="_Toc184313273"/>
      <w:bookmarkEnd w:id="44"/>
      <w:bookmarkStart w:id="45" w:name="_Toc184312073"/>
      <w:bookmarkEnd w:id="45"/>
      <w:bookmarkStart w:id="46" w:name="_Toc184314442"/>
      <w:bookmarkEnd w:id="46"/>
      <w:bookmarkStart w:id="47" w:name="_Toc184312106"/>
      <w:bookmarkEnd w:id="47"/>
      <w:bookmarkStart w:id="48" w:name="_Toc184310298"/>
      <w:bookmarkEnd w:id="48"/>
      <w:bookmarkStart w:id="49" w:name="_Toc184310343"/>
      <w:bookmarkEnd w:id="49"/>
      <w:bookmarkStart w:id="50" w:name="_Toc184312083"/>
      <w:bookmarkEnd w:id="50"/>
      <w:bookmarkStart w:id="51" w:name="_Toc184314480"/>
      <w:bookmarkEnd w:id="51"/>
      <w:bookmarkStart w:id="52" w:name="_Toc184312089"/>
      <w:bookmarkEnd w:id="52"/>
      <w:bookmarkStart w:id="53" w:name="_Toc184308065"/>
      <w:bookmarkEnd w:id="53"/>
      <w:bookmarkStart w:id="54" w:name="_Toc184314437"/>
      <w:bookmarkEnd w:id="54"/>
      <w:bookmarkStart w:id="55" w:name="_Toc184312094"/>
      <w:bookmarkEnd w:id="55"/>
      <w:bookmarkStart w:id="56" w:name="_Toc184312136"/>
      <w:bookmarkEnd w:id="56"/>
      <w:bookmarkStart w:id="57" w:name="_Toc184308085"/>
      <w:bookmarkEnd w:id="57"/>
      <w:bookmarkStart w:id="58" w:name="_Toc184308056"/>
      <w:bookmarkEnd w:id="58"/>
      <w:bookmarkStart w:id="59" w:name="_Toc184314430"/>
      <w:bookmarkEnd w:id="59"/>
      <w:bookmarkStart w:id="60" w:name="_Toc184312118"/>
      <w:bookmarkEnd w:id="60"/>
      <w:bookmarkStart w:id="61" w:name="_Toc184308094"/>
      <w:bookmarkEnd w:id="61"/>
      <w:bookmarkStart w:id="62" w:name="_Toc184310313"/>
      <w:bookmarkEnd w:id="62"/>
      <w:bookmarkStart w:id="63" w:name="_Toc184312081"/>
      <w:bookmarkEnd w:id="63"/>
      <w:bookmarkStart w:id="64" w:name="_Toc184313280"/>
      <w:bookmarkEnd w:id="64"/>
      <w:bookmarkStart w:id="65" w:name="_Toc184313303"/>
      <w:bookmarkEnd w:id="65"/>
      <w:bookmarkStart w:id="66" w:name="_Toc184312110"/>
      <w:bookmarkEnd w:id="66"/>
      <w:bookmarkStart w:id="67" w:name="_Toc184314450"/>
      <w:bookmarkEnd w:id="67"/>
      <w:bookmarkStart w:id="68" w:name="_Toc184312099"/>
      <w:bookmarkEnd w:id="68"/>
      <w:bookmarkStart w:id="69" w:name="_Toc184310342"/>
      <w:bookmarkEnd w:id="69"/>
      <w:bookmarkStart w:id="70" w:name="_Toc184308041"/>
      <w:bookmarkEnd w:id="70"/>
      <w:bookmarkStart w:id="71" w:name="_Toc184314468"/>
      <w:bookmarkEnd w:id="71"/>
      <w:bookmarkStart w:id="72" w:name="_Toc184308088"/>
      <w:bookmarkEnd w:id="72"/>
      <w:bookmarkStart w:id="73" w:name="_Toc184310276"/>
      <w:bookmarkEnd w:id="73"/>
      <w:bookmarkStart w:id="74" w:name="_Toc184310318"/>
      <w:bookmarkEnd w:id="74"/>
      <w:bookmarkStart w:id="75" w:name="_Toc184312135"/>
      <w:bookmarkEnd w:id="75"/>
      <w:bookmarkStart w:id="76" w:name="_Toc184310321"/>
      <w:bookmarkEnd w:id="76"/>
      <w:bookmarkStart w:id="77" w:name="_Toc184308086"/>
      <w:bookmarkEnd w:id="77"/>
      <w:bookmarkStart w:id="78" w:name="_Toc184313277"/>
      <w:bookmarkEnd w:id="78"/>
      <w:bookmarkStart w:id="79" w:name="_Toc184308055"/>
      <w:bookmarkEnd w:id="79"/>
      <w:bookmarkStart w:id="80" w:name="_Toc184313265"/>
      <w:bookmarkEnd w:id="80"/>
      <w:bookmarkStart w:id="81" w:name="_Toc184314460"/>
      <w:bookmarkEnd w:id="81"/>
      <w:bookmarkStart w:id="82" w:name="_Toc184310286"/>
      <w:bookmarkEnd w:id="82"/>
      <w:bookmarkStart w:id="83" w:name="_Toc184310279"/>
      <w:bookmarkEnd w:id="83"/>
      <w:bookmarkStart w:id="84" w:name="_Toc184310311"/>
      <w:bookmarkEnd w:id="84"/>
      <w:bookmarkStart w:id="85" w:name="_Toc184308081"/>
      <w:bookmarkEnd w:id="85"/>
      <w:bookmarkStart w:id="86" w:name="_Toc184313297"/>
      <w:bookmarkEnd w:id="86"/>
      <w:bookmarkStart w:id="87" w:name="_Toc184314419"/>
      <w:bookmarkEnd w:id="87"/>
      <w:bookmarkStart w:id="88" w:name="_Toc184314425"/>
      <w:bookmarkEnd w:id="88"/>
      <w:bookmarkStart w:id="89" w:name="_Toc184312095"/>
      <w:bookmarkEnd w:id="89"/>
      <w:bookmarkStart w:id="90" w:name="_Toc184313309"/>
      <w:bookmarkEnd w:id="90"/>
      <w:bookmarkStart w:id="91" w:name="_Toc184313299"/>
      <w:bookmarkEnd w:id="91"/>
      <w:bookmarkStart w:id="92" w:name="_Toc184314445"/>
      <w:bookmarkEnd w:id="92"/>
      <w:bookmarkStart w:id="93" w:name="_Toc184312105"/>
      <w:bookmarkEnd w:id="93"/>
      <w:bookmarkStart w:id="94" w:name="_Toc184312084"/>
      <w:bookmarkEnd w:id="94"/>
      <w:bookmarkStart w:id="95" w:name="_Toc184312085"/>
      <w:bookmarkEnd w:id="95"/>
      <w:bookmarkStart w:id="96" w:name="_Toc184310317"/>
      <w:bookmarkEnd w:id="96"/>
      <w:bookmarkStart w:id="97" w:name="_Toc184312097"/>
      <w:bookmarkEnd w:id="97"/>
      <w:bookmarkStart w:id="98" w:name="_Toc184313275"/>
      <w:bookmarkEnd w:id="98"/>
      <w:bookmarkStart w:id="99" w:name="_Toc184314482"/>
      <w:bookmarkEnd w:id="99"/>
      <w:bookmarkStart w:id="100" w:name="_Toc184308104"/>
      <w:bookmarkEnd w:id="100"/>
      <w:bookmarkStart w:id="101" w:name="_Toc184313282"/>
      <w:bookmarkEnd w:id="101"/>
      <w:bookmarkStart w:id="102" w:name="_Toc184313269"/>
      <w:bookmarkEnd w:id="102"/>
      <w:bookmarkStart w:id="103" w:name="_Toc184313258"/>
      <w:bookmarkEnd w:id="103"/>
      <w:bookmarkStart w:id="104" w:name="_Toc184312092"/>
      <w:bookmarkEnd w:id="104"/>
      <w:bookmarkStart w:id="105" w:name="_Toc184313310"/>
      <w:bookmarkEnd w:id="105"/>
      <w:bookmarkStart w:id="106" w:name="_Toc184314435"/>
      <w:bookmarkEnd w:id="106"/>
      <w:bookmarkStart w:id="107" w:name="_Toc184314410"/>
      <w:bookmarkEnd w:id="107"/>
      <w:bookmarkStart w:id="108" w:name="_Toc184314436"/>
      <w:bookmarkEnd w:id="108"/>
      <w:bookmarkStart w:id="109" w:name="_Toc184312115"/>
      <w:bookmarkEnd w:id="109"/>
      <w:bookmarkStart w:id="110" w:name="_Toc184308105"/>
      <w:bookmarkEnd w:id="110"/>
      <w:bookmarkStart w:id="111" w:name="_Toc184310308"/>
      <w:bookmarkEnd w:id="111"/>
      <w:bookmarkStart w:id="112" w:name="_Toc184308054"/>
      <w:bookmarkEnd w:id="112"/>
      <w:bookmarkStart w:id="113" w:name="_Toc184314418"/>
      <w:bookmarkEnd w:id="113"/>
      <w:bookmarkStart w:id="114" w:name="_Toc184310283"/>
      <w:bookmarkEnd w:id="114"/>
      <w:bookmarkStart w:id="115" w:name="_Toc184313301"/>
      <w:bookmarkEnd w:id="115"/>
      <w:bookmarkStart w:id="116" w:name="_Toc184313271"/>
      <w:bookmarkEnd w:id="116"/>
      <w:bookmarkStart w:id="117" w:name="_Toc184313287"/>
      <w:bookmarkEnd w:id="117"/>
      <w:bookmarkStart w:id="118" w:name="_Toc184313274"/>
      <w:bookmarkEnd w:id="118"/>
      <w:bookmarkStart w:id="119" w:name="_Toc184313250"/>
      <w:bookmarkEnd w:id="119"/>
      <w:bookmarkStart w:id="120" w:name="_Toc184310314"/>
      <w:bookmarkEnd w:id="120"/>
      <w:bookmarkStart w:id="121" w:name="_Toc184310331"/>
      <w:bookmarkEnd w:id="121"/>
      <w:bookmarkStart w:id="122" w:name="_Toc184308083"/>
      <w:bookmarkEnd w:id="122"/>
      <w:bookmarkStart w:id="123" w:name="_Toc184310333"/>
      <w:bookmarkEnd w:id="123"/>
      <w:bookmarkStart w:id="124" w:name="_Toc184308058"/>
      <w:bookmarkEnd w:id="124"/>
      <w:bookmarkStart w:id="125" w:name="_Toc184314449"/>
      <w:bookmarkEnd w:id="125"/>
      <w:bookmarkStart w:id="126" w:name="_Toc184310294"/>
      <w:bookmarkEnd w:id="126"/>
      <w:bookmarkStart w:id="127" w:name="_Toc184312072"/>
      <w:bookmarkEnd w:id="127"/>
      <w:bookmarkStart w:id="128" w:name="_Toc184312130"/>
      <w:bookmarkEnd w:id="128"/>
      <w:bookmarkStart w:id="129" w:name="_Toc184312104"/>
      <w:bookmarkEnd w:id="129"/>
      <w:bookmarkStart w:id="130" w:name="_Toc184313254"/>
      <w:bookmarkEnd w:id="130"/>
      <w:bookmarkStart w:id="131" w:name="_Toc184310330"/>
      <w:bookmarkEnd w:id="131"/>
      <w:bookmarkStart w:id="132" w:name="_Toc184313294"/>
      <w:bookmarkEnd w:id="132"/>
      <w:bookmarkStart w:id="133" w:name="_Toc184313249"/>
      <w:bookmarkEnd w:id="133"/>
      <w:bookmarkStart w:id="134" w:name="_Toc184310338"/>
      <w:bookmarkEnd w:id="134"/>
      <w:bookmarkStart w:id="135" w:name="_Toc184310299"/>
      <w:bookmarkEnd w:id="135"/>
      <w:bookmarkStart w:id="136" w:name="_Toc184308062"/>
      <w:bookmarkEnd w:id="136"/>
      <w:bookmarkStart w:id="137" w:name="_Toc184308107"/>
      <w:bookmarkEnd w:id="137"/>
      <w:bookmarkStart w:id="138" w:name="_Toc184310310"/>
      <w:bookmarkEnd w:id="138"/>
      <w:bookmarkStart w:id="139" w:name="_Toc184314456"/>
      <w:bookmarkEnd w:id="139"/>
      <w:bookmarkStart w:id="140" w:name="_Toc184312122"/>
      <w:bookmarkEnd w:id="140"/>
      <w:bookmarkStart w:id="141" w:name="_Toc184313260"/>
      <w:bookmarkEnd w:id="141"/>
      <w:bookmarkStart w:id="142" w:name="_Toc184312109"/>
      <w:bookmarkEnd w:id="142"/>
      <w:bookmarkStart w:id="143" w:name="_Toc184310325"/>
      <w:bookmarkEnd w:id="143"/>
      <w:bookmarkStart w:id="144" w:name="_Toc184313295"/>
      <w:bookmarkEnd w:id="144"/>
      <w:bookmarkStart w:id="145" w:name="_Toc184313298"/>
      <w:bookmarkEnd w:id="145"/>
      <w:bookmarkStart w:id="146" w:name="_Toc184310309"/>
      <w:bookmarkEnd w:id="146"/>
      <w:bookmarkStart w:id="147" w:name="_Toc184314444"/>
      <w:bookmarkEnd w:id="147"/>
      <w:bookmarkStart w:id="148" w:name="_Toc184312103"/>
      <w:bookmarkEnd w:id="148"/>
      <w:bookmarkStart w:id="149" w:name="_Toc184313257"/>
      <w:bookmarkEnd w:id="149"/>
      <w:bookmarkStart w:id="150" w:name="_Toc184314461"/>
      <w:bookmarkEnd w:id="150"/>
      <w:bookmarkStart w:id="151" w:name="_Toc184313288"/>
      <w:bookmarkEnd w:id="151"/>
      <w:bookmarkStart w:id="152" w:name="_Toc184314420"/>
      <w:bookmarkEnd w:id="152"/>
      <w:bookmarkStart w:id="153" w:name="_Toc184314432"/>
      <w:bookmarkEnd w:id="153"/>
      <w:bookmarkStart w:id="154" w:name="_Toc184312131"/>
      <w:bookmarkEnd w:id="154"/>
      <w:bookmarkStart w:id="155" w:name="_Toc184312137"/>
      <w:bookmarkEnd w:id="155"/>
      <w:bookmarkStart w:id="156" w:name="_Toc184314470"/>
      <w:bookmarkEnd w:id="156"/>
      <w:bookmarkStart w:id="157" w:name="_Toc184312075"/>
      <w:bookmarkEnd w:id="157"/>
      <w:bookmarkStart w:id="158" w:name="_Toc184313268"/>
      <w:bookmarkEnd w:id="158"/>
      <w:bookmarkStart w:id="159" w:name="_Toc184313253"/>
      <w:bookmarkEnd w:id="159"/>
      <w:bookmarkStart w:id="160" w:name="_Toc184310336"/>
      <w:bookmarkEnd w:id="160"/>
      <w:bookmarkStart w:id="161" w:name="_Toc184308061"/>
      <w:bookmarkEnd w:id="161"/>
      <w:bookmarkStart w:id="162" w:name="_Toc184308057"/>
      <w:bookmarkEnd w:id="162"/>
      <w:bookmarkStart w:id="163" w:name="_Toc184314453"/>
      <w:bookmarkEnd w:id="163"/>
      <w:bookmarkStart w:id="164" w:name="_Toc184312134"/>
      <w:bookmarkEnd w:id="164"/>
      <w:bookmarkStart w:id="165" w:name="_Toc184310328"/>
      <w:bookmarkEnd w:id="165"/>
      <w:bookmarkStart w:id="166" w:name="_Toc184308047"/>
      <w:bookmarkEnd w:id="166"/>
      <w:bookmarkStart w:id="167" w:name="_Toc184313242"/>
      <w:bookmarkEnd w:id="167"/>
      <w:bookmarkStart w:id="168" w:name="_Toc184314421"/>
      <w:bookmarkEnd w:id="168"/>
      <w:bookmarkStart w:id="169" w:name="_Toc184314411"/>
      <w:bookmarkEnd w:id="169"/>
      <w:bookmarkStart w:id="170" w:name="_Toc184314439"/>
      <w:bookmarkEnd w:id="170"/>
      <w:bookmarkStart w:id="171" w:name="_Toc184313276"/>
      <w:bookmarkEnd w:id="171"/>
      <w:bookmarkStart w:id="172" w:name="_Toc184313286"/>
      <w:bookmarkEnd w:id="172"/>
      <w:bookmarkStart w:id="173" w:name="_Toc184310335"/>
      <w:bookmarkEnd w:id="173"/>
      <w:bookmarkStart w:id="174" w:name="_Toc184313278"/>
      <w:bookmarkEnd w:id="174"/>
      <w:bookmarkStart w:id="175" w:name="_Toc184314467"/>
      <w:bookmarkEnd w:id="175"/>
      <w:bookmarkStart w:id="176" w:name="_Toc184310281"/>
      <w:bookmarkEnd w:id="176"/>
      <w:bookmarkStart w:id="177" w:name="_Toc184312102"/>
      <w:bookmarkEnd w:id="177"/>
      <w:bookmarkStart w:id="178" w:name="_Toc184314469"/>
      <w:bookmarkEnd w:id="178"/>
      <w:bookmarkStart w:id="179" w:name="_Toc184314434"/>
      <w:bookmarkEnd w:id="179"/>
      <w:bookmarkStart w:id="180" w:name="_Toc184310284"/>
      <w:bookmarkEnd w:id="180"/>
      <w:bookmarkStart w:id="181" w:name="_Toc184312128"/>
      <w:bookmarkEnd w:id="181"/>
      <w:bookmarkStart w:id="182" w:name="_Toc184313291"/>
      <w:bookmarkEnd w:id="182"/>
      <w:bookmarkStart w:id="183" w:name="_Toc184312096"/>
      <w:bookmarkEnd w:id="183"/>
      <w:bookmarkStart w:id="184" w:name="_Toc184314417"/>
      <w:bookmarkEnd w:id="184"/>
      <w:bookmarkStart w:id="185" w:name="_Toc184313302"/>
      <w:bookmarkEnd w:id="185"/>
      <w:bookmarkStart w:id="186" w:name="_Toc184310289"/>
      <w:bookmarkEnd w:id="186"/>
      <w:bookmarkStart w:id="187" w:name="_Toc184312082"/>
      <w:bookmarkEnd w:id="187"/>
      <w:bookmarkStart w:id="188" w:name="_Toc184308070"/>
      <w:bookmarkEnd w:id="188"/>
      <w:bookmarkStart w:id="189" w:name="_Toc184308048"/>
      <w:bookmarkEnd w:id="189"/>
      <w:bookmarkStart w:id="190" w:name="_Toc184308106"/>
      <w:bookmarkEnd w:id="190"/>
      <w:bookmarkStart w:id="191" w:name="_Toc184312098"/>
      <w:bookmarkEnd w:id="191"/>
      <w:bookmarkStart w:id="192" w:name="_Toc184313266"/>
      <w:bookmarkEnd w:id="192"/>
      <w:bookmarkStart w:id="193" w:name="_Toc184313244"/>
      <w:bookmarkEnd w:id="193"/>
      <w:bookmarkStart w:id="194" w:name="_Toc184312090"/>
      <w:bookmarkEnd w:id="194"/>
      <w:bookmarkStart w:id="195" w:name="_Toc184308095"/>
      <w:bookmarkEnd w:id="195"/>
      <w:bookmarkStart w:id="196" w:name="_Toc184310304"/>
      <w:bookmarkEnd w:id="196"/>
      <w:bookmarkStart w:id="197" w:name="_Toc184308108"/>
      <w:bookmarkEnd w:id="197"/>
      <w:bookmarkStart w:id="198" w:name="_Toc184312112"/>
      <w:bookmarkEnd w:id="198"/>
      <w:bookmarkStart w:id="199" w:name="_Toc184308102"/>
      <w:bookmarkEnd w:id="199"/>
      <w:bookmarkStart w:id="200" w:name="_Toc184312138"/>
      <w:bookmarkEnd w:id="200"/>
      <w:bookmarkStart w:id="201" w:name="_Toc184308076"/>
      <w:bookmarkEnd w:id="201"/>
      <w:bookmarkStart w:id="202" w:name="_Toc184314477"/>
      <w:bookmarkEnd w:id="202"/>
      <w:bookmarkStart w:id="203" w:name="_Toc184314476"/>
      <w:bookmarkEnd w:id="203"/>
      <w:bookmarkStart w:id="204" w:name="_Toc184310322"/>
      <w:bookmarkEnd w:id="204"/>
      <w:bookmarkStart w:id="205" w:name="_Toc184312076"/>
      <w:bookmarkEnd w:id="205"/>
      <w:bookmarkStart w:id="206" w:name="_Toc184310306"/>
      <w:bookmarkEnd w:id="206"/>
      <w:bookmarkStart w:id="207" w:name="_Toc184312132"/>
      <w:bookmarkEnd w:id="207"/>
      <w:bookmarkStart w:id="208" w:name="_Toc184314474"/>
      <w:bookmarkEnd w:id="208"/>
      <w:bookmarkStart w:id="209" w:name="_Toc184313255"/>
      <w:bookmarkEnd w:id="209"/>
      <w:bookmarkStart w:id="210" w:name="_Toc184310319"/>
      <w:bookmarkEnd w:id="210"/>
      <w:bookmarkStart w:id="211" w:name="_Toc184314451"/>
      <w:bookmarkEnd w:id="211"/>
      <w:bookmarkStart w:id="212" w:name="_Toc184312114"/>
      <w:bookmarkEnd w:id="212"/>
      <w:bookmarkStart w:id="213" w:name="_Toc184308099"/>
      <w:bookmarkEnd w:id="213"/>
      <w:bookmarkStart w:id="214" w:name="_Toc184314428"/>
      <w:bookmarkEnd w:id="214"/>
      <w:bookmarkStart w:id="215" w:name="_Toc184310302"/>
      <w:bookmarkEnd w:id="215"/>
      <w:bookmarkStart w:id="216" w:name="_Toc184310326"/>
      <w:bookmarkEnd w:id="216"/>
      <w:bookmarkStart w:id="217" w:name="_Toc184313245"/>
      <w:bookmarkEnd w:id="217"/>
      <w:bookmarkStart w:id="218" w:name="_Toc184310327"/>
      <w:bookmarkEnd w:id="218"/>
      <w:bookmarkStart w:id="219" w:name="_Toc184314457"/>
      <w:bookmarkEnd w:id="219"/>
      <w:bookmarkStart w:id="220" w:name="_Toc184310323"/>
      <w:bookmarkEnd w:id="220"/>
      <w:bookmarkStart w:id="221" w:name="_Toc184310341"/>
      <w:bookmarkEnd w:id="221"/>
      <w:bookmarkStart w:id="222" w:name="_Toc184312067"/>
      <w:bookmarkEnd w:id="222"/>
      <w:bookmarkStart w:id="223" w:name="_Toc184312124"/>
      <w:bookmarkEnd w:id="223"/>
      <w:bookmarkStart w:id="224" w:name="_Toc184314429"/>
      <w:bookmarkEnd w:id="224"/>
      <w:bookmarkStart w:id="225" w:name="_Toc184312079"/>
      <w:bookmarkEnd w:id="225"/>
      <w:bookmarkStart w:id="226" w:name="_Toc184314472"/>
      <w:bookmarkEnd w:id="226"/>
      <w:bookmarkStart w:id="227" w:name="_Toc184313284"/>
      <w:bookmarkEnd w:id="227"/>
      <w:bookmarkStart w:id="228" w:name="_Toc184314464"/>
      <w:bookmarkEnd w:id="228"/>
      <w:bookmarkStart w:id="229" w:name="_Toc184313289"/>
      <w:bookmarkEnd w:id="229"/>
      <w:bookmarkStart w:id="230" w:name="_Toc184310316"/>
      <w:bookmarkEnd w:id="230"/>
      <w:bookmarkStart w:id="231" w:name="_Toc184312086"/>
      <w:bookmarkEnd w:id="231"/>
      <w:bookmarkStart w:id="232" w:name="_Toc184312125"/>
      <w:bookmarkEnd w:id="232"/>
      <w:bookmarkStart w:id="233" w:name="_Toc184308059"/>
      <w:bookmarkEnd w:id="233"/>
      <w:bookmarkStart w:id="234" w:name="_Toc184308072"/>
      <w:bookmarkEnd w:id="234"/>
      <w:bookmarkStart w:id="235" w:name="_Toc184313285"/>
      <w:bookmarkEnd w:id="235"/>
      <w:bookmarkStart w:id="236" w:name="_Toc184313292"/>
      <w:bookmarkEnd w:id="236"/>
      <w:bookmarkStart w:id="237" w:name="_Toc184308045"/>
      <w:bookmarkEnd w:id="237"/>
      <w:bookmarkStart w:id="238" w:name="_Toc184314475"/>
      <w:bookmarkEnd w:id="238"/>
      <w:bookmarkStart w:id="239" w:name="_Toc184308097"/>
      <w:bookmarkEnd w:id="239"/>
      <w:bookmarkStart w:id="240" w:name="_Toc184308052"/>
      <w:bookmarkEnd w:id="240"/>
      <w:bookmarkStart w:id="241" w:name="_Toc184310303"/>
      <w:bookmarkEnd w:id="241"/>
      <w:bookmarkStart w:id="242" w:name="_Toc184313296"/>
      <w:bookmarkEnd w:id="242"/>
      <w:bookmarkStart w:id="243" w:name="_Toc184308101"/>
      <w:bookmarkEnd w:id="243"/>
      <w:bookmarkStart w:id="244" w:name="_Toc184310278"/>
      <w:bookmarkEnd w:id="244"/>
      <w:bookmarkStart w:id="245" w:name="_Toc184313307"/>
      <w:bookmarkEnd w:id="245"/>
      <w:bookmarkStart w:id="246" w:name="_Toc184308087"/>
      <w:bookmarkEnd w:id="246"/>
      <w:bookmarkStart w:id="247" w:name="_Toc184308042"/>
      <w:bookmarkEnd w:id="247"/>
      <w:bookmarkStart w:id="248" w:name="_Toc184314465"/>
      <w:bookmarkEnd w:id="248"/>
      <w:bookmarkStart w:id="249" w:name="_Toc184312116"/>
      <w:bookmarkEnd w:id="249"/>
      <w:bookmarkStart w:id="250" w:name="_Toc184308100"/>
      <w:bookmarkEnd w:id="250"/>
      <w:bookmarkStart w:id="251" w:name="_Toc184308069"/>
      <w:bookmarkEnd w:id="251"/>
      <w:bookmarkStart w:id="252" w:name="_Toc184314447"/>
      <w:bookmarkEnd w:id="252"/>
      <w:bookmarkStart w:id="253" w:name="_Toc184313246"/>
      <w:bookmarkEnd w:id="253"/>
      <w:bookmarkStart w:id="254" w:name="_Toc184312111"/>
      <w:bookmarkEnd w:id="254"/>
      <w:bookmarkStart w:id="255" w:name="_Toc184308038"/>
      <w:bookmarkEnd w:id="255"/>
      <w:bookmarkStart w:id="256" w:name="_Toc184310320"/>
      <w:bookmarkEnd w:id="256"/>
      <w:bookmarkStart w:id="257" w:name="_Toc184314443"/>
      <w:bookmarkEnd w:id="257"/>
      <w:bookmarkStart w:id="258" w:name="_Toc184310329"/>
      <w:bookmarkEnd w:id="258"/>
      <w:bookmarkStart w:id="259" w:name="_Toc184308039"/>
      <w:bookmarkEnd w:id="259"/>
      <w:bookmarkStart w:id="260" w:name="_Toc184313264"/>
      <w:bookmarkEnd w:id="260"/>
      <w:bookmarkStart w:id="261" w:name="_Toc184312120"/>
      <w:bookmarkEnd w:id="261"/>
      <w:bookmarkStart w:id="262" w:name="_Toc184312074"/>
      <w:bookmarkEnd w:id="262"/>
      <w:bookmarkStart w:id="263" w:name="_Toc184314413"/>
      <w:bookmarkEnd w:id="263"/>
      <w:bookmarkStart w:id="264" w:name="_Toc184314466"/>
      <w:bookmarkEnd w:id="264"/>
      <w:bookmarkStart w:id="265" w:name="_Toc184312071"/>
      <w:bookmarkEnd w:id="265"/>
      <w:bookmarkStart w:id="266" w:name="_Toc184314479"/>
      <w:bookmarkEnd w:id="266"/>
      <w:bookmarkStart w:id="267" w:name="_Toc184313308"/>
      <w:bookmarkEnd w:id="267"/>
      <w:bookmarkStart w:id="268" w:name="_Toc184312108"/>
      <w:bookmarkEnd w:id="268"/>
      <w:bookmarkStart w:id="269" w:name="_Toc184312077"/>
      <w:bookmarkEnd w:id="269"/>
      <w:bookmarkStart w:id="270" w:name="_Toc184314458"/>
      <w:bookmarkEnd w:id="270"/>
      <w:bookmarkStart w:id="271" w:name="_Toc184314473"/>
      <w:bookmarkEnd w:id="271"/>
      <w:bookmarkStart w:id="272" w:name="_Toc184310332"/>
      <w:bookmarkEnd w:id="272"/>
      <w:bookmarkStart w:id="273" w:name="_Toc184310315"/>
      <w:bookmarkEnd w:id="273"/>
      <w:bookmarkStart w:id="274" w:name="_Toc184310305"/>
      <w:bookmarkEnd w:id="274"/>
      <w:bookmarkStart w:id="275" w:name="_Toc184313252"/>
      <w:bookmarkEnd w:id="275"/>
      <w:bookmarkStart w:id="276" w:name="_Toc184310292"/>
      <w:bookmarkEnd w:id="276"/>
      <w:bookmarkStart w:id="277" w:name="_Toc184313300"/>
      <w:bookmarkEnd w:id="277"/>
      <w:bookmarkStart w:id="278" w:name="_Toc184314423"/>
      <w:bookmarkEnd w:id="278"/>
      <w:bookmarkStart w:id="279" w:name="_Toc184314441"/>
      <w:bookmarkEnd w:id="279"/>
      <w:bookmarkStart w:id="280" w:name="_Toc184310272"/>
      <w:bookmarkEnd w:id="280"/>
      <w:bookmarkStart w:id="281" w:name="_Toc184314471"/>
      <w:bookmarkEnd w:id="281"/>
      <w:bookmarkStart w:id="282" w:name="_Toc184308084"/>
      <w:bookmarkEnd w:id="282"/>
      <w:bookmarkStart w:id="283" w:name="_Toc184310290"/>
      <w:bookmarkEnd w:id="283"/>
      <w:bookmarkStart w:id="284" w:name="_Toc184310307"/>
      <w:bookmarkEnd w:id="284"/>
      <w:bookmarkStart w:id="285" w:name="_Toc184314459"/>
      <w:bookmarkEnd w:id="285"/>
      <w:bookmarkStart w:id="286" w:name="_Toc184308051"/>
      <w:bookmarkEnd w:id="286"/>
      <w:bookmarkStart w:id="287" w:name="_Toc184313247"/>
      <w:bookmarkEnd w:id="287"/>
      <w:bookmarkStart w:id="288" w:name="_Toc184314427"/>
      <w:bookmarkEnd w:id="288"/>
      <w:bookmarkStart w:id="289" w:name="_Toc184313270"/>
      <w:bookmarkEnd w:id="289"/>
      <w:bookmarkStart w:id="290" w:name="_Toc184313259"/>
      <w:bookmarkEnd w:id="290"/>
      <w:bookmarkStart w:id="291" w:name="_Toc184308046"/>
      <w:bookmarkEnd w:id="291"/>
      <w:bookmarkStart w:id="292" w:name="_Toc184308071"/>
      <w:bookmarkEnd w:id="292"/>
      <w:bookmarkStart w:id="293" w:name="_Toc184308098"/>
      <w:bookmarkEnd w:id="293"/>
      <w:bookmarkStart w:id="294" w:name="_Toc184313279"/>
      <w:bookmarkEnd w:id="294"/>
      <w:bookmarkStart w:id="295" w:name="_Toc184314462"/>
      <w:bookmarkEnd w:id="295"/>
      <w:bookmarkStart w:id="296" w:name="_Toc184312069"/>
      <w:bookmarkEnd w:id="296"/>
      <w:bookmarkStart w:id="297" w:name="_Toc184310296"/>
      <w:bookmarkEnd w:id="297"/>
      <w:bookmarkStart w:id="298" w:name="_Toc184310282"/>
      <w:bookmarkEnd w:id="298"/>
      <w:bookmarkStart w:id="299" w:name="_Toc184308091"/>
      <w:bookmarkEnd w:id="299"/>
      <w:bookmarkStart w:id="300" w:name="_Toc184308037"/>
      <w:bookmarkEnd w:id="300"/>
      <w:bookmarkStart w:id="301" w:name="_Toc184310337"/>
      <w:bookmarkEnd w:id="301"/>
      <w:bookmarkStart w:id="302" w:name="_Toc184308080"/>
      <w:bookmarkEnd w:id="302"/>
      <w:bookmarkStart w:id="303" w:name="_Toc184313256"/>
      <w:bookmarkEnd w:id="303"/>
      <w:bookmarkStart w:id="304" w:name="_Toc184313238"/>
      <w:bookmarkEnd w:id="304"/>
      <w:bookmarkStart w:id="305" w:name="_Toc184308067"/>
      <w:bookmarkEnd w:id="305"/>
      <w:bookmarkStart w:id="306" w:name="_Toc184310285"/>
      <w:bookmarkEnd w:id="306"/>
      <w:bookmarkStart w:id="307" w:name="_Toc184308053"/>
      <w:bookmarkEnd w:id="307"/>
      <w:bookmarkStart w:id="308" w:name="_Toc184312101"/>
      <w:bookmarkEnd w:id="308"/>
      <w:bookmarkStart w:id="309" w:name="_Toc184314448"/>
      <w:bookmarkEnd w:id="309"/>
      <w:bookmarkStart w:id="310" w:name="_Toc184313272"/>
      <w:bookmarkEnd w:id="310"/>
      <w:bookmarkStart w:id="311" w:name="_Toc184312139"/>
      <w:bookmarkEnd w:id="311"/>
      <w:bookmarkStart w:id="312" w:name="_Toc184310334"/>
      <w:bookmarkEnd w:id="312"/>
      <w:bookmarkStart w:id="313" w:name="_Toc184314463"/>
      <w:bookmarkEnd w:id="313"/>
      <w:bookmarkStart w:id="314" w:name="_Toc184314438"/>
      <w:bookmarkEnd w:id="314"/>
      <w:bookmarkStart w:id="315" w:name="_Toc184308089"/>
      <w:bookmarkEnd w:id="315"/>
      <w:bookmarkStart w:id="316" w:name="_Toc184310301"/>
      <w:bookmarkEnd w:id="316"/>
      <w:bookmarkStart w:id="317" w:name="_Toc184310287"/>
      <w:bookmarkEnd w:id="317"/>
      <w:bookmarkStart w:id="318" w:name="_Toc184312113"/>
      <w:bookmarkEnd w:id="318"/>
      <w:bookmarkStart w:id="319" w:name="_Toc184312107"/>
      <w:bookmarkEnd w:id="319"/>
      <w:bookmarkStart w:id="320" w:name="_Toc184313281"/>
      <w:bookmarkEnd w:id="320"/>
      <w:bookmarkStart w:id="321" w:name="_Toc184312080"/>
      <w:bookmarkEnd w:id="321"/>
      <w:bookmarkStart w:id="322" w:name="_Toc184313305"/>
      <w:bookmarkEnd w:id="322"/>
      <w:bookmarkStart w:id="323" w:name="_Toc184312123"/>
      <w:bookmarkEnd w:id="323"/>
      <w:bookmarkStart w:id="324" w:name="_Toc184312087"/>
      <w:bookmarkEnd w:id="324"/>
      <w:bookmarkStart w:id="325" w:name="_Toc184313243"/>
      <w:bookmarkEnd w:id="325"/>
      <w:bookmarkStart w:id="326" w:name="_Toc184308103"/>
      <w:bookmarkEnd w:id="326"/>
      <w:bookmarkStart w:id="327" w:name="_Toc184308073"/>
      <w:bookmarkEnd w:id="327"/>
      <w:bookmarkStart w:id="328" w:name="_Toc184310275"/>
      <w:bookmarkEnd w:id="328"/>
      <w:bookmarkStart w:id="329" w:name="_Toc184310291"/>
      <w:bookmarkEnd w:id="329"/>
      <w:bookmarkStart w:id="330" w:name="_Toc184313239"/>
      <w:bookmarkEnd w:id="330"/>
      <w:bookmarkStart w:id="331" w:name="_Toc184308036"/>
      <w:bookmarkEnd w:id="331"/>
      <w:bookmarkStart w:id="332" w:name="_Toc184312129"/>
      <w:bookmarkEnd w:id="332"/>
      <w:bookmarkStart w:id="333" w:name="_Toc184312119"/>
      <w:bookmarkEnd w:id="333"/>
      <w:bookmarkStart w:id="334" w:name="_Toc184310340"/>
      <w:bookmarkEnd w:id="334"/>
      <w:bookmarkStart w:id="335" w:name="_Toc184310288"/>
      <w:bookmarkEnd w:id="335"/>
      <w:bookmarkStart w:id="336" w:name="_Toc184314431"/>
      <w:bookmarkEnd w:id="336"/>
      <w:bookmarkStart w:id="337" w:name="_Toc184312126"/>
      <w:bookmarkEnd w:id="337"/>
      <w:bookmarkStart w:id="338" w:name="_Toc184310280"/>
      <w:bookmarkEnd w:id="338"/>
      <w:bookmarkStart w:id="339" w:name="_Toc184312121"/>
      <w:bookmarkEnd w:id="339"/>
      <w:bookmarkStart w:id="340" w:name="_Toc184308096"/>
      <w:bookmarkEnd w:id="340"/>
      <w:bookmarkStart w:id="341" w:name="_Toc184313241"/>
      <w:bookmarkEnd w:id="341"/>
      <w:bookmarkStart w:id="342" w:name="_Toc184314424"/>
      <w:bookmarkEnd w:id="342"/>
      <w:bookmarkStart w:id="343" w:name="_Toc184308064"/>
      <w:bookmarkEnd w:id="343"/>
      <w:bookmarkStart w:id="344" w:name="_Toc184308060"/>
      <w:bookmarkEnd w:id="344"/>
      <w:bookmarkStart w:id="345" w:name="_Toc184313267"/>
      <w:bookmarkEnd w:id="345"/>
      <w:bookmarkStart w:id="346" w:name="_Toc184314416"/>
      <w:bookmarkEnd w:id="346"/>
      <w:bookmarkStart w:id="347" w:name="_Toc184313262"/>
      <w:bookmarkEnd w:id="347"/>
      <w:bookmarkStart w:id="348" w:name="_Toc184310295"/>
      <w:bookmarkEnd w:id="348"/>
      <w:bookmarkStart w:id="349" w:name="_Toc184310273"/>
      <w:bookmarkEnd w:id="349"/>
      <w:bookmarkStart w:id="350" w:name="_Toc184313293"/>
      <w:bookmarkEnd w:id="350"/>
      <w:bookmarkStart w:id="351" w:name="_Toc184310312"/>
      <w:bookmarkEnd w:id="351"/>
      <w:bookmarkStart w:id="352" w:name="_Toc184314454"/>
      <w:bookmarkEnd w:id="352"/>
      <w:bookmarkStart w:id="353" w:name="_Toc184310339"/>
      <w:bookmarkEnd w:id="353"/>
      <w:bookmarkStart w:id="354" w:name="_Toc184308040"/>
      <w:bookmarkEnd w:id="354"/>
      <w:bookmarkStart w:id="355" w:name="_Toc184314478"/>
      <w:bookmarkEnd w:id="355"/>
      <w:bookmarkStart w:id="356" w:name="_Toc184312127"/>
      <w:bookmarkEnd w:id="356"/>
      <w:bookmarkStart w:id="357" w:name="_Toc184312133"/>
      <w:bookmarkEnd w:id="357"/>
      <w:bookmarkStart w:id="358" w:name="_Toc184308044"/>
      <w:bookmarkEnd w:id="358"/>
      <w:bookmarkStart w:id="359" w:name="_Toc184308068"/>
      <w:bookmarkEnd w:id="359"/>
      <w:bookmarkStart w:id="360" w:name="_Toc184312091"/>
      <w:bookmarkEnd w:id="360"/>
      <w:bookmarkStart w:id="361" w:name="_Toc184313263"/>
      <w:bookmarkEnd w:id="361"/>
      <w:bookmarkStart w:id="362" w:name="_Toc184312100"/>
      <w:bookmarkEnd w:id="362"/>
      <w:bookmarkStart w:id="363" w:name="_Toc184308050"/>
      <w:bookmarkEnd w:id="363"/>
      <w:bookmarkStart w:id="364" w:name="_Toc184308093"/>
      <w:bookmarkEnd w:id="364"/>
      <w:bookmarkStart w:id="365" w:name="_Toc184314412"/>
      <w:bookmarkEnd w:id="365"/>
      <w:bookmarkStart w:id="366" w:name="_Toc184310344"/>
      <w:bookmarkEnd w:id="366"/>
      <w:bookmarkStart w:id="367" w:name="_Toc184312117"/>
      <w:bookmarkEnd w:id="367"/>
      <w:bookmarkStart w:id="368" w:name="_Toc184314426"/>
      <w:bookmarkEnd w:id="368"/>
      <w:bookmarkStart w:id="369" w:name="_Toc184313261"/>
      <w:bookmarkEnd w:id="369"/>
      <w:bookmarkStart w:id="370" w:name="_Toc184314414"/>
      <w:bookmarkEnd w:id="370"/>
      <w:bookmarkStart w:id="371" w:name="_Toc184308078"/>
      <w:bookmarkEnd w:id="371"/>
      <w:bookmarkStart w:id="372" w:name="_Toc184308043"/>
      <w:bookmarkEnd w:id="372"/>
      <w:bookmarkStart w:id="373" w:name="_Toc184313290"/>
      <w:bookmarkEnd w:id="373"/>
      <w:bookmarkStart w:id="374" w:name="_Toc184308075"/>
      <w:bookmarkEnd w:id="374"/>
      <w:bookmarkStart w:id="375" w:name="_Toc184313283"/>
      <w:bookmarkEnd w:id="375"/>
      <w:bookmarkStart w:id="376" w:name="_Toc184308066"/>
      <w:bookmarkEnd w:id="376"/>
      <w:bookmarkStart w:id="377" w:name="_Toc184314446"/>
      <w:bookmarkEnd w:id="377"/>
      <w:bookmarkStart w:id="378" w:name="_Toc184313304"/>
      <w:bookmarkEnd w:id="378"/>
      <w:bookmarkStart w:id="379" w:name="_Toc184312088"/>
      <w:bookmarkEnd w:id="379"/>
      <w:bookmarkStart w:id="380" w:name="_Toc184308063"/>
      <w:bookmarkEnd w:id="380"/>
      <w:bookmarkStart w:id="381" w:name="_Toc184313248"/>
      <w:bookmarkEnd w:id="381"/>
      <w:bookmarkStart w:id="382" w:name="_Toc184313240"/>
      <w:bookmarkEnd w:id="382"/>
      <w:bookmarkStart w:id="383" w:name="_Toc184308049"/>
      <w:bookmarkEnd w:id="383"/>
      <w:bookmarkStart w:id="384" w:name="_Toc184310274"/>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5"/>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2025年能源运行中心碳化硅耐磨可塑料采购项目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7"/>
      </w:pPr>
    </w:p>
    <w:p>
      <w:pPr>
        <w:pStyle w:val="16"/>
      </w:pPr>
    </w:p>
    <w:p/>
    <w:p>
      <w:pPr>
        <w:pStyle w:val="7"/>
      </w:pPr>
    </w:p>
    <w:p>
      <w:pPr>
        <w:pStyle w:val="16"/>
      </w:pPr>
    </w:p>
    <w:p/>
    <w:p>
      <w:pPr>
        <w:pStyle w:val="7"/>
      </w:pPr>
    </w:p>
    <w:p>
      <w:pPr>
        <w:pStyle w:val="16"/>
      </w:pPr>
    </w:p>
    <w:p/>
    <w:p>
      <w:pPr>
        <w:pStyle w:val="7"/>
      </w:pPr>
    </w:p>
    <w:p>
      <w:pPr>
        <w:pStyle w:val="16"/>
      </w:pPr>
    </w:p>
    <w:p/>
    <w:p>
      <w:pPr>
        <w:pStyle w:val="25"/>
        <w:ind w:left="0" w:leftChars="0" w:firstLine="0" w:firstLineChars="0"/>
        <w:rPr>
          <w:rFonts w:ascii="宋体" w:hAnsi="宋体" w:cs="宋体"/>
          <w:b/>
          <w:szCs w:val="24"/>
        </w:rPr>
      </w:pPr>
    </w:p>
    <w:p>
      <w:pPr>
        <w:pStyle w:val="16"/>
        <w:jc w:val="center"/>
        <w:rPr>
          <w:rFonts w:eastAsia="宋体"/>
          <w:b/>
          <w:bCs/>
        </w:rPr>
      </w:pPr>
      <w:r>
        <w:rPr>
          <w:rFonts w:hint="eastAsia"/>
          <w:b/>
          <w:bCs/>
        </w:rPr>
        <w:t>目录</w:t>
      </w:r>
    </w:p>
    <w:p>
      <w:pPr>
        <w:pStyle w:val="8"/>
        <w:spacing w:line="360" w:lineRule="auto"/>
        <w:ind w:firstLine="240" w:firstLineChars="100"/>
      </w:pPr>
      <w:r>
        <w:rPr>
          <w:rFonts w:hint="eastAsia"/>
        </w:rPr>
        <w:t>第一章 合同书  ……………………………………………………………（页码）</w:t>
      </w:r>
    </w:p>
    <w:p>
      <w:pPr>
        <w:pStyle w:val="8"/>
        <w:spacing w:line="360" w:lineRule="auto"/>
        <w:ind w:firstLine="240" w:firstLineChars="100"/>
      </w:pPr>
      <w:r>
        <w:rPr>
          <w:rFonts w:hint="eastAsia"/>
        </w:rPr>
        <w:t>第二章 合同一般条款………………………………………………………（页码）</w:t>
      </w:r>
    </w:p>
    <w:p>
      <w:pPr>
        <w:pStyle w:val="8"/>
        <w:spacing w:line="360" w:lineRule="auto"/>
        <w:ind w:firstLine="240" w:firstLineChars="100"/>
        <w:rPr>
          <w:rFonts w:hint="eastAsia"/>
        </w:rPr>
      </w:pPr>
      <w:r>
        <w:rPr>
          <w:rFonts w:hint="eastAsia"/>
        </w:rPr>
        <w:t xml:space="preserve">第三章 </w:t>
      </w:r>
      <w:r>
        <w:rPr>
          <w:rFonts w:hint="eastAsia"/>
          <w:lang w:val="en-US" w:eastAsia="zh-CN"/>
        </w:rPr>
        <w:t>安全</w:t>
      </w:r>
      <w:r>
        <w:rPr>
          <w:rFonts w:hint="eastAsia"/>
        </w:rPr>
        <w:t>协议……………………………………………………………（页码）</w:t>
      </w:r>
    </w:p>
    <w:p>
      <w:pPr>
        <w:pStyle w:val="8"/>
        <w:spacing w:line="360" w:lineRule="auto"/>
        <w:ind w:firstLine="240" w:firstLineChars="100"/>
      </w:pPr>
      <w:r>
        <w:rPr>
          <w:rFonts w:hint="eastAsia"/>
        </w:rPr>
        <w:t>第</w:t>
      </w:r>
      <w:r>
        <w:rPr>
          <w:rFonts w:hint="eastAsia"/>
          <w:lang w:val="en-US" w:eastAsia="zh-CN"/>
        </w:rPr>
        <w:t>四</w:t>
      </w:r>
      <w:r>
        <w:rPr>
          <w:rFonts w:hint="eastAsia"/>
        </w:rPr>
        <w:t>章 廉洁协议……………………………………………………………（页码）</w:t>
      </w:r>
    </w:p>
    <w:p>
      <w:pPr>
        <w:pStyle w:val="8"/>
        <w:spacing w:line="360" w:lineRule="auto"/>
        <w:ind w:firstLine="240" w:firstLineChars="100"/>
        <w:rPr>
          <w:rFonts w:hint="eastAsia"/>
        </w:rPr>
      </w:pPr>
    </w:p>
    <w:p>
      <w:pPr>
        <w:pStyle w:val="25"/>
        <w:rPr>
          <w:rFonts w:ascii="宋体" w:hAnsi="宋体" w:cs="宋体"/>
          <w:szCs w:val="24"/>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2025年能源运行中心碳化硅耐磨可塑料采购项目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5" w:name="_Toc2232"/>
      <w:bookmarkStart w:id="386" w:name="_Toc24059"/>
      <w:bookmarkStart w:id="387" w:name="_Toc3029"/>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8" w:name="_Toc27126"/>
      <w:bookmarkStart w:id="389" w:name="_Toc24300"/>
      <w:bookmarkStart w:id="390" w:name="_Toc21295"/>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单价和总价均包括但不限于货款、包装费、运输费及运输保险费、装卸费、</w:t>
      </w:r>
      <w:r>
        <w:rPr>
          <w:rFonts w:hint="eastAsia" w:ascii="宋体" w:hAnsi="宋体" w:cs="宋体"/>
          <w:sz w:val="24"/>
          <w:lang w:val="en-US" w:eastAsia="zh-CN"/>
        </w:rPr>
        <w:t>拆旧费、</w:t>
      </w:r>
      <w:r>
        <w:rPr>
          <w:rFonts w:hint="eastAsia" w:ascii="宋体" w:hAnsi="宋体" w:cs="宋体"/>
          <w:sz w:val="24"/>
        </w:rPr>
        <w:t>安装调试费、售后服务费及税费等全部费用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p>
      <w:pPr>
        <w:spacing w:line="360" w:lineRule="auto"/>
        <w:ind w:firstLine="480" w:firstLineChars="200"/>
        <w:rPr>
          <w:rFonts w:hint="eastAsia" w:ascii="宋体" w:hAnsi="宋体" w:cs="宋体"/>
          <w:sz w:val="24"/>
          <w:lang w:val="en-US" w:eastAsia="zh-CN"/>
        </w:rPr>
      </w:pPr>
    </w:p>
    <w:p>
      <w:pPr>
        <w:spacing w:line="360" w:lineRule="auto"/>
        <w:ind w:firstLine="480" w:firstLineChars="200"/>
        <w:rPr>
          <w:rFonts w:hint="eastAsia" w:ascii="宋体" w:hAnsi="宋体" w:cs="宋体"/>
          <w:sz w:val="24"/>
          <w:lang w:val="en-US" w:eastAsia="zh-CN"/>
        </w:rPr>
      </w:pPr>
    </w:p>
    <w:tbl>
      <w:tblPr>
        <w:tblStyle w:val="18"/>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063"/>
        <w:gridCol w:w="764"/>
        <w:gridCol w:w="668"/>
        <w:gridCol w:w="1036"/>
        <w:gridCol w:w="969"/>
        <w:gridCol w:w="3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54" w:type="dxa"/>
            <w:vAlign w:val="center"/>
          </w:tcPr>
          <w:p>
            <w:pPr>
              <w:widowControl w:val="0"/>
              <w:kinsoku/>
              <w:autoSpaceDE/>
              <w:autoSpaceDN/>
              <w:adjustRightInd/>
              <w:snapToGrid/>
              <w:spacing w:line="360" w:lineRule="auto"/>
              <w:jc w:val="center"/>
              <w:textAlignment w:val="auto"/>
              <w:rPr>
                <w:rFonts w:hint="eastAsia" w:ascii="宋体" w:hAnsi="宋体" w:eastAsia="宋体" w:cs="宋体"/>
                <w:snapToGrid/>
                <w:kern w:val="2"/>
                <w:lang w:val="en-US" w:eastAsia="zh-CN"/>
              </w:rPr>
            </w:pPr>
            <w:r>
              <w:rPr>
                <w:rFonts w:hint="eastAsia" w:ascii="宋体" w:hAnsi="宋体" w:eastAsia="宋体" w:cs="宋体"/>
                <w:snapToGrid/>
                <w:kern w:val="2"/>
                <w:lang w:val="en-US" w:eastAsia="zh-CN"/>
              </w:rPr>
              <w:t>序号</w:t>
            </w:r>
          </w:p>
        </w:tc>
        <w:tc>
          <w:tcPr>
            <w:tcW w:w="1063" w:type="dxa"/>
            <w:vAlign w:val="center"/>
          </w:tcPr>
          <w:p>
            <w:pPr>
              <w:widowControl w:val="0"/>
              <w:kinsoku/>
              <w:autoSpaceDE/>
              <w:autoSpaceDN/>
              <w:adjustRightInd/>
              <w:snapToGrid/>
              <w:spacing w:line="360" w:lineRule="auto"/>
              <w:jc w:val="center"/>
              <w:textAlignment w:val="auto"/>
              <w:rPr>
                <w:rFonts w:ascii="宋体" w:hAnsi="宋体" w:eastAsia="宋体" w:cs="宋体"/>
                <w:snapToGrid/>
                <w:kern w:val="2"/>
              </w:rPr>
            </w:pPr>
            <w:r>
              <w:rPr>
                <w:rFonts w:hint="eastAsia" w:ascii="宋体" w:hAnsi="宋体" w:eastAsia="宋体" w:cs="宋体"/>
                <w:snapToGrid/>
                <w:kern w:val="2"/>
              </w:rPr>
              <w:t>产品名称</w:t>
            </w:r>
          </w:p>
        </w:tc>
        <w:tc>
          <w:tcPr>
            <w:tcW w:w="764" w:type="dxa"/>
            <w:vAlign w:val="center"/>
          </w:tcPr>
          <w:p>
            <w:pPr>
              <w:widowControl w:val="0"/>
              <w:kinsoku/>
              <w:autoSpaceDE/>
              <w:autoSpaceDN/>
              <w:adjustRightInd/>
              <w:snapToGrid/>
              <w:spacing w:line="360" w:lineRule="auto"/>
              <w:jc w:val="center"/>
              <w:textAlignment w:val="auto"/>
              <w:rPr>
                <w:rFonts w:ascii="宋体" w:hAnsi="宋体" w:eastAsia="宋体" w:cs="宋体"/>
                <w:snapToGrid/>
                <w:kern w:val="2"/>
              </w:rPr>
            </w:pPr>
            <w:r>
              <w:rPr>
                <w:rFonts w:hint="eastAsia" w:ascii="宋体" w:hAnsi="宋体" w:eastAsia="宋体" w:cs="宋体"/>
                <w:snapToGrid/>
                <w:kern w:val="2"/>
              </w:rPr>
              <w:t>预估用量</w:t>
            </w:r>
          </w:p>
        </w:tc>
        <w:tc>
          <w:tcPr>
            <w:tcW w:w="668" w:type="dxa"/>
            <w:vAlign w:val="center"/>
          </w:tcPr>
          <w:p>
            <w:pPr>
              <w:widowControl w:val="0"/>
              <w:kinsoku/>
              <w:autoSpaceDE/>
              <w:autoSpaceDN/>
              <w:adjustRightInd/>
              <w:snapToGrid/>
              <w:spacing w:line="360" w:lineRule="auto"/>
              <w:jc w:val="center"/>
              <w:textAlignment w:val="auto"/>
              <w:rPr>
                <w:rFonts w:ascii="宋体" w:hAnsi="宋体" w:eastAsia="宋体" w:cs="宋体"/>
                <w:snapToGrid/>
                <w:kern w:val="2"/>
              </w:rPr>
            </w:pPr>
            <w:r>
              <w:rPr>
                <w:rFonts w:hint="eastAsia" w:ascii="宋体" w:hAnsi="宋体" w:eastAsia="宋体" w:cs="宋体"/>
                <w:snapToGrid/>
                <w:kern w:val="2"/>
              </w:rPr>
              <w:t>单位</w:t>
            </w:r>
          </w:p>
        </w:tc>
        <w:tc>
          <w:tcPr>
            <w:tcW w:w="1036" w:type="dxa"/>
            <w:vAlign w:val="center"/>
          </w:tcPr>
          <w:p>
            <w:pPr>
              <w:widowControl w:val="0"/>
              <w:kinsoku/>
              <w:autoSpaceDE/>
              <w:autoSpaceDN/>
              <w:adjustRightInd/>
              <w:snapToGrid/>
              <w:spacing w:line="360" w:lineRule="auto"/>
              <w:jc w:val="center"/>
              <w:textAlignment w:val="auto"/>
              <w:rPr>
                <w:rFonts w:hint="eastAsia" w:ascii="宋体" w:hAnsi="宋体" w:eastAsia="宋体" w:cs="宋体"/>
                <w:snapToGrid/>
                <w:kern w:val="2"/>
                <w:lang w:val="en-US" w:eastAsia="zh-CN"/>
              </w:rPr>
            </w:pPr>
            <w:r>
              <w:rPr>
                <w:rFonts w:hint="eastAsia" w:ascii="宋体" w:hAnsi="宋体" w:eastAsia="宋体" w:cs="宋体"/>
                <w:snapToGrid/>
                <w:kern w:val="2"/>
                <w:lang w:val="en-US" w:eastAsia="zh-CN"/>
              </w:rPr>
              <w:t>单价（元）</w:t>
            </w:r>
          </w:p>
        </w:tc>
        <w:tc>
          <w:tcPr>
            <w:tcW w:w="969" w:type="dxa"/>
            <w:vAlign w:val="center"/>
          </w:tcPr>
          <w:p>
            <w:pPr>
              <w:widowControl w:val="0"/>
              <w:kinsoku/>
              <w:autoSpaceDE/>
              <w:autoSpaceDN/>
              <w:adjustRightInd/>
              <w:snapToGrid/>
              <w:spacing w:line="360" w:lineRule="auto"/>
              <w:jc w:val="center"/>
              <w:textAlignment w:val="auto"/>
              <w:rPr>
                <w:rFonts w:hint="eastAsia" w:ascii="宋体" w:hAnsi="宋体" w:eastAsia="宋体" w:cs="宋体"/>
                <w:snapToGrid/>
                <w:kern w:val="2"/>
                <w:lang w:val="en-US" w:eastAsia="zh-CN"/>
              </w:rPr>
            </w:pPr>
            <w:r>
              <w:rPr>
                <w:rFonts w:hint="eastAsia" w:ascii="宋体" w:hAnsi="宋体" w:eastAsia="宋体" w:cs="宋体"/>
                <w:snapToGrid/>
                <w:kern w:val="2"/>
                <w:lang w:val="en-US" w:eastAsia="zh-CN"/>
              </w:rPr>
              <w:t>金额（元）</w:t>
            </w:r>
          </w:p>
        </w:tc>
        <w:tc>
          <w:tcPr>
            <w:tcW w:w="3562" w:type="dxa"/>
            <w:vAlign w:val="center"/>
          </w:tcPr>
          <w:p>
            <w:pPr>
              <w:widowControl w:val="0"/>
              <w:kinsoku/>
              <w:autoSpaceDE/>
              <w:autoSpaceDN/>
              <w:adjustRightInd/>
              <w:snapToGrid/>
              <w:spacing w:line="360" w:lineRule="auto"/>
              <w:jc w:val="center"/>
              <w:textAlignment w:val="auto"/>
              <w:rPr>
                <w:rFonts w:ascii="宋体" w:hAnsi="宋体" w:eastAsia="宋体" w:cs="宋体"/>
                <w:snapToGrid/>
                <w:kern w:val="2"/>
              </w:rPr>
            </w:pPr>
            <w:r>
              <w:rPr>
                <w:rFonts w:hint="eastAsia" w:ascii="宋体" w:hAnsi="宋体" w:eastAsia="宋体" w:cs="宋体"/>
                <w:snapToGrid/>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754" w:type="dxa"/>
            <w:vAlign w:val="center"/>
          </w:tcPr>
          <w:p>
            <w:pPr>
              <w:widowControl w:val="0"/>
              <w:kinsoku/>
              <w:autoSpaceDE/>
              <w:autoSpaceDN/>
              <w:adjustRightInd/>
              <w:snapToGrid/>
              <w:spacing w:line="360" w:lineRule="auto"/>
              <w:jc w:val="center"/>
              <w:textAlignment w:val="auto"/>
              <w:rPr>
                <w:rFonts w:hint="eastAsia" w:ascii="宋体" w:hAnsi="宋体" w:eastAsia="宋体" w:cs="宋体"/>
                <w:snapToGrid/>
                <w:lang w:val="en-US" w:eastAsia="zh-CN"/>
              </w:rPr>
            </w:pPr>
            <w:r>
              <w:rPr>
                <w:rFonts w:hint="eastAsia" w:ascii="宋体" w:hAnsi="宋体" w:eastAsia="宋体" w:cs="宋体"/>
                <w:snapToGrid/>
                <w:lang w:val="en-US" w:eastAsia="zh-CN"/>
              </w:rPr>
              <w:t>1</w:t>
            </w:r>
          </w:p>
        </w:tc>
        <w:tc>
          <w:tcPr>
            <w:tcW w:w="1063" w:type="dxa"/>
            <w:vAlign w:val="center"/>
          </w:tcPr>
          <w:p>
            <w:pPr>
              <w:widowControl w:val="0"/>
              <w:kinsoku/>
              <w:autoSpaceDE/>
              <w:autoSpaceDN/>
              <w:adjustRightInd/>
              <w:snapToGrid/>
              <w:spacing w:line="360" w:lineRule="auto"/>
              <w:jc w:val="center"/>
              <w:textAlignment w:val="auto"/>
              <w:rPr>
                <w:rFonts w:ascii="宋体" w:hAnsi="宋体" w:eastAsia="宋体" w:cs="宋体"/>
                <w:snapToGrid/>
              </w:rPr>
            </w:pPr>
            <w:r>
              <w:rPr>
                <w:rFonts w:hint="eastAsia" w:ascii="宋体" w:hAnsi="宋体" w:eastAsia="宋体" w:cs="宋体"/>
                <w:snapToGrid/>
              </w:rPr>
              <w:t>碳化硅耐磨可塑料</w:t>
            </w:r>
          </w:p>
        </w:tc>
        <w:tc>
          <w:tcPr>
            <w:tcW w:w="764" w:type="dxa"/>
            <w:vAlign w:val="center"/>
          </w:tcPr>
          <w:p>
            <w:pPr>
              <w:widowControl w:val="0"/>
              <w:kinsoku/>
              <w:autoSpaceDE/>
              <w:autoSpaceDN/>
              <w:adjustRightInd/>
              <w:snapToGrid/>
              <w:spacing w:line="360" w:lineRule="auto"/>
              <w:jc w:val="center"/>
              <w:textAlignment w:val="auto"/>
              <w:rPr>
                <w:rFonts w:hint="default" w:ascii="宋体" w:hAnsi="宋体" w:eastAsia="宋体" w:cs="宋体"/>
                <w:snapToGrid/>
                <w:lang w:val="en-US" w:eastAsia="zh-CN"/>
              </w:rPr>
            </w:pPr>
            <w:r>
              <w:rPr>
                <w:rFonts w:hint="eastAsia" w:ascii="宋体" w:hAnsi="宋体" w:eastAsia="宋体" w:cs="宋体"/>
                <w:snapToGrid/>
                <w:lang w:val="en-US" w:eastAsia="zh-CN"/>
              </w:rPr>
              <w:t>37</w:t>
            </w:r>
          </w:p>
        </w:tc>
        <w:tc>
          <w:tcPr>
            <w:tcW w:w="668" w:type="dxa"/>
            <w:vAlign w:val="center"/>
          </w:tcPr>
          <w:p>
            <w:pPr>
              <w:widowControl w:val="0"/>
              <w:kinsoku/>
              <w:autoSpaceDE/>
              <w:autoSpaceDN/>
              <w:adjustRightInd/>
              <w:snapToGrid/>
              <w:spacing w:line="360" w:lineRule="auto"/>
              <w:jc w:val="center"/>
              <w:textAlignment w:val="auto"/>
              <w:rPr>
                <w:rFonts w:ascii="宋体" w:hAnsi="宋体" w:eastAsia="宋体" w:cs="宋体"/>
                <w:snapToGrid/>
              </w:rPr>
            </w:pPr>
            <w:r>
              <w:rPr>
                <w:rFonts w:hint="eastAsia" w:ascii="宋体" w:hAnsi="宋体" w:eastAsia="宋体" w:cs="宋体"/>
                <w:snapToGrid/>
              </w:rPr>
              <w:t>吨</w:t>
            </w:r>
          </w:p>
        </w:tc>
        <w:tc>
          <w:tcPr>
            <w:tcW w:w="1036" w:type="dxa"/>
          </w:tcPr>
          <w:p>
            <w:pPr>
              <w:widowControl w:val="0"/>
              <w:kinsoku/>
              <w:autoSpaceDE/>
              <w:autoSpaceDN/>
              <w:adjustRightInd/>
              <w:snapToGrid/>
              <w:spacing w:line="360" w:lineRule="auto"/>
              <w:jc w:val="center"/>
              <w:textAlignment w:val="auto"/>
              <w:rPr>
                <w:rFonts w:hint="eastAsia" w:ascii="宋体" w:hAnsi="宋体" w:eastAsia="宋体" w:cs="宋体"/>
                <w:snapToGrid/>
              </w:rPr>
            </w:pPr>
          </w:p>
        </w:tc>
        <w:tc>
          <w:tcPr>
            <w:tcW w:w="969" w:type="dxa"/>
          </w:tcPr>
          <w:p>
            <w:pPr>
              <w:widowControl w:val="0"/>
              <w:kinsoku/>
              <w:autoSpaceDE/>
              <w:autoSpaceDN/>
              <w:adjustRightInd/>
              <w:snapToGrid/>
              <w:spacing w:line="360" w:lineRule="auto"/>
              <w:jc w:val="center"/>
              <w:textAlignment w:val="auto"/>
              <w:rPr>
                <w:rFonts w:hint="eastAsia" w:ascii="宋体" w:hAnsi="宋体" w:eastAsia="宋体" w:cs="宋体"/>
                <w:snapToGrid/>
              </w:rPr>
            </w:pPr>
          </w:p>
        </w:tc>
        <w:tc>
          <w:tcPr>
            <w:tcW w:w="3562" w:type="dxa"/>
          </w:tcPr>
          <w:p>
            <w:pPr>
              <w:widowControl w:val="0"/>
              <w:kinsoku/>
              <w:autoSpaceDE/>
              <w:autoSpaceDN/>
              <w:adjustRightInd/>
              <w:snapToGrid/>
              <w:spacing w:line="360" w:lineRule="auto"/>
              <w:ind w:firstLine="420" w:firstLineChars="200"/>
              <w:jc w:val="center"/>
              <w:textAlignment w:val="auto"/>
              <w:rPr>
                <w:rFonts w:ascii="宋体" w:hAnsi="宋体" w:eastAsia="宋体" w:cs="宋体"/>
                <w:snapToGrid/>
              </w:rPr>
            </w:pPr>
            <w:r>
              <w:rPr>
                <w:rFonts w:hint="eastAsia" w:ascii="宋体" w:hAnsi="宋体" w:eastAsia="宋体" w:cs="宋体"/>
                <w:snapToGrid/>
              </w:rPr>
              <w:t>材料价格包含辅材（抓钉、</w:t>
            </w:r>
            <w:r>
              <w:rPr>
                <w:rFonts w:hint="eastAsia" w:ascii="宋体" w:hAnsi="宋体" w:eastAsia="宋体" w:cs="宋体"/>
                <w:snapToGrid/>
                <w:lang w:val="en-US" w:eastAsia="zh-CN"/>
              </w:rPr>
              <w:t>耐热钢筋、</w:t>
            </w:r>
            <w:r>
              <w:rPr>
                <w:rFonts w:hint="eastAsia" w:ascii="宋体" w:hAnsi="宋体" w:eastAsia="宋体" w:cs="宋体"/>
                <w:snapToGrid/>
              </w:rPr>
              <w:t>耐火泥等所有）、运输费、施工费、工具设备、模板、安全措施费、</w:t>
            </w:r>
            <w:r>
              <w:rPr>
                <w:rFonts w:hint="eastAsia" w:ascii="宋体" w:hAnsi="宋体" w:eastAsia="宋体" w:cs="宋体"/>
                <w:b/>
                <w:bCs/>
                <w:snapToGrid/>
              </w:rPr>
              <w:t>脚手架搭设（需要提供方案并经</w:t>
            </w:r>
            <w:r>
              <w:rPr>
                <w:rFonts w:hint="eastAsia" w:ascii="宋体" w:hAnsi="宋体" w:eastAsia="宋体" w:cs="宋体"/>
                <w:b/>
                <w:bCs/>
                <w:snapToGrid/>
                <w:lang w:val="en-US" w:eastAsia="zh-CN"/>
              </w:rPr>
              <w:t>甲方</w:t>
            </w:r>
            <w:r>
              <w:rPr>
                <w:rFonts w:hint="eastAsia" w:ascii="宋体" w:hAnsi="宋体" w:eastAsia="宋体" w:cs="宋体"/>
                <w:b/>
                <w:bCs/>
                <w:snapToGrid/>
              </w:rPr>
              <w:t>验收）、原残留浇注料拆除、</w:t>
            </w:r>
            <w:r>
              <w:rPr>
                <w:rFonts w:hint="eastAsia" w:ascii="宋体" w:hAnsi="宋体" w:eastAsia="宋体" w:cs="宋体"/>
                <w:snapToGrid/>
              </w:rPr>
              <w:t>设备设施等一切费用。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285" w:type="dxa"/>
            <w:gridSpan w:val="5"/>
            <w:vAlign w:val="center"/>
          </w:tcPr>
          <w:p>
            <w:pPr>
              <w:widowControl w:val="0"/>
              <w:kinsoku/>
              <w:autoSpaceDE/>
              <w:autoSpaceDN/>
              <w:adjustRightInd/>
              <w:snapToGrid/>
              <w:spacing w:line="360" w:lineRule="auto"/>
              <w:jc w:val="center"/>
              <w:textAlignment w:val="auto"/>
              <w:rPr>
                <w:rFonts w:hint="eastAsia" w:ascii="宋体" w:hAnsi="宋体" w:eastAsia="宋体" w:cs="宋体"/>
                <w:snapToGrid/>
                <w:lang w:val="en-US" w:eastAsia="zh-CN"/>
              </w:rPr>
            </w:pPr>
            <w:r>
              <w:rPr>
                <w:rFonts w:hint="eastAsia" w:ascii="宋体" w:hAnsi="宋体" w:eastAsia="宋体" w:cs="宋体"/>
                <w:snapToGrid/>
                <w:lang w:val="en-US" w:eastAsia="zh-CN"/>
              </w:rPr>
              <w:t>合计</w:t>
            </w:r>
          </w:p>
        </w:tc>
        <w:tc>
          <w:tcPr>
            <w:tcW w:w="4531" w:type="dxa"/>
            <w:gridSpan w:val="2"/>
          </w:tcPr>
          <w:p>
            <w:pPr>
              <w:widowControl w:val="0"/>
              <w:kinsoku/>
              <w:autoSpaceDE/>
              <w:autoSpaceDN/>
              <w:adjustRightInd/>
              <w:snapToGrid/>
              <w:spacing w:line="360" w:lineRule="auto"/>
              <w:ind w:firstLine="420" w:firstLineChars="200"/>
              <w:jc w:val="center"/>
              <w:textAlignment w:val="auto"/>
              <w:rPr>
                <w:rFonts w:hint="eastAsia" w:ascii="宋体" w:hAnsi="宋体" w:eastAsia="宋体" w:cs="宋体"/>
                <w:snapToGrid/>
              </w:rPr>
            </w:pPr>
          </w:p>
        </w:tc>
      </w:tr>
    </w:tbl>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cs="仿宋" w:asciiTheme="minorEastAsia" w:hAnsiTheme="minorEastAsia"/>
          <w:color w:val="auto"/>
          <w:sz w:val="24"/>
          <w:u w:val="single"/>
          <w:lang w:val="en-US" w:eastAsia="zh-CN"/>
        </w:rPr>
        <w:t>合同签订后2个月按照停炉计划按需供货及安装</w:t>
      </w:r>
      <w:r>
        <w:rPr>
          <w:rFonts w:hint="eastAsia" w:ascii="宋体" w:hAnsi="宋体" w:cs="宋体"/>
          <w:sz w:val="24"/>
          <w:highlight w:val="none"/>
          <w:u w:val="single"/>
          <w:lang w:val="en-US" w:eastAsia="zh-CN"/>
        </w:rPr>
        <w:t>。</w:t>
      </w:r>
    </w:p>
    <w:p>
      <w:pPr>
        <w:pStyle w:val="26"/>
        <w:spacing w:before="0" w:beforeAutospacing="0" w:after="0" w:afterAutospacing="0" w:line="360" w:lineRule="auto"/>
        <w:ind w:firstLine="480"/>
        <w:rPr>
          <w:b/>
        </w:rPr>
      </w:pPr>
      <w:bookmarkStart w:id="391" w:name="_Toc10340"/>
      <w:bookmarkStart w:id="392" w:name="_Toc22618"/>
      <w:bookmarkStart w:id="393" w:name="_Toc1814"/>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2</w:t>
      </w:r>
      <w:r>
        <w:rPr>
          <w:rFonts w:hint="eastAsia" w:ascii="宋体" w:hAnsi="宋体" w:cs="宋体"/>
          <w:sz w:val="24"/>
          <w:highlight w:val="none"/>
          <w:u w:val="single"/>
        </w:rPr>
        <w:t>个月</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按订单下达时间为准</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6"/>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color w:val="auto"/>
          <w:highlight w:val="none"/>
        </w:rPr>
      </w:pPr>
      <w:bookmarkStart w:id="394" w:name="_Toc14563"/>
      <w:bookmarkStart w:id="395" w:name="_Toc1125"/>
      <w:bookmarkStart w:id="396" w:name="_Toc6596"/>
      <w:r>
        <w:rPr>
          <w:rFonts w:hint="eastAsia" w:ascii="宋体"/>
          <w:color w:val="auto"/>
          <w:highlight w:val="none"/>
          <w:lang w:val="en-US" w:eastAsia="zh-CN"/>
        </w:rPr>
        <w:t>1.</w:t>
      </w:r>
      <w:r>
        <w:rPr>
          <w:rFonts w:hint="eastAsia" w:ascii="宋体" w:hAnsi="宋体" w:eastAsia="宋体" w:cs="仿宋"/>
          <w:b w:val="0"/>
          <w:bCs w:val="0"/>
          <w:sz w:val="24"/>
          <w:lang w:val="zh-CN"/>
        </w:rPr>
        <w:t>碳化硅耐磨可塑料</w:t>
      </w:r>
      <w:r>
        <w:rPr>
          <w:rFonts w:hint="eastAsia" w:ascii="宋体" w:hAnsi="宋体" w:eastAsia="宋体" w:cs="仿宋"/>
          <w:b w:val="0"/>
          <w:bCs w:val="0"/>
          <w:sz w:val="24"/>
          <w:lang w:val="en-US" w:eastAsia="zh-CN"/>
        </w:rPr>
        <w:t>符合下表</w:t>
      </w:r>
      <w:r>
        <w:rPr>
          <w:rFonts w:hint="eastAsia" w:ascii="宋体" w:hAnsi="宋体" w:eastAsia="宋体" w:cs="仿宋"/>
          <w:b w:val="0"/>
          <w:bCs w:val="0"/>
          <w:sz w:val="24"/>
          <w:lang w:val="zh-CN"/>
        </w:rPr>
        <w:t>参数要求</w:t>
      </w:r>
      <w:r>
        <w:rPr>
          <w:rFonts w:hint="eastAsia" w:eastAsia="宋体"/>
          <w:b w:val="0"/>
          <w:bCs w:val="0"/>
          <w:color w:val="auto"/>
          <w:highlight w:val="none"/>
          <w:lang w:eastAsia="zh-CN"/>
        </w:rPr>
        <w:t>：</w:t>
      </w:r>
      <w:r>
        <w:rPr>
          <w:rFonts w:hint="eastAsia"/>
          <w:b w:val="0"/>
          <w:bCs w:val="0"/>
          <w:color w:val="auto"/>
          <w:highlight w:val="none"/>
        </w:rPr>
        <w:t xml:space="preserve"> </w:t>
      </w:r>
    </w:p>
    <w:tbl>
      <w:tblPr>
        <w:tblStyle w:val="17"/>
        <w:tblW w:w="8796" w:type="dxa"/>
        <w:jc w:val="center"/>
        <w:tblLayout w:type="fixed"/>
        <w:tblCellMar>
          <w:top w:w="0" w:type="dxa"/>
          <w:left w:w="108" w:type="dxa"/>
          <w:bottom w:w="0" w:type="dxa"/>
          <w:right w:w="108" w:type="dxa"/>
        </w:tblCellMar>
      </w:tblPr>
      <w:tblGrid>
        <w:gridCol w:w="2467"/>
        <w:gridCol w:w="1764"/>
        <w:gridCol w:w="1449"/>
        <w:gridCol w:w="3116"/>
      </w:tblGrid>
      <w:tr>
        <w:tblPrEx>
          <w:tblCellMar>
            <w:top w:w="0" w:type="dxa"/>
            <w:left w:w="108" w:type="dxa"/>
            <w:bottom w:w="0" w:type="dxa"/>
            <w:right w:w="108" w:type="dxa"/>
          </w:tblCellMar>
        </w:tblPrEx>
        <w:trPr>
          <w:trHeight w:val="113" w:hRule="atLeast"/>
          <w:jc w:val="center"/>
        </w:trPr>
        <w:tc>
          <w:tcPr>
            <w:tcW w:w="5680" w:type="dxa"/>
            <w:gridSpan w:val="3"/>
            <w:tcBorders>
              <w:top w:val="single" w:color="auto" w:sz="4" w:space="0"/>
              <w:left w:val="single" w:color="auto" w:sz="4" w:space="0"/>
              <w:bottom w:val="single" w:color="auto" w:sz="4" w:space="0"/>
              <w:right w:val="single" w:color="auto" w:sz="4" w:space="0"/>
            </w:tcBorders>
          </w:tcPr>
          <w:p>
            <w:pPr>
              <w:kinsoku/>
              <w:autoSpaceDE/>
              <w:autoSpaceDN/>
              <w:adjustRightInd/>
              <w:snapToGrid/>
              <w:spacing w:line="360" w:lineRule="auto"/>
              <w:jc w:val="both"/>
              <w:textAlignment w:val="auto"/>
              <w:rPr>
                <w:rFonts w:ascii="宋体" w:hAnsi="宋体" w:eastAsia="宋体" w:cs="宋体"/>
                <w:b/>
                <w:bCs/>
                <w:snapToGrid/>
              </w:rPr>
            </w:pPr>
            <w:r>
              <w:rPr>
                <w:rFonts w:hint="eastAsia" w:ascii="宋体" w:hAnsi="宋体" w:eastAsia="宋体" w:cs="宋体"/>
                <w:b/>
                <w:bCs/>
                <w:snapToGrid/>
              </w:rPr>
              <w:t>产品名称：碳化硅耐磨可塑料</w:t>
            </w:r>
          </w:p>
        </w:tc>
        <w:tc>
          <w:tcPr>
            <w:tcW w:w="3116" w:type="dxa"/>
            <w:tcBorders>
              <w:top w:val="single" w:color="auto" w:sz="4" w:space="0"/>
              <w:left w:val="nil"/>
              <w:bottom w:val="single" w:color="auto" w:sz="4" w:space="0"/>
              <w:right w:val="single" w:color="auto" w:sz="4" w:space="0"/>
            </w:tcBorders>
            <w:vAlign w:val="center"/>
          </w:tcPr>
          <w:p>
            <w:pPr>
              <w:kinsoku/>
              <w:autoSpaceDE/>
              <w:autoSpaceDN/>
              <w:adjustRightInd/>
              <w:snapToGrid/>
              <w:spacing w:line="360" w:lineRule="auto"/>
              <w:jc w:val="both"/>
              <w:textAlignment w:val="auto"/>
              <w:rPr>
                <w:rFonts w:ascii="宋体" w:hAnsi="宋体" w:eastAsia="宋体" w:cs="宋体"/>
                <w:b/>
                <w:bCs/>
                <w:snapToGrid/>
              </w:rPr>
            </w:pPr>
            <w:r>
              <w:rPr>
                <w:rFonts w:hint="eastAsia" w:ascii="宋体" w:hAnsi="宋体" w:eastAsia="宋体" w:cs="宋体"/>
                <w:b/>
                <w:bCs/>
                <w:snapToGrid/>
              </w:rPr>
              <w:t>理化指标</w:t>
            </w:r>
          </w:p>
        </w:tc>
      </w:tr>
      <w:tr>
        <w:tblPrEx>
          <w:tblCellMar>
            <w:top w:w="0" w:type="dxa"/>
            <w:left w:w="108" w:type="dxa"/>
            <w:bottom w:w="0" w:type="dxa"/>
            <w:right w:w="108" w:type="dxa"/>
          </w:tblCellMar>
        </w:tblPrEx>
        <w:trPr>
          <w:trHeight w:val="113" w:hRule="atLeast"/>
          <w:jc w:val="center"/>
        </w:trPr>
        <w:tc>
          <w:tcPr>
            <w:tcW w:w="2467" w:type="dxa"/>
            <w:vMerge w:val="restart"/>
            <w:tcBorders>
              <w:top w:val="nil"/>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化学成分</w:t>
            </w:r>
          </w:p>
        </w:tc>
        <w:tc>
          <w:tcPr>
            <w:tcW w:w="1764" w:type="dxa"/>
            <w:tcBorders>
              <w:top w:val="nil"/>
              <w:left w:val="nil"/>
              <w:bottom w:val="single" w:color="auto" w:sz="4" w:space="0"/>
              <w:right w:val="single" w:color="auto" w:sz="4" w:space="0"/>
            </w:tcBorders>
          </w:tcPr>
          <w:p>
            <w:pPr>
              <w:widowControl w:val="0"/>
              <w:tabs>
                <w:tab w:val="left" w:pos="257"/>
              </w:tabs>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SiC</w:t>
            </w:r>
          </w:p>
        </w:tc>
        <w:tc>
          <w:tcPr>
            <w:tcW w:w="1449"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w:t>
            </w:r>
          </w:p>
        </w:tc>
        <w:tc>
          <w:tcPr>
            <w:tcW w:w="3116"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≥75</w:t>
            </w:r>
          </w:p>
        </w:tc>
      </w:tr>
      <w:tr>
        <w:tblPrEx>
          <w:tblCellMar>
            <w:top w:w="0" w:type="dxa"/>
            <w:left w:w="108" w:type="dxa"/>
            <w:bottom w:w="0" w:type="dxa"/>
            <w:right w:w="108" w:type="dxa"/>
          </w:tblCellMar>
        </w:tblPrEx>
        <w:trPr>
          <w:trHeight w:val="113" w:hRule="atLeast"/>
          <w:jc w:val="center"/>
        </w:trPr>
        <w:tc>
          <w:tcPr>
            <w:tcW w:w="2467" w:type="dxa"/>
            <w:vMerge w:val="continue"/>
            <w:tcBorders>
              <w:top w:val="nil"/>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p>
        </w:tc>
        <w:tc>
          <w:tcPr>
            <w:tcW w:w="1764"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Al2O</w:t>
            </w:r>
            <w:r>
              <w:rPr>
                <w:rFonts w:hint="eastAsia" w:ascii="宋体" w:hAnsi="宋体" w:eastAsia="宋体" w:cs="宋体"/>
                <w:snapToGrid/>
                <w:spacing w:val="-4"/>
                <w:kern w:val="2"/>
                <w:vertAlign w:val="subscript"/>
              </w:rPr>
              <w:t>3</w:t>
            </w:r>
          </w:p>
        </w:tc>
        <w:tc>
          <w:tcPr>
            <w:tcW w:w="1449"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w:t>
            </w:r>
          </w:p>
        </w:tc>
        <w:tc>
          <w:tcPr>
            <w:tcW w:w="3116"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＞14</w:t>
            </w:r>
          </w:p>
        </w:tc>
      </w:tr>
      <w:tr>
        <w:tblPrEx>
          <w:tblCellMar>
            <w:top w:w="0" w:type="dxa"/>
            <w:left w:w="108" w:type="dxa"/>
            <w:bottom w:w="0" w:type="dxa"/>
            <w:right w:w="108" w:type="dxa"/>
          </w:tblCellMar>
        </w:tblPrEx>
        <w:trPr>
          <w:trHeight w:val="113" w:hRule="atLeast"/>
          <w:jc w:val="center"/>
        </w:trPr>
        <w:tc>
          <w:tcPr>
            <w:tcW w:w="2467" w:type="dxa"/>
            <w:vMerge w:val="continue"/>
            <w:tcBorders>
              <w:top w:val="nil"/>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p>
        </w:tc>
        <w:tc>
          <w:tcPr>
            <w:tcW w:w="1764"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Fe2O</w:t>
            </w:r>
            <w:r>
              <w:rPr>
                <w:rFonts w:hint="eastAsia" w:ascii="宋体" w:hAnsi="宋体" w:eastAsia="宋体" w:cs="宋体"/>
                <w:snapToGrid/>
                <w:spacing w:val="-4"/>
                <w:kern w:val="2"/>
                <w:vertAlign w:val="subscript"/>
              </w:rPr>
              <w:t>3</w:t>
            </w:r>
          </w:p>
        </w:tc>
        <w:tc>
          <w:tcPr>
            <w:tcW w:w="1449"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w:t>
            </w:r>
          </w:p>
        </w:tc>
        <w:tc>
          <w:tcPr>
            <w:tcW w:w="3116"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≤1.5</w:t>
            </w:r>
          </w:p>
        </w:tc>
      </w:tr>
      <w:tr>
        <w:tblPrEx>
          <w:tblCellMar>
            <w:top w:w="0" w:type="dxa"/>
            <w:left w:w="108" w:type="dxa"/>
            <w:bottom w:w="0" w:type="dxa"/>
            <w:right w:w="108" w:type="dxa"/>
          </w:tblCellMar>
        </w:tblPrEx>
        <w:trPr>
          <w:trHeight w:val="113" w:hRule="atLeast"/>
          <w:jc w:val="center"/>
        </w:trPr>
        <w:tc>
          <w:tcPr>
            <w:tcW w:w="4231" w:type="dxa"/>
            <w:gridSpan w:val="2"/>
            <w:tcBorders>
              <w:top w:val="single" w:color="auto" w:sz="4" w:space="0"/>
              <w:left w:val="single" w:color="auto" w:sz="4" w:space="0"/>
              <w:bottom w:val="single" w:color="auto" w:sz="4" w:space="0"/>
              <w:right w:val="single" w:color="000000"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最高使用温度</w:t>
            </w:r>
          </w:p>
        </w:tc>
        <w:tc>
          <w:tcPr>
            <w:tcW w:w="1449"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w:t>
            </w:r>
          </w:p>
        </w:tc>
        <w:tc>
          <w:tcPr>
            <w:tcW w:w="3116"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＞1650</w:t>
            </w:r>
          </w:p>
        </w:tc>
      </w:tr>
      <w:tr>
        <w:tblPrEx>
          <w:tblCellMar>
            <w:top w:w="0" w:type="dxa"/>
            <w:left w:w="108" w:type="dxa"/>
            <w:bottom w:w="0" w:type="dxa"/>
            <w:right w:w="108" w:type="dxa"/>
          </w:tblCellMar>
        </w:tblPrEx>
        <w:trPr>
          <w:trHeight w:val="113" w:hRule="atLeast"/>
          <w:jc w:val="center"/>
        </w:trPr>
        <w:tc>
          <w:tcPr>
            <w:tcW w:w="4231" w:type="dxa"/>
            <w:gridSpan w:val="2"/>
            <w:tcBorders>
              <w:top w:val="single" w:color="auto" w:sz="4" w:space="0"/>
              <w:left w:val="single" w:color="auto" w:sz="4" w:space="0"/>
              <w:bottom w:val="single" w:color="auto" w:sz="4" w:space="0"/>
              <w:right w:val="single" w:color="000000"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体积密度</w:t>
            </w:r>
          </w:p>
        </w:tc>
        <w:tc>
          <w:tcPr>
            <w:tcW w:w="1449"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g/cm</w:t>
            </w:r>
            <w:r>
              <w:rPr>
                <w:rFonts w:hint="eastAsia" w:ascii="宋体" w:hAnsi="宋体" w:eastAsia="宋体" w:cs="宋体"/>
                <w:snapToGrid/>
                <w:spacing w:val="-4"/>
                <w:kern w:val="2"/>
                <w:vertAlign w:val="superscript"/>
              </w:rPr>
              <w:t>3</w:t>
            </w:r>
          </w:p>
        </w:tc>
        <w:tc>
          <w:tcPr>
            <w:tcW w:w="3116"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2.6</w:t>
            </w:r>
          </w:p>
        </w:tc>
      </w:tr>
      <w:tr>
        <w:tblPrEx>
          <w:tblCellMar>
            <w:top w:w="0" w:type="dxa"/>
            <w:left w:w="108" w:type="dxa"/>
            <w:bottom w:w="0" w:type="dxa"/>
            <w:right w:w="108" w:type="dxa"/>
          </w:tblCellMar>
        </w:tblPrEx>
        <w:trPr>
          <w:trHeight w:val="113" w:hRule="atLeast"/>
          <w:jc w:val="center"/>
        </w:trPr>
        <w:tc>
          <w:tcPr>
            <w:tcW w:w="4231" w:type="dxa"/>
            <w:gridSpan w:val="2"/>
            <w:tcBorders>
              <w:top w:val="single" w:color="auto" w:sz="4" w:space="0"/>
              <w:left w:val="single" w:color="auto" w:sz="4" w:space="0"/>
              <w:bottom w:val="single" w:color="auto" w:sz="4" w:space="0"/>
              <w:right w:val="single" w:color="000000"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高温抗折强度，1000℃</w:t>
            </w:r>
          </w:p>
        </w:tc>
        <w:tc>
          <w:tcPr>
            <w:tcW w:w="1449"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Mpa</w:t>
            </w:r>
          </w:p>
        </w:tc>
        <w:tc>
          <w:tcPr>
            <w:tcW w:w="3116"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≥14</w:t>
            </w:r>
          </w:p>
        </w:tc>
      </w:tr>
      <w:tr>
        <w:tblPrEx>
          <w:tblCellMar>
            <w:top w:w="0" w:type="dxa"/>
            <w:left w:w="108" w:type="dxa"/>
            <w:bottom w:w="0" w:type="dxa"/>
            <w:right w:w="108" w:type="dxa"/>
          </w:tblCellMar>
        </w:tblPrEx>
        <w:trPr>
          <w:trHeight w:val="113" w:hRule="atLeast"/>
          <w:jc w:val="center"/>
        </w:trPr>
        <w:tc>
          <w:tcPr>
            <w:tcW w:w="2467" w:type="dxa"/>
            <w:tcBorders>
              <w:top w:val="nil"/>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导热系数</w:t>
            </w:r>
          </w:p>
        </w:tc>
        <w:tc>
          <w:tcPr>
            <w:tcW w:w="1764"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500℃</w:t>
            </w:r>
          </w:p>
        </w:tc>
        <w:tc>
          <w:tcPr>
            <w:tcW w:w="1449"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W/m.k</w:t>
            </w:r>
          </w:p>
        </w:tc>
        <w:tc>
          <w:tcPr>
            <w:tcW w:w="3116"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＞10</w:t>
            </w:r>
          </w:p>
        </w:tc>
      </w:tr>
      <w:tr>
        <w:tblPrEx>
          <w:tblCellMar>
            <w:top w:w="0" w:type="dxa"/>
            <w:left w:w="108" w:type="dxa"/>
            <w:bottom w:w="0" w:type="dxa"/>
            <w:right w:w="108" w:type="dxa"/>
          </w:tblCellMar>
        </w:tblPrEx>
        <w:trPr>
          <w:trHeight w:val="113" w:hRule="atLeast"/>
          <w:jc w:val="center"/>
        </w:trPr>
        <w:tc>
          <w:tcPr>
            <w:tcW w:w="4231" w:type="dxa"/>
            <w:gridSpan w:val="2"/>
            <w:tcBorders>
              <w:top w:val="single" w:color="auto" w:sz="4" w:space="0"/>
              <w:left w:val="single" w:color="auto" w:sz="4" w:space="0"/>
              <w:bottom w:val="single" w:color="auto" w:sz="4" w:space="0"/>
              <w:right w:val="single" w:color="000000"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可塑性指标</w:t>
            </w:r>
          </w:p>
        </w:tc>
        <w:tc>
          <w:tcPr>
            <w:tcW w:w="4565" w:type="dxa"/>
            <w:gridSpan w:val="2"/>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20~40</w:t>
            </w:r>
          </w:p>
        </w:tc>
      </w:tr>
    </w:tbl>
    <w:p>
      <w:pPr>
        <w:pStyle w:val="7"/>
        <w:ind w:firstLine="480" w:firstLineChars="200"/>
        <w:rPr>
          <w:rFonts w:hint="eastAsia"/>
          <w:color w:val="auto"/>
          <w:highlight w:val="none"/>
          <w:lang w:val="en-US" w:eastAsia="zh-CN"/>
        </w:rPr>
      </w:pPr>
    </w:p>
    <w:p>
      <w:pPr>
        <w:spacing w:line="360" w:lineRule="auto"/>
        <w:ind w:firstLine="480" w:firstLineChars="200"/>
        <w:outlineLvl w:val="0"/>
        <w:rPr>
          <w:rFonts w:hint="eastAsia" w:ascii="宋体" w:hAnsi="宋体" w:eastAsia="宋体" w:cs="仿宋"/>
          <w:b w:val="0"/>
          <w:bCs w:val="0"/>
          <w:snapToGrid w:val="0"/>
          <w:kern w:val="2"/>
          <w:sz w:val="24"/>
          <w:szCs w:val="21"/>
          <w:lang w:val="en-US" w:eastAsia="zh-CN" w:bidi="ar-SA"/>
        </w:rPr>
      </w:pPr>
      <w:r>
        <w:rPr>
          <w:rFonts w:hint="eastAsia" w:ascii="宋体" w:hAnsi="宋体" w:eastAsia="宋体" w:cs="仿宋"/>
          <w:b w:val="0"/>
          <w:bCs w:val="0"/>
          <w:snapToGrid w:val="0"/>
          <w:kern w:val="2"/>
          <w:sz w:val="24"/>
          <w:szCs w:val="21"/>
          <w:lang w:val="en-US" w:eastAsia="zh-CN" w:bidi="ar-SA"/>
        </w:rPr>
        <w:t>2</w:t>
      </w:r>
      <w:r>
        <w:rPr>
          <w:rFonts w:hint="eastAsia" w:ascii="宋体" w:hAnsi="宋体" w:eastAsia="宋体" w:cs="仿宋"/>
          <w:b w:val="0"/>
          <w:bCs w:val="0"/>
          <w:snapToGrid w:val="0"/>
          <w:kern w:val="2"/>
          <w:sz w:val="24"/>
          <w:szCs w:val="21"/>
          <w:lang w:val="zh-CN" w:eastAsia="zh-CN" w:bidi="ar-SA"/>
        </w:rPr>
        <w:t>.</w:t>
      </w:r>
      <w:r>
        <w:rPr>
          <w:rFonts w:hint="eastAsia" w:ascii="宋体" w:hAnsi="宋体" w:eastAsia="宋体" w:cs="仿宋"/>
          <w:b w:val="0"/>
          <w:bCs w:val="0"/>
          <w:snapToGrid w:val="0"/>
          <w:kern w:val="2"/>
          <w:sz w:val="24"/>
          <w:szCs w:val="21"/>
          <w:lang w:val="en-US" w:eastAsia="zh-CN" w:bidi="ar-SA"/>
        </w:rPr>
        <w:t>乙方提供的耐火材料及辅助材料满足甲方的理化指标和实际运行工况要求。</w:t>
      </w:r>
    </w:p>
    <w:p>
      <w:pPr>
        <w:spacing w:line="360" w:lineRule="auto"/>
        <w:ind w:firstLine="480" w:firstLineChars="200"/>
        <w:outlineLvl w:val="0"/>
        <w:rPr>
          <w:rFonts w:hint="eastAsia" w:ascii="宋体" w:hAnsi="宋体" w:eastAsia="宋体" w:cs="仿宋"/>
          <w:b w:val="0"/>
          <w:bCs w:val="0"/>
          <w:snapToGrid w:val="0"/>
          <w:kern w:val="2"/>
          <w:sz w:val="24"/>
          <w:szCs w:val="21"/>
          <w:lang w:val="zh-CN" w:eastAsia="zh-CN" w:bidi="ar-SA"/>
        </w:rPr>
      </w:pPr>
      <w:r>
        <w:rPr>
          <w:rFonts w:hint="eastAsia" w:ascii="宋体" w:hAnsi="宋体" w:eastAsia="宋体" w:cs="仿宋"/>
          <w:b w:val="0"/>
          <w:bCs w:val="0"/>
          <w:snapToGrid w:val="0"/>
          <w:kern w:val="2"/>
          <w:sz w:val="24"/>
          <w:szCs w:val="21"/>
          <w:lang w:val="en-US" w:eastAsia="zh-CN" w:bidi="ar-SA"/>
        </w:rPr>
        <w:t>3.</w:t>
      </w:r>
      <w:r>
        <w:rPr>
          <w:rFonts w:hint="eastAsia" w:ascii="宋体" w:hAnsi="宋体" w:eastAsia="宋体" w:cs="仿宋"/>
          <w:b w:val="0"/>
          <w:bCs w:val="0"/>
          <w:snapToGrid w:val="0"/>
          <w:kern w:val="2"/>
          <w:sz w:val="24"/>
          <w:szCs w:val="21"/>
          <w:lang w:val="zh-CN" w:eastAsia="zh-CN" w:bidi="ar-SA"/>
        </w:rPr>
        <w:t>耐火材料维修质保期为</w:t>
      </w:r>
      <w:r>
        <w:rPr>
          <w:rFonts w:hint="eastAsia" w:ascii="宋体" w:hAnsi="宋体" w:eastAsia="宋体" w:cs="仿宋"/>
          <w:b w:val="0"/>
          <w:bCs w:val="0"/>
          <w:snapToGrid w:val="0"/>
          <w:kern w:val="2"/>
          <w:sz w:val="24"/>
          <w:szCs w:val="21"/>
          <w:lang w:val="en-US" w:eastAsia="zh-CN" w:bidi="ar-SA"/>
        </w:rPr>
        <w:t>验收合格后12个月。</w:t>
      </w:r>
    </w:p>
    <w:p>
      <w:pPr>
        <w:spacing w:line="360" w:lineRule="auto"/>
        <w:ind w:firstLine="480" w:firstLineChars="200"/>
        <w:outlineLvl w:val="0"/>
        <w:rPr>
          <w:rFonts w:hint="eastAsia" w:ascii="宋体" w:hAnsi="宋体" w:eastAsia="宋体" w:cs="仿宋"/>
          <w:b w:val="0"/>
          <w:bCs w:val="0"/>
          <w:snapToGrid w:val="0"/>
          <w:kern w:val="2"/>
          <w:sz w:val="24"/>
          <w:szCs w:val="21"/>
          <w:lang w:val="en-US" w:eastAsia="zh-CN" w:bidi="ar-SA"/>
        </w:rPr>
      </w:pPr>
      <w:r>
        <w:rPr>
          <w:rFonts w:hint="eastAsia" w:ascii="宋体" w:hAnsi="宋体" w:eastAsia="宋体" w:cs="仿宋"/>
          <w:b w:val="0"/>
          <w:bCs w:val="0"/>
          <w:snapToGrid w:val="0"/>
          <w:kern w:val="2"/>
          <w:sz w:val="24"/>
          <w:szCs w:val="21"/>
          <w:lang w:val="en-US" w:eastAsia="zh-CN" w:bidi="ar-SA"/>
        </w:rPr>
        <w:t>4.乙方</w:t>
      </w:r>
      <w:r>
        <w:rPr>
          <w:rFonts w:hint="eastAsia" w:ascii="宋体" w:hAnsi="宋体" w:eastAsia="宋体" w:cs="仿宋"/>
          <w:b w:val="0"/>
          <w:bCs w:val="0"/>
          <w:snapToGrid w:val="0"/>
          <w:kern w:val="2"/>
          <w:sz w:val="24"/>
          <w:szCs w:val="21"/>
          <w:lang w:val="zh-CN" w:eastAsia="zh-CN" w:bidi="ar-SA"/>
        </w:rPr>
        <w:t>所提供的耐火保温材料在合同规定的质保期内，在正常运行条件下，如因为耐火材料质量或检修维修</w:t>
      </w:r>
      <w:r>
        <w:rPr>
          <w:rFonts w:hint="eastAsia" w:ascii="宋体" w:hAnsi="宋体" w:eastAsia="宋体" w:cs="仿宋"/>
          <w:b w:val="0"/>
          <w:bCs w:val="0"/>
          <w:snapToGrid w:val="0"/>
          <w:kern w:val="2"/>
          <w:sz w:val="24"/>
          <w:szCs w:val="21"/>
          <w:lang w:val="en-US" w:eastAsia="zh-CN" w:bidi="ar-SA"/>
        </w:rPr>
        <w:t>质量问题发生</w:t>
      </w:r>
      <w:r>
        <w:rPr>
          <w:rFonts w:hint="eastAsia" w:ascii="宋体" w:hAnsi="宋体" w:eastAsia="宋体" w:cs="仿宋"/>
          <w:b w:val="0"/>
          <w:bCs w:val="0"/>
          <w:snapToGrid w:val="0"/>
          <w:kern w:val="2"/>
          <w:sz w:val="24"/>
          <w:szCs w:val="21"/>
          <w:lang w:val="zh-CN" w:eastAsia="zh-CN" w:bidi="ar-SA"/>
        </w:rPr>
        <w:t>耐火材料残存厚度(表面浮物不计)小于</w:t>
      </w:r>
      <w:r>
        <w:rPr>
          <w:rFonts w:hint="eastAsia" w:ascii="宋体" w:hAnsi="宋体" w:eastAsia="宋体" w:cs="仿宋"/>
          <w:b w:val="0"/>
          <w:bCs w:val="0"/>
          <w:snapToGrid w:val="0"/>
          <w:kern w:val="2"/>
          <w:sz w:val="24"/>
          <w:szCs w:val="21"/>
          <w:lang w:val="en-US" w:eastAsia="zh-CN" w:bidi="ar-SA"/>
        </w:rPr>
        <w:t>原始厚度</w:t>
      </w:r>
      <w:r>
        <w:rPr>
          <w:rFonts w:hint="eastAsia" w:ascii="宋体" w:hAnsi="宋体" w:eastAsia="宋体" w:cs="仿宋"/>
          <w:b w:val="0"/>
          <w:bCs w:val="0"/>
          <w:snapToGrid w:val="0"/>
          <w:kern w:val="2"/>
          <w:sz w:val="24"/>
          <w:szCs w:val="21"/>
          <w:lang w:val="zh-CN" w:eastAsia="zh-CN" w:bidi="ar-SA"/>
        </w:rPr>
        <w:t>的50％、锅炉管裸露、耐火材料裂纹已延伸至锅炉管、大范围耐火材料脱落</w:t>
      </w:r>
      <w:r>
        <w:rPr>
          <w:rFonts w:hint="eastAsia" w:ascii="宋体" w:hAnsi="宋体" w:eastAsia="宋体" w:cs="仿宋"/>
          <w:b w:val="0"/>
          <w:bCs w:val="0"/>
          <w:snapToGrid w:val="0"/>
          <w:kern w:val="2"/>
          <w:sz w:val="24"/>
          <w:szCs w:val="21"/>
          <w:lang w:val="en-US" w:eastAsia="zh-CN" w:bidi="ar-SA"/>
        </w:rPr>
        <w:t>等情况</w:t>
      </w:r>
      <w:r>
        <w:rPr>
          <w:rFonts w:hint="eastAsia" w:ascii="宋体" w:hAnsi="宋体" w:eastAsia="宋体" w:cs="仿宋"/>
          <w:b w:val="0"/>
          <w:bCs w:val="0"/>
          <w:snapToGrid w:val="0"/>
          <w:kern w:val="2"/>
          <w:sz w:val="24"/>
          <w:szCs w:val="21"/>
          <w:lang w:val="zh-CN" w:eastAsia="zh-CN" w:bidi="ar-SA"/>
        </w:rPr>
        <w:t>，</w:t>
      </w:r>
      <w:r>
        <w:rPr>
          <w:rFonts w:hint="eastAsia" w:ascii="宋体" w:hAnsi="宋体" w:eastAsia="宋体" w:cs="仿宋"/>
          <w:b w:val="0"/>
          <w:bCs w:val="0"/>
          <w:snapToGrid w:val="0"/>
          <w:kern w:val="2"/>
          <w:sz w:val="24"/>
          <w:szCs w:val="21"/>
          <w:lang w:val="en-US" w:eastAsia="zh-CN" w:bidi="ar-SA"/>
        </w:rPr>
        <w:t>乙方应</w:t>
      </w:r>
      <w:r>
        <w:rPr>
          <w:rFonts w:hint="eastAsia" w:ascii="宋体" w:hAnsi="宋体" w:eastAsia="宋体" w:cs="仿宋"/>
          <w:b w:val="0"/>
          <w:bCs w:val="0"/>
          <w:snapToGrid w:val="0"/>
          <w:kern w:val="2"/>
          <w:sz w:val="24"/>
          <w:szCs w:val="21"/>
          <w:lang w:val="zh-CN" w:eastAsia="zh-CN" w:bidi="ar-SA"/>
        </w:rPr>
        <w:t>免费进行修补或更换；</w:t>
      </w:r>
      <w:r>
        <w:rPr>
          <w:rFonts w:hint="eastAsia" w:ascii="宋体" w:hAnsi="宋体" w:eastAsia="宋体" w:cs="仿宋"/>
          <w:b w:val="0"/>
          <w:bCs w:val="0"/>
          <w:snapToGrid w:val="0"/>
          <w:kern w:val="2"/>
          <w:sz w:val="24"/>
          <w:szCs w:val="21"/>
          <w:lang w:val="en-US" w:eastAsia="zh-CN" w:bidi="ar-SA"/>
        </w:rPr>
        <w:t>质保期内同一部位维修次数不超过2次，若超过2次，乙方不仅需要承担免费维修义务，还需要承担违约责任。</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numPr>
          <w:ilvl w:val="0"/>
          <w:numId w:val="0"/>
        </w:numPr>
        <w:ind w:firstLine="720" w:firstLineChars="300"/>
        <w:rPr>
          <w:rFonts w:hint="eastAsia" w:ascii="宋体" w:hAnsi="宋体" w:cs="宋体"/>
          <w:sz w:val="24"/>
          <w:highlight w:val="none"/>
          <w:lang w:val="en-US" w:eastAsia="zh-CN"/>
        </w:rPr>
      </w:pPr>
      <w:r>
        <w:rPr>
          <w:rFonts w:hint="eastAsia" w:ascii="宋体" w:hAnsi="宋体" w:cs="宋体"/>
          <w:sz w:val="24"/>
          <w:highlight w:val="none"/>
          <w:lang w:val="en-US" w:eastAsia="zh-CN"/>
        </w:rPr>
        <w:t>1.乙方须根据甲方上述的材料的理化指标、锅炉耐火材料砌筑图自行编制维修方案。如图纸存在遗漏、错误等问题的，乙方应按询价文件提出疑问或要求甲方予以澄清；否则因此导致本项目成本增加，由甲方自行承担。</w:t>
      </w:r>
    </w:p>
    <w:p>
      <w:pPr>
        <w:pStyle w:val="7"/>
        <w:numPr>
          <w:ilvl w:val="0"/>
          <w:numId w:val="0"/>
        </w:numPr>
        <w:ind w:firstLine="720" w:firstLineChars="300"/>
        <w:rPr>
          <w:rFonts w:hint="eastAsia" w:ascii="宋体" w:hAnsi="宋体" w:cs="宋体"/>
          <w:sz w:val="24"/>
          <w:highlight w:val="none"/>
          <w:lang w:val="en-US" w:eastAsia="zh-CN"/>
        </w:rPr>
      </w:pPr>
      <w:r>
        <w:rPr>
          <w:rFonts w:hint="eastAsia" w:ascii="宋体" w:hAnsi="宋体" w:cs="宋体"/>
          <w:sz w:val="24"/>
          <w:highlight w:val="none"/>
          <w:lang w:val="en-US" w:eastAsia="zh-CN"/>
        </w:rPr>
        <w:t>2.具体维修时间甲方应在停炉检修开始提前5天通知乙方，乙方在接到通知后3天内安排发货和进场维修。每台炉每次停炉维修工期一般控制在5天内（以焚烧炉筑炉检修维修工作票开始至终结日期为准），如遇大面积损坏，可适当延长至7天。</w:t>
      </w:r>
    </w:p>
    <w:p>
      <w:pPr>
        <w:pStyle w:val="7"/>
        <w:numPr>
          <w:ilvl w:val="0"/>
          <w:numId w:val="0"/>
        </w:numPr>
        <w:ind w:firstLine="720" w:firstLineChars="300"/>
        <w:rPr>
          <w:rFonts w:hint="eastAsia" w:ascii="宋体" w:hAnsi="宋体" w:cs="宋体"/>
          <w:sz w:val="24"/>
          <w:highlight w:val="none"/>
          <w:lang w:val="en-US" w:eastAsia="zh-CN"/>
        </w:rPr>
      </w:pPr>
      <w:r>
        <w:rPr>
          <w:rFonts w:hint="eastAsia" w:ascii="宋体" w:hAnsi="宋体" w:cs="宋体"/>
          <w:sz w:val="24"/>
          <w:highlight w:val="none"/>
          <w:lang w:val="en-US" w:eastAsia="zh-CN"/>
        </w:rPr>
        <w:t>3.乙方维修作业过程涉及特殊作业的人员须持证上岗，如架子工、焊工、电工等。</w:t>
      </w:r>
    </w:p>
    <w:p>
      <w:pPr>
        <w:pStyle w:val="7"/>
        <w:numPr>
          <w:ilvl w:val="0"/>
          <w:numId w:val="0"/>
        </w:numPr>
        <w:ind w:firstLine="720" w:firstLineChars="300"/>
        <w:rPr>
          <w:rFonts w:hint="eastAsia" w:ascii="宋体" w:hAnsi="宋体" w:cs="宋体"/>
          <w:sz w:val="24"/>
          <w:highlight w:val="none"/>
          <w:lang w:val="en-US" w:eastAsia="zh-CN"/>
        </w:rPr>
      </w:pPr>
      <w:r>
        <w:rPr>
          <w:rFonts w:hint="eastAsia" w:ascii="宋体" w:hAnsi="宋体" w:cs="宋体"/>
          <w:sz w:val="24"/>
          <w:highlight w:val="none"/>
          <w:lang w:val="en-US" w:eastAsia="zh-CN"/>
        </w:rPr>
        <w:t>4.乙方应在验收合格后15天内提供检修技术报告、检验报告、合格证等验收资料。</w:t>
      </w:r>
    </w:p>
    <w:p>
      <w:pPr>
        <w:pStyle w:val="7"/>
        <w:numPr>
          <w:ilvl w:val="0"/>
          <w:numId w:val="0"/>
        </w:numPr>
        <w:ind w:firstLine="720" w:firstLineChars="300"/>
        <w:rPr>
          <w:rFonts w:hint="eastAsia" w:ascii="宋体" w:hAnsi="宋体" w:cs="宋体"/>
          <w:sz w:val="24"/>
          <w:highlight w:val="none"/>
          <w:lang w:val="en-US" w:eastAsia="zh-CN"/>
        </w:rPr>
      </w:pPr>
      <w:r>
        <w:rPr>
          <w:rFonts w:hint="eastAsia" w:ascii="宋体" w:hAnsi="宋体" w:cs="宋体"/>
          <w:sz w:val="24"/>
          <w:highlight w:val="none"/>
          <w:lang w:val="en-US" w:eastAsia="zh-CN"/>
        </w:rPr>
        <w:t>5.送货地点：杭州市钱塘区临江街道红十五线与观十五线交叉口杭州临江环境能源有限公司能源运行中心,运输及装卸货品全过程安全责任和费用由乙方自行承担。</w:t>
      </w:r>
    </w:p>
    <w:p>
      <w:pPr>
        <w:pStyle w:val="7"/>
        <w:numPr>
          <w:ilvl w:val="0"/>
          <w:numId w:val="0"/>
        </w:numPr>
        <w:ind w:firstLine="720" w:firstLineChars="300"/>
        <w:rPr>
          <w:rFonts w:hint="eastAsia" w:ascii="宋体" w:hAnsi="宋体" w:cs="宋体"/>
          <w:sz w:val="24"/>
          <w:highlight w:val="none"/>
          <w:lang w:val="en-US" w:eastAsia="zh-CN"/>
        </w:rPr>
      </w:pPr>
      <w:r>
        <w:rPr>
          <w:rFonts w:hint="eastAsia" w:ascii="宋体" w:hAnsi="宋体" w:cs="宋体"/>
          <w:sz w:val="24"/>
          <w:highlight w:val="none"/>
          <w:lang w:val="en-US" w:eastAsia="zh-CN"/>
        </w:rPr>
        <w:t>6.乙方每一批次货物需提供出厂检验合格报告（或合格证）和送货单。</w:t>
      </w:r>
    </w:p>
    <w:p>
      <w:pPr>
        <w:pStyle w:val="7"/>
        <w:numPr>
          <w:ilvl w:val="0"/>
          <w:numId w:val="0"/>
        </w:numPr>
        <w:ind w:firstLine="720" w:firstLineChars="300"/>
        <w:rPr>
          <w:rFonts w:hint="eastAsia" w:ascii="宋体" w:hAnsi="宋体" w:cs="宋体"/>
          <w:sz w:val="24"/>
          <w:highlight w:val="none"/>
          <w:lang w:val="en-US" w:eastAsia="zh-CN"/>
        </w:rPr>
      </w:pPr>
      <w:r>
        <w:rPr>
          <w:rFonts w:hint="eastAsia" w:ascii="宋体" w:hAnsi="宋体" w:cs="宋体"/>
          <w:sz w:val="24"/>
          <w:highlight w:val="none"/>
          <w:lang w:val="en-US" w:eastAsia="zh-CN"/>
        </w:rPr>
        <w:t>7.乙方必须满足甲方售后服务要求。如质保期内发生故障，乙方须在接到甲方通知后2小时内响应，24小时内派人赶到现场解决故障。</w:t>
      </w:r>
    </w:p>
    <w:p>
      <w:pPr>
        <w:pStyle w:val="7"/>
        <w:numPr>
          <w:ilvl w:val="0"/>
          <w:numId w:val="0"/>
        </w:numPr>
        <w:ind w:firstLine="720" w:firstLineChars="300"/>
        <w:rPr>
          <w:rFonts w:hint="eastAsia" w:ascii="宋体" w:hAnsi="宋体" w:cs="宋体"/>
          <w:sz w:val="24"/>
          <w:highlight w:val="none"/>
          <w:lang w:val="en-US" w:eastAsia="zh-CN"/>
        </w:rPr>
      </w:pPr>
      <w:r>
        <w:rPr>
          <w:rFonts w:hint="eastAsia" w:ascii="宋体" w:hAnsi="宋体" w:cs="宋体"/>
          <w:sz w:val="24"/>
          <w:highlight w:val="none"/>
          <w:lang w:val="en-US" w:eastAsia="zh-CN"/>
        </w:rPr>
        <w:t>8.甲方不再对质保期内的任何售后服务进行付费。乙方派遣人员产生的一切费用由</w:t>
      </w:r>
      <w:r>
        <w:rPr>
          <w:rFonts w:hint="eastAsia" w:hAnsi="宋体" w:cs="宋体"/>
          <w:sz w:val="24"/>
          <w:highlight w:val="none"/>
          <w:lang w:val="en-US" w:eastAsia="zh-CN"/>
        </w:rPr>
        <w:t>乙方</w:t>
      </w:r>
      <w:r>
        <w:rPr>
          <w:rFonts w:hint="eastAsia" w:ascii="宋体" w:hAnsi="宋体" w:cs="宋体"/>
          <w:sz w:val="24"/>
          <w:highlight w:val="none"/>
          <w:lang w:val="en-US" w:eastAsia="zh-CN"/>
        </w:rPr>
        <w:t>承担。</w:t>
      </w:r>
    </w:p>
    <w:p>
      <w:pPr>
        <w:pStyle w:val="7"/>
        <w:numPr>
          <w:ilvl w:val="0"/>
          <w:numId w:val="0"/>
        </w:numPr>
        <w:ind w:firstLine="720" w:firstLineChars="300"/>
        <w:rPr>
          <w:rFonts w:hint="eastAsia" w:ascii="宋体" w:hAnsi="宋体" w:cs="宋体"/>
          <w:color w:val="auto"/>
          <w:sz w:val="24"/>
          <w:highlight w:val="none"/>
          <w:lang w:val="en-US" w:eastAsia="zh-CN"/>
        </w:rPr>
      </w:pPr>
      <w:r>
        <w:rPr>
          <w:rFonts w:hint="eastAsia" w:hAnsi="宋体" w:cs="宋体"/>
          <w:color w:val="auto"/>
          <w:sz w:val="24"/>
          <w:highlight w:val="none"/>
          <w:lang w:val="en-US" w:eastAsia="zh-CN"/>
        </w:rPr>
        <w:t>9.乙方人员的食宿自理，甲方不额外支付费用。</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4"/>
      <w:bookmarkEnd w:id="395"/>
      <w:bookmarkEnd w:id="396"/>
      <w:r>
        <w:rPr>
          <w:rFonts w:hint="eastAsia" w:ascii="宋体" w:hAnsi="宋体" w:cs="宋体"/>
          <w:b/>
          <w:sz w:val="24"/>
          <w:lang w:val="en-US" w:eastAsia="zh-CN"/>
        </w:rPr>
        <w:t>验收方式及要求</w:t>
      </w:r>
    </w:p>
    <w:p>
      <w:pPr>
        <w:pStyle w:val="7"/>
        <w:numPr>
          <w:ilvl w:val="0"/>
          <w:numId w:val="0"/>
        </w:numPr>
        <w:ind w:firstLine="720" w:firstLineChars="3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乙方</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甲方</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trike/>
          <w:dstrike w:val="0"/>
          <w:color w:val="FF0000"/>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w:t>
      </w:r>
      <w:r>
        <w:rPr>
          <w:rFonts w:hint="eastAsia" w:ascii="宋体" w:hAnsi="宋体" w:eastAsia="宋体" w:cs="宋体"/>
          <w:sz w:val="24"/>
          <w:lang w:val="en-US" w:eastAsia="zh-CN"/>
        </w:rPr>
        <w:t>等</w:t>
      </w:r>
      <w:r>
        <w:rPr>
          <w:rFonts w:hint="eastAsia" w:ascii="宋体" w:hAnsi="宋体" w:eastAsia="宋体" w:cs="宋体"/>
          <w:sz w:val="24"/>
        </w:rPr>
        <w:t>证明材料。</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甲方</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甲方</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甲方</w:t>
      </w:r>
      <w:r>
        <w:rPr>
          <w:rFonts w:hint="eastAsia" w:ascii="宋体" w:hAnsi="宋体" w:cs="宋体"/>
          <w:sz w:val="24"/>
        </w:rPr>
        <w:t>认为有必要可邀请相关方参加。</w:t>
      </w:r>
    </w:p>
    <w:p>
      <w:pPr>
        <w:pStyle w:val="16"/>
        <w:ind w:left="0" w:leftChars="0" w:firstLine="480" w:firstLineChars="200"/>
        <w:rPr>
          <w:rFonts w:hint="eastAsia"/>
          <w:highlight w:val="none"/>
          <w:lang w:val="en-US" w:eastAsia="zh-CN"/>
        </w:rPr>
      </w:pPr>
      <w:r>
        <w:rPr>
          <w:rFonts w:hint="eastAsia"/>
          <w:highlight w:val="none"/>
          <w:lang w:val="en-US" w:eastAsia="zh-CN"/>
        </w:rPr>
        <w:t>3.乙方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p>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完成退换货（特殊情况的须及时更换），超过时间期限未及时取回货物的，甲方有权将按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7"/>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配合甲方做好货物的到货数量验收工作，将货物运达甲方指定交货地点后及时通知甲方，双方指定人员现场确认送货数量并由双方签字确认。</w:t>
      </w:r>
    </w:p>
    <w:p>
      <w:pPr>
        <w:pStyle w:val="7"/>
        <w:ind w:firstLine="480" w:firstLineChars="200"/>
        <w:rPr>
          <w:rFonts w:hint="default"/>
          <w:color w:val="auto"/>
          <w:highlight w:val="none"/>
          <w:lang w:val="en-US" w:eastAsia="zh-CN"/>
        </w:rPr>
      </w:pPr>
      <w:r>
        <w:rPr>
          <w:rFonts w:hint="eastAsia"/>
          <w:color w:val="auto"/>
          <w:highlight w:val="none"/>
          <w:lang w:val="en-US" w:eastAsia="zh-CN"/>
        </w:rPr>
        <w:t>6.乙方维修完成后双方就维修部位水平度、垂直度和表面平整度根据《电力建设施工技术规范(锅炉机组篇)》DL/T 5190.2进行初步验收，待焚烧系统7天内正常运行，无脱落、设备高温等情况发生的，视为本次维修验收合格。结算数量以每次停炉检修实际用量（甲方的双向过磅净重）为准</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本合同结束</w:t>
      </w:r>
      <w:r>
        <w:rPr>
          <w:rFonts w:hint="eastAsia" w:ascii="宋体" w:hAnsi="宋体" w:cs="宋体"/>
          <w:kern w:val="0"/>
          <w:sz w:val="24"/>
          <w:highlight w:val="none"/>
          <w:u w:val="single"/>
          <w:lang w:val="en-US" w:eastAsia="zh-CN"/>
        </w:rPr>
        <w:t>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1"/>
    <w:bookmarkEnd w:id="392"/>
    <w:bookmarkEnd w:id="393"/>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6"/>
        <w:spacing w:before="0" w:beforeAutospacing="0" w:after="0" w:afterAutospacing="0" w:line="360" w:lineRule="auto"/>
        <w:ind w:firstLine="480"/>
        <w:rPr>
          <w:b/>
          <w:bCs/>
        </w:rPr>
      </w:pPr>
      <w:r>
        <w:rPr>
          <w:rFonts w:hint="eastAsia"/>
          <w:b/>
          <w:bCs/>
        </w:rPr>
        <w:t>十、资金支付</w:t>
      </w:r>
    </w:p>
    <w:p>
      <w:pPr>
        <w:pStyle w:val="26"/>
        <w:spacing w:before="0" w:beforeAutospacing="0" w:after="0" w:afterAutospacing="0" w:line="360" w:lineRule="auto"/>
        <w:ind w:firstLine="480"/>
      </w:pPr>
      <w:bookmarkStart w:id="397" w:name="_Toc19304"/>
      <w:bookmarkStart w:id="398" w:name="_Toc2846"/>
      <w:bookmarkStart w:id="399"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6"/>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12个月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 xml:space="preserve">10 </w:t>
      </w:r>
      <w:r>
        <w:rPr>
          <w:rFonts w:hint="eastAsia"/>
        </w:rPr>
        <w:t>%；</w:t>
      </w:r>
    </w:p>
    <w:p>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条款规定：</w:t>
      </w:r>
    </w:p>
    <w:bookmarkEnd w:id="397"/>
    <w:bookmarkEnd w:id="398"/>
    <w:bookmarkEnd w:id="399"/>
    <w:p>
      <w:pPr>
        <w:pStyle w:val="26"/>
        <w:spacing w:before="0" w:beforeAutospacing="0" w:after="0" w:afterAutospacing="0" w:line="360" w:lineRule="auto"/>
        <w:ind w:firstLine="480"/>
        <w:rPr>
          <w:rFonts w:hint="eastAsia"/>
          <w:u w:val="single"/>
        </w:rPr>
      </w:pPr>
      <w:bookmarkStart w:id="400" w:name="_Toc27250"/>
      <w:bookmarkStart w:id="401" w:name="_Toc19554"/>
      <w:bookmarkStart w:id="402" w:name="_Toc21423"/>
      <w:r>
        <w:rPr>
          <w:rFonts w:hint="eastAsia"/>
          <w:u w:val="single"/>
        </w:rPr>
        <w:t>（4）其他付款方式：</w:t>
      </w:r>
      <w:r>
        <w:rPr>
          <w:rFonts w:hint="eastAsia"/>
          <w:u w:val="single"/>
          <w:lang w:val="en-US" w:eastAsia="zh-CN"/>
        </w:rPr>
        <w:t>分两次支付</w:t>
      </w:r>
      <w:r>
        <w:rPr>
          <w:rFonts w:hint="eastAsia" w:ascii="宋体" w:hAnsi="宋体" w:eastAsia="宋体" w:cs="宋体"/>
          <w:b w:val="0"/>
          <w:bCs w:val="0"/>
          <w:color w:val="auto"/>
          <w:sz w:val="24"/>
          <w:u w:val="single"/>
          <w:lang w:val="en-US" w:eastAsia="zh-CN"/>
        </w:rPr>
        <w:t>，每次维修结束验收合格后，双方确认共同使用耐火材料的数量，扣除考核扣款后（若有），乙方开具足额的增值税专用发票，甲方再收到乙方发票后，按约定时间支付乙方本次货款的90%，余款10%为质保金</w:t>
      </w:r>
      <w:r>
        <w:rPr>
          <w:rFonts w:hint="eastAsia" w:ascii="宋体" w:hAnsi="宋体" w:eastAsia="宋体" w:cs="宋体"/>
          <w:b w:val="0"/>
          <w:bCs w:val="0"/>
          <w:color w:val="auto"/>
          <w:sz w:val="24"/>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00"/>
      <w:bookmarkEnd w:id="401"/>
      <w:bookmarkEnd w:id="402"/>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能源焚烧炉维修</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7"/>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7"/>
        <w:ind w:firstLine="480" w:firstLineChars="200"/>
        <w:rPr>
          <w:rFonts w:hint="eastAsia" w:ascii="宋体" w:hAnsi="宋体" w:cs="宋体" w:eastAsiaTheme="minorEastAsia"/>
          <w:snapToGrid/>
          <w:kern w:val="2"/>
          <w:sz w:val="24"/>
          <w:szCs w:val="24"/>
          <w:lang w:val="en-US" w:eastAsia="zh-CN" w:bidi="ar-SA"/>
        </w:rPr>
      </w:pPr>
      <w:bookmarkStart w:id="403" w:name="_Toc16021"/>
      <w:bookmarkStart w:id="404" w:name="_Toc15583"/>
      <w:bookmarkStart w:id="405"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3"/>
      <w:bookmarkEnd w:id="404"/>
      <w:bookmarkEnd w:id="405"/>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6" w:name="_Toc11173"/>
      <w:bookmarkStart w:id="407" w:name="_Toc7245"/>
      <w:bookmarkStart w:id="408"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6"/>
    <w:bookmarkEnd w:id="407"/>
    <w:bookmarkEnd w:id="408"/>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pStyle w:val="8"/>
        <w:ind w:left="0" w:leftChars="0" w:firstLine="0" w:firstLineChars="0"/>
        <w:rPr>
          <w:rFonts w:hint="eastAsia"/>
        </w:rPr>
      </w:pPr>
    </w:p>
    <w:p>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9" w:name="_Ref467379101"/>
      <w:bookmarkStart w:id="410" w:name="_Ref467379214"/>
      <w:bookmarkStart w:id="411" w:name="_Toc16917"/>
      <w:bookmarkStart w:id="412" w:name="_Ref467378463"/>
      <w:bookmarkStart w:id="413" w:name="_Ref467378499"/>
      <w:bookmarkStart w:id="414" w:name="_Toc259093669"/>
      <w:bookmarkStart w:id="415" w:name="_Toc279701240"/>
      <w:bookmarkStart w:id="416" w:name="_Toc19614"/>
      <w:bookmarkStart w:id="417" w:name="_Ref467378404"/>
      <w:bookmarkStart w:id="418" w:name="_Ref467379094"/>
      <w:bookmarkStart w:id="419" w:name="_Ref467379205"/>
      <w:bookmarkStart w:id="420" w:name="_Ref467379225"/>
      <w:bookmarkStart w:id="421" w:name="_Toc28763"/>
      <w:bookmarkStart w:id="422" w:name="_Toc487900349"/>
      <w:bookmarkStart w:id="423" w:name="_Ref467379195"/>
      <w:bookmarkStart w:id="424" w:name="_Ref467379109"/>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5" w:name="_Ref467378840"/>
      <w:r>
        <w:rPr>
          <w:rFonts w:hint="eastAsia" w:ascii="宋体" w:hAnsi="宋体" w:cs="宋体"/>
          <w:sz w:val="24"/>
        </w:rPr>
        <w:t>4. “甲方”系指与中标或成交供应商签署合同的采购人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hint="eastAsia" w:ascii="宋体" w:hAnsi="宋体" w:cs="宋体"/>
          <w:sz w:val="24"/>
          <w:lang w:eastAsia="zh-CN"/>
        </w:rPr>
      </w:pPr>
      <w:bookmarkStart w:id="426" w:name="_Ref467379400"/>
      <w:r>
        <w:rPr>
          <w:rFonts w:hint="eastAsia" w:ascii="宋体" w:hAnsi="宋体" w:cs="宋体"/>
          <w:sz w:val="24"/>
        </w:rPr>
        <w:t>5.“乙方”系指根据合同约定交付货物的中标或成交供应商</w:t>
      </w:r>
      <w:bookmarkEnd w:id="426"/>
      <w:bookmarkStart w:id="427" w:name="_Ref467379436"/>
      <w:r>
        <w:rPr>
          <w:rFonts w:hint="eastAsia" w:ascii="宋体" w:hAnsi="宋体" w:cs="宋体"/>
          <w:sz w:val="24"/>
          <w:lang w:eastAsia="zh-CN"/>
        </w:rPr>
        <w:t>。</w:t>
      </w:r>
    </w:p>
    <w:p>
      <w:pPr>
        <w:spacing w:line="360" w:lineRule="auto"/>
        <w:ind w:firstLine="480" w:firstLineChars="200"/>
        <w:rPr>
          <w:rFonts w:hint="eastAsia" w:ascii="宋体" w:hAnsi="宋体" w:cs="宋体"/>
          <w:sz w:val="24"/>
        </w:rPr>
      </w:pPr>
      <w:r>
        <w:rPr>
          <w:rFonts w:hint="eastAsia" w:ascii="宋体" w:hAnsi="宋体" w:cs="宋体"/>
          <w:sz w:val="24"/>
        </w:rPr>
        <w:t>6.“现场”系指合同约定货物将要运至或者安装的地点。</w:t>
      </w:r>
      <w:bookmarkEnd w:id="427"/>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8" w:name="_Toc487900350"/>
      <w:bookmarkStart w:id="429" w:name="_Toc13336"/>
      <w:bookmarkStart w:id="430" w:name="_Toc279701241"/>
      <w:bookmarkStart w:id="431" w:name="_Toc32504"/>
      <w:bookmarkStart w:id="432" w:name="_Toc27635"/>
      <w:bookmarkStart w:id="433" w:name="_Toc259093670"/>
      <w:r>
        <w:rPr>
          <w:rFonts w:hint="eastAsia" w:ascii="宋体" w:hAnsi="宋体" w:cs="宋体"/>
          <w:b/>
          <w:sz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4" w:name="_Toc31634"/>
      <w:bookmarkStart w:id="435" w:name="_Toc487900351"/>
      <w:bookmarkStart w:id="436" w:name="_Toc259093671"/>
      <w:bookmarkStart w:id="437" w:name="_Toc279701242"/>
      <w:bookmarkStart w:id="438" w:name="_Toc9829"/>
      <w:bookmarkStart w:id="439" w:name="_Toc27853"/>
      <w:r>
        <w:rPr>
          <w:rFonts w:hint="eastAsia" w:ascii="宋体" w:hAnsi="宋体" w:cs="宋体"/>
          <w:b/>
          <w:sz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40" w:name="_Toc11932"/>
      <w:bookmarkStart w:id="441" w:name="_Toc29149"/>
      <w:bookmarkStart w:id="442" w:name="_Toc4194"/>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3" w:name="_Toc26182"/>
      <w:bookmarkStart w:id="444" w:name="_Toc19074"/>
      <w:bookmarkStart w:id="445" w:name="_Toc30272"/>
      <w:r>
        <w:rPr>
          <w:rFonts w:hint="eastAsia" w:ascii="宋体" w:hAnsi="宋体" w:cs="宋体"/>
          <w:b/>
          <w:sz w:val="24"/>
        </w:rPr>
        <w:t>五、 履约检查和问题反馈</w:t>
      </w:r>
      <w:bookmarkEnd w:id="443"/>
      <w:bookmarkEnd w:id="444"/>
      <w:bookmarkEnd w:id="445"/>
    </w:p>
    <w:p>
      <w:pPr>
        <w:spacing w:line="360" w:lineRule="auto"/>
        <w:ind w:firstLine="480" w:firstLineChars="200"/>
        <w:rPr>
          <w:rFonts w:ascii="宋体" w:hAnsi="宋体" w:cs="宋体"/>
          <w:sz w:val="24"/>
        </w:rPr>
      </w:pPr>
      <w:bookmarkStart w:id="446" w:name="_Toc186431854"/>
      <w:bookmarkStart w:id="447" w:name="_Ref467379793"/>
      <w:bookmarkStart w:id="448" w:name="_Toc279701247"/>
      <w:bookmarkStart w:id="449" w:name="_Toc259093676"/>
      <w:bookmarkStart w:id="450" w:name="_Toc487900357"/>
      <w:bookmarkStart w:id="451"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pPr>
        <w:spacing w:line="360" w:lineRule="auto"/>
        <w:ind w:firstLine="482" w:firstLineChars="200"/>
        <w:outlineLvl w:val="0"/>
        <w:rPr>
          <w:rFonts w:ascii="宋体" w:hAnsi="宋体" w:cs="宋体"/>
          <w:b/>
          <w:sz w:val="24"/>
        </w:rPr>
      </w:pPr>
      <w:bookmarkStart w:id="453" w:name="_Ref467379923"/>
      <w:bookmarkStart w:id="454" w:name="_Toc279701248"/>
      <w:bookmarkStart w:id="455" w:name="_Ref467379863"/>
      <w:bookmarkStart w:id="456" w:name="_Toc259093677"/>
      <w:bookmarkStart w:id="457" w:name="_Toc487900358"/>
      <w:bookmarkStart w:id="458" w:name="_Ref467379852"/>
      <w:bookmarkStart w:id="459" w:name="_Toc16110"/>
      <w:bookmarkStart w:id="460" w:name="_Toc774"/>
      <w:bookmarkStart w:id="461" w:name="_Toc3225"/>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2" w:name="_Toc7860"/>
      <w:r>
        <w:rPr>
          <w:rFonts w:hint="eastAsia" w:ascii="宋体" w:hAnsi="宋体" w:cs="宋体"/>
          <w:b/>
          <w:sz w:val="24"/>
        </w:rPr>
        <w:t>七、质量保证</w:t>
      </w:r>
      <w:bookmarkEnd w:id="462"/>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3" w:name="_Toc17244"/>
      <w:bookmarkStart w:id="464" w:name="_Toc487900362"/>
      <w:bookmarkStart w:id="465" w:name="_Toc279701252"/>
      <w:bookmarkStart w:id="466" w:name="_Toc259093681"/>
      <w:r>
        <w:rPr>
          <w:rFonts w:hint="eastAsia" w:ascii="宋体" w:hAnsi="宋体" w:cs="宋体"/>
          <w:b/>
          <w:sz w:val="24"/>
        </w:rPr>
        <w:t>八、货物的风险负担</w:t>
      </w:r>
      <w:bookmarkEnd w:id="463"/>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8" w:name="_Toc7502"/>
      <w:bookmarkStart w:id="469" w:name="_Ref467378121"/>
      <w:bookmarkStart w:id="470" w:name="_Toc487900364"/>
      <w:bookmarkStart w:id="471" w:name="_Toc259093683"/>
      <w:bookmarkStart w:id="472" w:name="_Toc279701254"/>
      <w:r>
        <w:rPr>
          <w:rFonts w:hint="eastAsia" w:ascii="宋体" w:hAnsi="宋体" w:cs="宋体"/>
          <w:b/>
          <w:sz w:val="24"/>
        </w:rPr>
        <w:t>十、合同变更</w:t>
      </w:r>
      <w:bookmarkEnd w:id="468"/>
      <w:r>
        <w:rPr>
          <w:rFonts w:hint="eastAsia" w:ascii="宋体" w:hAnsi="宋体" w:cs="宋体"/>
          <w:b/>
          <w:sz w:val="24"/>
        </w:rPr>
        <w:t>或补充</w:t>
      </w:r>
    </w:p>
    <w:p>
      <w:pPr>
        <w:spacing w:line="360" w:lineRule="auto"/>
        <w:ind w:firstLine="480" w:firstLineChars="200"/>
        <w:rPr>
          <w:rFonts w:ascii="宋体" w:hAnsi="宋体"/>
          <w:sz w:val="24"/>
        </w:rPr>
      </w:pPr>
      <w:bookmarkStart w:id="473" w:name="_Toc487900369"/>
      <w:bookmarkStart w:id="474" w:name="_Toc279701259"/>
      <w:bookmarkStart w:id="475" w:name="_Toc259093688"/>
      <w:bookmarkStart w:id="476" w:name="_Toc10366"/>
      <w:bookmarkStart w:id="477" w:name="_Toc22955"/>
      <w:bookmarkStart w:id="478"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3"/>
      <w:bookmarkEnd w:id="474"/>
      <w:bookmarkEnd w:id="475"/>
      <w:r>
        <w:rPr>
          <w:rFonts w:hint="eastAsia" w:ascii="宋体" w:hAnsi="宋体" w:cs="宋体"/>
          <w:b/>
          <w:sz w:val="24"/>
        </w:rPr>
        <w:t>和分包</w:t>
      </w:r>
      <w:bookmarkEnd w:id="476"/>
      <w:bookmarkEnd w:id="477"/>
      <w:bookmarkEnd w:id="478"/>
    </w:p>
    <w:p>
      <w:pPr>
        <w:spacing w:line="360" w:lineRule="auto"/>
        <w:ind w:firstLine="480" w:firstLineChars="200"/>
        <w:rPr>
          <w:rFonts w:ascii="宋体" w:hAnsi="宋体" w:cs="宋体"/>
          <w:strike/>
          <w:dstrike w:val="0"/>
          <w:color w:val="FF0000"/>
          <w:sz w:val="24"/>
        </w:rPr>
      </w:pPr>
      <w:r>
        <w:rPr>
          <w:rFonts w:hint="eastAsia" w:ascii="宋体" w:hAnsi="宋体" w:cs="宋体"/>
          <w:sz w:val="24"/>
        </w:rPr>
        <w:t>合同的权利义务依法不得转让</w:t>
      </w:r>
      <w:r>
        <w:rPr>
          <w:rFonts w:hint="eastAsia" w:ascii="宋体" w:hAnsi="宋体" w:cs="宋体"/>
          <w:sz w:val="24"/>
          <w:lang w:eastAsia="zh-CN"/>
        </w:rPr>
        <w:t>。</w:t>
      </w:r>
    </w:p>
    <w:p>
      <w:pPr>
        <w:spacing w:line="360" w:lineRule="auto"/>
        <w:ind w:firstLine="482" w:firstLineChars="200"/>
        <w:outlineLvl w:val="0"/>
        <w:rPr>
          <w:rFonts w:ascii="宋体" w:hAnsi="宋体" w:cs="宋体"/>
          <w:b/>
          <w:sz w:val="24"/>
        </w:rPr>
      </w:pPr>
      <w:bookmarkStart w:id="479" w:name="_Toc13566"/>
      <w:bookmarkStart w:id="480" w:name="_Toc14066"/>
      <w:bookmarkStart w:id="481" w:name="_Toc16508"/>
      <w:r>
        <w:rPr>
          <w:rFonts w:hint="eastAsia" w:ascii="宋体" w:hAnsi="宋体" w:cs="宋体"/>
          <w:b/>
          <w:sz w:val="24"/>
        </w:rPr>
        <w:t>十二、不可抗力</w:t>
      </w:r>
      <w:bookmarkEnd w:id="479"/>
      <w:bookmarkEnd w:id="480"/>
      <w:bookmarkEnd w:id="481"/>
    </w:p>
    <w:p>
      <w:pPr>
        <w:spacing w:line="360" w:lineRule="auto"/>
        <w:ind w:firstLine="480" w:firstLineChars="200"/>
        <w:rPr>
          <w:rFonts w:ascii="宋体" w:hAnsi="宋体"/>
          <w:sz w:val="24"/>
        </w:rPr>
      </w:pPr>
      <w:bookmarkStart w:id="482" w:name="_Toc487900365"/>
      <w:bookmarkStart w:id="483" w:name="_Toc6969"/>
      <w:bookmarkStart w:id="484" w:name="_Toc30676"/>
      <w:bookmarkStart w:id="485" w:name="_Toc279701255"/>
      <w:bookmarkStart w:id="486" w:name="_Toc259093684"/>
      <w:bookmarkStart w:id="487"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8" w:name="_Toc7102"/>
      <w:bookmarkStart w:id="489" w:name="_Toc8298"/>
      <w:bookmarkStart w:id="490" w:name="_Toc259093687"/>
      <w:bookmarkStart w:id="491" w:name="_Toc279701258"/>
      <w:bookmarkStart w:id="492" w:name="_Toc16959"/>
      <w:bookmarkStart w:id="493" w:name="_Toc487900368"/>
      <w:r>
        <w:rPr>
          <w:rFonts w:hint="eastAsia" w:ascii="宋体" w:hAnsi="宋体" w:cs="宋体"/>
          <w:b/>
          <w:sz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4" w:name="_Toc29333"/>
      <w:bookmarkStart w:id="495" w:name="_Toc15387"/>
      <w:bookmarkStart w:id="496" w:name="_Toc6134"/>
      <w:r>
        <w:rPr>
          <w:rFonts w:hint="eastAsia" w:ascii="宋体" w:hAnsi="宋体" w:cs="宋体"/>
          <w:b/>
          <w:sz w:val="24"/>
        </w:rPr>
        <w:t>十五、合同中止、终止</w:t>
      </w:r>
      <w:bookmarkEnd w:id="494"/>
      <w:bookmarkEnd w:id="495"/>
      <w:bookmarkEnd w:id="496"/>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9"/>
    <w:bookmarkEnd w:id="470"/>
    <w:bookmarkEnd w:id="471"/>
    <w:bookmarkEnd w:id="472"/>
    <w:p>
      <w:pPr>
        <w:spacing w:line="360" w:lineRule="auto"/>
        <w:ind w:firstLine="482" w:firstLineChars="200"/>
        <w:outlineLvl w:val="0"/>
        <w:rPr>
          <w:rFonts w:ascii="宋体" w:hAnsi="宋体" w:cs="宋体"/>
          <w:b/>
          <w:sz w:val="24"/>
        </w:rPr>
      </w:pPr>
      <w:bookmarkStart w:id="497" w:name="_Toc259093690"/>
      <w:bookmarkStart w:id="498" w:name="_Toc487900371"/>
      <w:bookmarkStart w:id="499" w:name="_Toc279701261"/>
      <w:bookmarkStart w:id="500" w:name="_Toc19604"/>
      <w:bookmarkStart w:id="501" w:name="_Toc25182"/>
      <w:bookmarkStart w:id="502" w:name="_Toc11284"/>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pPr>
        <w:spacing w:line="360" w:lineRule="auto"/>
        <w:ind w:firstLine="480" w:firstLineChars="200"/>
        <w:rPr>
          <w:rFonts w:ascii="宋体" w:hAnsi="宋体"/>
          <w:sz w:val="24"/>
        </w:rPr>
      </w:pPr>
      <w:bookmarkStart w:id="503" w:name="_Toc18401"/>
      <w:bookmarkStart w:id="504" w:name="_Toc27674"/>
      <w:bookmarkStart w:id="505" w:name="_Toc259093691"/>
      <w:bookmarkStart w:id="506" w:name="_Toc279701262"/>
      <w:bookmarkStart w:id="507" w:name="_Toc18540"/>
      <w:bookmarkStart w:id="508" w:name="_Toc4355"/>
      <w:bookmarkStart w:id="509" w:name="_Toc487900372"/>
      <w:bookmarkStart w:id="510" w:name="_Toc30599"/>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1" w:name="_Toc12773"/>
      <w:bookmarkStart w:id="512" w:name="_Toc10330"/>
      <w:bookmarkStart w:id="513" w:name="_Toc259093692"/>
      <w:bookmarkStart w:id="514" w:name="_Toc487900373"/>
      <w:bookmarkStart w:id="515" w:name="_Toc279701263"/>
      <w:bookmarkStart w:id="516" w:name="_Toc18567"/>
      <w:r>
        <w:rPr>
          <w:rFonts w:hint="eastAsia" w:ascii="宋体" w:hAnsi="宋体" w:cs="宋体"/>
          <w:b/>
          <w:sz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Arial" w:hAnsi="Arial" w:cs="Arial"/>
          <w:sz w:val="32"/>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5"/>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5"/>
        <w:spacing w:line="560" w:lineRule="exact"/>
        <w:ind w:left="0" w:leftChars="0" w:firstLine="0" w:firstLineChars="0"/>
        <w:jc w:val="center"/>
        <w:rPr>
          <w:rFonts w:hint="eastAsia" w:ascii="宋体" w:hAnsi="宋体" w:eastAsiaTheme="minorEastAsia"/>
          <w:b/>
          <w:color w:val="auto"/>
          <w:szCs w:val="24"/>
          <w:lang w:eastAsia="zh-CN"/>
        </w:rPr>
      </w:pPr>
      <w:r>
        <w:rPr>
          <w:rFonts w:hint="eastAsia" w:ascii="宋体" w:hAnsi="宋体"/>
          <w:b/>
          <w:color w:val="auto"/>
          <w:szCs w:val="24"/>
        </w:rPr>
        <w:t>第三章  安全协议</w:t>
      </w:r>
    </w:p>
    <w:p>
      <w:pPr>
        <w:widowControl/>
        <w:adjustRightInd w:val="0"/>
        <w:spacing w:line="360" w:lineRule="auto"/>
        <w:jc w:val="left"/>
        <w:rPr>
          <w:rFonts w:hAnsi="宋体" w:cs="宋体"/>
          <w:color w:val="auto"/>
          <w:sz w:val="24"/>
        </w:rPr>
      </w:pPr>
      <w:r>
        <w:rPr>
          <w:rFonts w:hint="eastAsia" w:hAnsi="宋体" w:cs="宋体"/>
          <w:color w:val="auto"/>
          <w:sz w:val="24"/>
          <w:lang w:bidi="ar"/>
        </w:rPr>
        <w:t>发包单位：</w:t>
      </w:r>
      <w:r>
        <w:rPr>
          <w:rFonts w:hint="eastAsia" w:hAnsi="宋体" w:cs="宋体"/>
          <w:color w:val="auto"/>
          <w:sz w:val="24"/>
          <w:u w:val="single"/>
          <w:lang w:bidi="ar"/>
        </w:rPr>
        <w:t>杭州临江环境能源有限公司</w:t>
      </w:r>
      <w:r>
        <w:rPr>
          <w:rFonts w:hint="eastAsia" w:hAnsi="宋体" w:cs="宋体"/>
          <w:color w:val="auto"/>
          <w:sz w:val="24"/>
          <w:lang w:bidi="ar"/>
        </w:rPr>
        <w:t xml:space="preserve">（简称甲方） </w:t>
      </w:r>
    </w:p>
    <w:p>
      <w:pPr>
        <w:widowControl/>
        <w:adjustRightInd w:val="0"/>
        <w:spacing w:line="360" w:lineRule="auto"/>
        <w:jc w:val="left"/>
        <w:rPr>
          <w:rFonts w:hAnsi="宋体" w:cs="宋体"/>
          <w:color w:val="auto"/>
          <w:sz w:val="24"/>
        </w:rPr>
      </w:pPr>
      <w:r>
        <w:rPr>
          <w:rFonts w:hint="eastAsia" w:hAnsi="宋体" w:cs="宋体"/>
          <w:color w:val="auto"/>
          <w:sz w:val="24"/>
          <w:lang w:bidi="ar"/>
        </w:rPr>
        <w:t>承包单位：</w:t>
      </w:r>
      <w:r>
        <w:rPr>
          <w:rFonts w:hint="eastAsia" w:hAnsi="宋体" w:cs="宋体"/>
          <w:color w:val="auto"/>
          <w:sz w:val="24"/>
          <w:u w:val="single"/>
          <w:lang w:val="en-US" w:eastAsia="zh-CN" w:bidi="ar"/>
        </w:rPr>
        <w:t xml:space="preserve">    ***公司          </w:t>
      </w:r>
      <w:r>
        <w:rPr>
          <w:rFonts w:hint="eastAsia" w:hAnsi="宋体" w:cs="宋体"/>
          <w:color w:val="auto"/>
          <w:sz w:val="24"/>
          <w:lang w:bidi="ar"/>
        </w:rPr>
        <w:t xml:space="preserve">（简称乙方）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甲方将</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2025年能源运行中心碳化硅耐磨可塑料采购项目      </w:t>
      </w:r>
      <w:r>
        <w:rPr>
          <w:rFonts w:hint="eastAsia" w:hAnsi="宋体" w:cs="宋体"/>
          <w:color w:val="auto"/>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一、服务项目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1.项目名称： </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2025年能源运行中心碳化硅耐磨可塑料采购项目  </w:t>
      </w:r>
      <w:r>
        <w:rPr>
          <w:rFonts w:hint="eastAsia" w:hAnsi="宋体" w:cs="宋体"/>
          <w:color w:val="auto"/>
          <w:sz w:val="24"/>
          <w:u w:val="single"/>
          <w:lang w:bidi="ar"/>
        </w:rPr>
        <w:t xml:space="preserve">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2.项目地址：位于浙江省杭州钱塘区临江街道杭州临江环境能源有限公司厂区内。 </w:t>
      </w:r>
    </w:p>
    <w:p>
      <w:pPr>
        <w:adjustRightInd w:val="0"/>
        <w:spacing w:line="360" w:lineRule="auto"/>
        <w:ind w:firstLine="602" w:firstLineChars="250"/>
        <w:rPr>
          <w:rFonts w:hAnsi="宋体" w:cs="宋体"/>
          <w:b/>
          <w:color w:val="auto"/>
          <w:sz w:val="24"/>
        </w:rPr>
      </w:pPr>
      <w:r>
        <w:rPr>
          <w:rFonts w:hint="eastAsia" w:hAnsi="宋体" w:cs="宋体"/>
          <w:b/>
          <w:color w:val="auto"/>
          <w:sz w:val="24"/>
        </w:rPr>
        <w:t>二、甲方职责</w:t>
      </w:r>
    </w:p>
    <w:p>
      <w:pPr>
        <w:adjustRightInd w:val="0"/>
        <w:spacing w:line="360" w:lineRule="auto"/>
        <w:ind w:firstLine="480" w:firstLineChars="200"/>
        <w:rPr>
          <w:rFonts w:hAnsi="宋体" w:cs="宋体"/>
          <w:color w:val="auto"/>
          <w:sz w:val="24"/>
        </w:rPr>
      </w:pPr>
      <w:r>
        <w:rPr>
          <w:rFonts w:hint="eastAsia" w:hAnsi="宋体" w:cs="宋体"/>
          <w:color w:val="auto"/>
          <w:sz w:val="24"/>
        </w:rPr>
        <w:t>1.甲方对乙方资质进行审查，确保符合要求，并为乙方正常服务场所工作提供便利，</w:t>
      </w:r>
      <w:r>
        <w:rPr>
          <w:rFonts w:hint="eastAsia" w:hAnsi="宋体" w:cs="宋体"/>
          <w:color w:val="auto"/>
          <w:sz w:val="24"/>
          <w:u w:val="single"/>
          <w:lang w:val="en-US" w:eastAsia="zh-CN"/>
        </w:rPr>
        <w:t xml:space="preserve">              </w:t>
      </w:r>
      <w:r>
        <w:rPr>
          <w:rFonts w:hint="eastAsia" w:hAnsi="宋体" w:cs="宋体"/>
          <w:color w:val="auto"/>
          <w:sz w:val="24"/>
          <w:u w:val="single"/>
        </w:rPr>
        <w:t xml:space="preserve"> </w:t>
      </w:r>
      <w:r>
        <w:rPr>
          <w:rFonts w:hint="eastAsia" w:hAnsi="宋体" w:cs="宋体"/>
          <w:color w:val="auto"/>
          <w:sz w:val="24"/>
        </w:rPr>
        <w:t>实施前就各实施区域的现状及周边情况向乙方进行交底。如：实施项目周边的电缆线、消防管道及排水沟及周边车辆行驶情况等。</w:t>
      </w:r>
    </w:p>
    <w:p>
      <w:pPr>
        <w:adjustRightInd w:val="0"/>
        <w:spacing w:line="360" w:lineRule="auto"/>
        <w:ind w:firstLine="480" w:firstLineChars="200"/>
        <w:rPr>
          <w:rFonts w:hAnsi="宋体" w:cs="宋体"/>
          <w:color w:val="auto"/>
          <w:sz w:val="24"/>
        </w:rPr>
      </w:pPr>
      <w:r>
        <w:rPr>
          <w:rFonts w:hint="eastAsia" w:hAnsi="宋体" w:cs="宋体"/>
          <w:color w:val="auto"/>
          <w:sz w:val="24"/>
        </w:rPr>
        <w:t>2.为本项目指定专人负责具体的联系沟通工作。</w:t>
      </w:r>
    </w:p>
    <w:p>
      <w:pPr>
        <w:adjustRightInd w:val="0"/>
        <w:spacing w:line="360" w:lineRule="auto"/>
        <w:ind w:firstLine="480" w:firstLineChars="200"/>
        <w:rPr>
          <w:rFonts w:hAnsi="宋体" w:cs="宋体"/>
          <w:color w:val="auto"/>
          <w:sz w:val="24"/>
        </w:rPr>
      </w:pPr>
      <w:r>
        <w:rPr>
          <w:rFonts w:hint="eastAsia" w:hAnsi="宋体" w:cs="宋体"/>
          <w:color w:val="auto"/>
          <w:sz w:val="24"/>
        </w:rPr>
        <w:t>3.做好与本项目有关的其他各级单位的沟通协调工作。</w:t>
      </w:r>
    </w:p>
    <w:p>
      <w:pPr>
        <w:adjustRightInd w:val="0"/>
        <w:spacing w:line="360" w:lineRule="auto"/>
        <w:ind w:firstLine="482" w:firstLineChars="200"/>
        <w:rPr>
          <w:rFonts w:hAnsi="宋体" w:cs="宋体"/>
          <w:b/>
          <w:color w:val="auto"/>
          <w:sz w:val="24"/>
        </w:rPr>
      </w:pPr>
      <w:r>
        <w:rPr>
          <w:rFonts w:hint="eastAsia" w:hAnsi="宋体" w:cs="宋体"/>
          <w:b/>
          <w:color w:val="auto"/>
          <w:sz w:val="24"/>
        </w:rPr>
        <w:t>三、乙方职责</w:t>
      </w:r>
    </w:p>
    <w:p>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2.乙方在项目服务期间，必须对工作人员进行安全生产教育，落实安全技术交底工作，确保各类专业技术人员持证上岗。</w:t>
      </w:r>
    </w:p>
    <w:p>
      <w:pPr>
        <w:adjustRightInd w:val="0"/>
        <w:spacing w:line="360" w:lineRule="auto"/>
        <w:ind w:firstLine="480" w:firstLineChars="200"/>
        <w:rPr>
          <w:rFonts w:hAnsi="宋体" w:cs="宋体"/>
          <w:color w:val="auto"/>
          <w:sz w:val="24"/>
        </w:rPr>
      </w:pPr>
      <w:r>
        <w:rPr>
          <w:rFonts w:hint="eastAsia" w:hAnsi="宋体" w:cs="宋体"/>
          <w:color w:val="auto"/>
          <w:sz w:val="24"/>
        </w:rPr>
        <w:t>3.乙方应遵守甲方相关的安全生产管理制度，在禁烟区内严禁吸烟以及擅自动用各类明火（动用需经审批），并在现场设置灭火器材及警示标识。</w:t>
      </w:r>
    </w:p>
    <w:p>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4.乙方在项目服务期间应严格按照用电规范要求，严禁私拉乱接电线，各类电器、照明设备必须使用防爆产品或设置防爆装置。</w:t>
      </w:r>
    </w:p>
    <w:p>
      <w:pPr>
        <w:adjustRightInd w:val="0"/>
        <w:spacing w:line="360" w:lineRule="auto"/>
        <w:ind w:firstLine="480" w:firstLineChars="200"/>
        <w:rPr>
          <w:rFonts w:hAnsi="宋体" w:cs="宋体"/>
          <w:color w:val="auto"/>
          <w:sz w:val="24"/>
        </w:rPr>
      </w:pPr>
      <w:r>
        <w:rPr>
          <w:rFonts w:hint="eastAsia" w:hAnsi="宋体" w:cs="宋体"/>
          <w:color w:val="auto"/>
          <w:sz w:val="24"/>
        </w:rPr>
        <w:t>5.乙方内部要建立安全生产检查制度、落实自查自检，按“定人、定时间、定措施”的隐患整改原则，消除现场不安全因素。</w:t>
      </w:r>
    </w:p>
    <w:p>
      <w:pPr>
        <w:adjustRightInd w:val="0"/>
        <w:spacing w:line="360" w:lineRule="auto"/>
        <w:ind w:firstLine="480" w:firstLineChars="200"/>
        <w:rPr>
          <w:rFonts w:hAnsi="宋体" w:cs="宋体"/>
          <w:color w:val="auto"/>
          <w:sz w:val="24"/>
        </w:rPr>
      </w:pPr>
      <w:r>
        <w:rPr>
          <w:rFonts w:hint="eastAsia" w:hAnsi="宋体" w:cs="宋体"/>
          <w:color w:val="auto"/>
          <w:sz w:val="24"/>
        </w:rPr>
        <w:t>6．安全、规范、文明、科学作业，不损坏甲方的地上地下各类设施，确保项目实施区域安全有序。</w:t>
      </w:r>
    </w:p>
    <w:p>
      <w:pPr>
        <w:adjustRightInd w:val="0"/>
        <w:spacing w:line="360" w:lineRule="auto"/>
        <w:ind w:firstLine="480" w:firstLineChars="200"/>
        <w:rPr>
          <w:rFonts w:hAnsi="宋体" w:cs="宋体"/>
          <w:color w:val="auto"/>
          <w:sz w:val="24"/>
        </w:rPr>
      </w:pPr>
      <w:r>
        <w:rPr>
          <w:rFonts w:hint="eastAsia" w:hAnsi="宋体" w:cs="宋体"/>
          <w:color w:val="auto"/>
          <w:sz w:val="24"/>
        </w:rPr>
        <w:t>7.接受甲方的监督检查。</w:t>
      </w:r>
    </w:p>
    <w:p>
      <w:pPr>
        <w:adjustRightInd w:val="0"/>
        <w:spacing w:line="360" w:lineRule="auto"/>
        <w:ind w:firstLine="482" w:firstLineChars="200"/>
        <w:rPr>
          <w:rFonts w:hAnsi="宋体" w:cs="宋体"/>
          <w:color w:val="auto"/>
          <w:sz w:val="24"/>
        </w:rPr>
      </w:pPr>
      <w:r>
        <w:rPr>
          <w:rFonts w:hint="eastAsia" w:hAnsi="宋体" w:cs="宋体"/>
          <w:b/>
          <w:color w:val="auto"/>
          <w:sz w:val="24"/>
        </w:rPr>
        <w:t>四、违约责任</w:t>
      </w:r>
    </w:p>
    <w:p>
      <w:pPr>
        <w:adjustRightInd w:val="0"/>
        <w:spacing w:line="360" w:lineRule="auto"/>
        <w:ind w:firstLine="480" w:firstLineChars="200"/>
        <w:rPr>
          <w:rFonts w:hAnsi="宋体" w:cs="宋体"/>
          <w:color w:val="auto"/>
          <w:sz w:val="24"/>
        </w:rPr>
      </w:pPr>
      <w:r>
        <w:rPr>
          <w:rFonts w:hint="eastAsia" w:hAnsi="宋体" w:cs="宋体"/>
          <w:color w:val="auto"/>
          <w:sz w:val="24"/>
        </w:rPr>
        <w:t>1.在项目服务过程中，乙方必须做到安全生产，并服从甲方管理人员的调度指挥，有下列行为的，乙方扣罚履约保证金500-1000元/次：</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不服从甲方指挥，强令冒险作业；</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未按要求参加甲方组织的各项安全检查、会议活动；</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3 \* GB3 </w:instrText>
      </w:r>
      <w:r>
        <w:rPr>
          <w:rFonts w:hint="eastAsia" w:hAnsi="宋体" w:cs="宋体"/>
          <w:color w:val="auto"/>
          <w:sz w:val="24"/>
        </w:rPr>
        <w:fldChar w:fldCharType="separate"/>
      </w:r>
      <w:r>
        <w:rPr>
          <w:rFonts w:hint="eastAsia" w:hAnsi="宋体" w:cs="宋体"/>
          <w:color w:val="auto"/>
          <w:sz w:val="24"/>
        </w:rPr>
        <w:t>③</w:t>
      </w:r>
      <w:r>
        <w:rPr>
          <w:rFonts w:hint="eastAsia" w:hAnsi="宋体" w:cs="宋体"/>
          <w:color w:val="auto"/>
          <w:sz w:val="24"/>
        </w:rPr>
        <w:fldChar w:fldCharType="end"/>
      </w:r>
      <w:r>
        <w:rPr>
          <w:rFonts w:hint="eastAsia" w:hAnsi="宋体" w:cs="宋体"/>
          <w:color w:val="auto"/>
          <w:sz w:val="24"/>
        </w:rPr>
        <w:t>工作人员在禁烟区擅自动火、吸烟；</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4 \* GB3 </w:instrText>
      </w:r>
      <w:r>
        <w:rPr>
          <w:rFonts w:hint="eastAsia" w:hAnsi="宋体" w:cs="宋体"/>
          <w:color w:val="auto"/>
          <w:sz w:val="24"/>
        </w:rPr>
        <w:fldChar w:fldCharType="separate"/>
      </w:r>
      <w:r>
        <w:rPr>
          <w:rFonts w:hint="eastAsia" w:hAnsi="宋体" w:cs="宋体"/>
          <w:color w:val="auto"/>
          <w:sz w:val="24"/>
        </w:rPr>
        <w:t>④</w:t>
      </w:r>
      <w:r>
        <w:rPr>
          <w:rFonts w:hint="eastAsia" w:hAnsi="宋体" w:cs="宋体"/>
          <w:color w:val="auto"/>
          <w:sz w:val="24"/>
        </w:rPr>
        <w:fldChar w:fldCharType="end"/>
      </w:r>
      <w:r>
        <w:rPr>
          <w:rFonts w:hint="eastAsia" w:hAnsi="宋体" w:cs="宋体"/>
          <w:color w:val="auto"/>
          <w:sz w:val="24"/>
        </w:rPr>
        <w:t>工作人员未按规定穿戴劳动防护用品，经劝说不听或不服从管理的；</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5 \* GB3 </w:instrText>
      </w:r>
      <w:r>
        <w:rPr>
          <w:rFonts w:hint="eastAsia" w:hAnsi="宋体" w:cs="宋体"/>
          <w:color w:val="auto"/>
          <w:sz w:val="24"/>
        </w:rPr>
        <w:fldChar w:fldCharType="separate"/>
      </w:r>
      <w:r>
        <w:rPr>
          <w:rFonts w:hint="eastAsia" w:hAnsi="宋体" w:cs="宋体"/>
          <w:color w:val="auto"/>
          <w:sz w:val="24"/>
        </w:rPr>
        <w:t>⑤</w:t>
      </w:r>
      <w:r>
        <w:rPr>
          <w:rFonts w:hint="eastAsia" w:hAnsi="宋体" w:cs="宋体"/>
          <w:color w:val="auto"/>
          <w:sz w:val="24"/>
        </w:rPr>
        <w:fldChar w:fldCharType="end"/>
      </w:r>
      <w:r>
        <w:rPr>
          <w:rFonts w:hint="eastAsia" w:hAnsi="宋体" w:cs="宋体"/>
          <w:color w:val="auto"/>
          <w:sz w:val="24"/>
        </w:rPr>
        <w:t>项目服务过程造成环境影响。</w:t>
      </w:r>
    </w:p>
    <w:p>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hAnsi="宋体" w:cs="宋体"/>
          <w:color w:val="auto"/>
          <w:sz w:val="24"/>
        </w:rPr>
        <w:t>：</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由于乙方原因造成甲方被主管单位、新闻媒体、12345公开电话投诉或其他上级有关部门书面警告等通报批评的；</w:t>
      </w:r>
    </w:p>
    <w:p>
      <w:pPr>
        <w:adjustRightInd w:val="0"/>
        <w:spacing w:line="360" w:lineRule="auto"/>
        <w:ind w:firstLine="480" w:firstLineChars="200"/>
        <w:rPr>
          <w:rFonts w:hint="eastAsia"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乙方未履行职责，经甲方三次书面警告的，进行停业整顿的，每次停业整顿。</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pPr>
        <w:adjustRightInd w:val="0"/>
        <w:spacing w:line="360" w:lineRule="auto"/>
        <w:ind w:firstLine="480" w:firstLineChars="200"/>
        <w:rPr>
          <w:rFonts w:hAnsi="宋体" w:cs="宋体"/>
          <w:color w:val="auto"/>
          <w:sz w:val="24"/>
        </w:rPr>
      </w:pPr>
      <w:r>
        <w:rPr>
          <w:rFonts w:hint="eastAsia" w:hAnsi="宋体" w:cs="宋体"/>
          <w:color w:val="auto"/>
          <w:sz w:val="24"/>
        </w:rPr>
        <w:t>3.乙方项目服务人员无证驾驶车辆（设备）、特殊工种无证上岗、消防器材配置缺损已提醒二十四小时无改进措施等现象，扣罚保证金2000元/人·次。</w:t>
      </w:r>
    </w:p>
    <w:p>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4.乙方在项目服务过程中，对甲方的设施、绿化道路造成影响</w:t>
      </w:r>
      <w:r>
        <w:rPr>
          <w:rFonts w:hint="eastAsia" w:hAnsi="宋体" w:cs="宋体"/>
          <w:color w:val="auto"/>
          <w:sz w:val="24"/>
          <w:lang w:eastAsia="zh-CN"/>
        </w:rPr>
        <w:t>，</w:t>
      </w:r>
      <w:r>
        <w:rPr>
          <w:rFonts w:hint="eastAsia" w:hAnsi="宋体" w:cs="宋体"/>
          <w:color w:val="auto"/>
          <w:sz w:val="24"/>
        </w:rPr>
        <w:t>乙方应按甲方要求及时进行原貌恢复或清理，如乙方未能及时进行处理的，甲方有权委托相关部门执行，相应费用在乙方履约保证金中扣除。</w:t>
      </w:r>
    </w:p>
    <w:p>
      <w:pPr>
        <w:adjustRightInd w:val="0"/>
        <w:spacing w:line="360" w:lineRule="auto"/>
        <w:ind w:firstLine="480" w:firstLineChars="200"/>
        <w:rPr>
          <w:rFonts w:hAnsi="宋体" w:cs="宋体"/>
          <w:color w:val="auto"/>
          <w:sz w:val="24"/>
        </w:rPr>
      </w:pPr>
      <w:r>
        <w:rPr>
          <w:rFonts w:hint="eastAsia"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adjustRightInd w:val="0"/>
        <w:spacing w:line="360" w:lineRule="auto"/>
        <w:ind w:firstLine="480" w:firstLineChars="200"/>
        <w:rPr>
          <w:rFonts w:hAnsi="宋体" w:cs="宋体"/>
          <w:color w:val="auto"/>
          <w:sz w:val="24"/>
        </w:rPr>
      </w:pPr>
      <w:r>
        <w:rPr>
          <w:rFonts w:hint="eastAsia" w:hAnsi="宋体" w:cs="宋体"/>
          <w:color w:val="auto"/>
          <w:sz w:val="24"/>
        </w:rPr>
        <w:t>6.发生紧急情况，乙方应及时向上级主管和甲方报告，同时向相关领导或值班人员汇报。如发生人员伤亡应迅速抢救伤员，并在第一时间</w:t>
      </w:r>
      <w:r>
        <w:rPr>
          <w:rFonts w:hint="eastAsia" w:hAnsi="宋体" w:cs="宋体"/>
          <w:color w:val="auto"/>
          <w:sz w:val="24"/>
          <w:lang w:eastAsia="zh-CN"/>
        </w:rPr>
        <w:t>送往</w:t>
      </w:r>
      <w:r>
        <w:rPr>
          <w:rFonts w:hint="eastAsia" w:hAnsi="宋体" w:cs="宋体"/>
          <w:color w:val="auto"/>
          <w:sz w:val="24"/>
        </w:rPr>
        <w:t>就近医院。</w:t>
      </w:r>
    </w:p>
    <w:p>
      <w:pPr>
        <w:adjustRightInd w:val="0"/>
        <w:spacing w:line="360" w:lineRule="auto"/>
        <w:ind w:firstLine="480" w:firstLineChars="200"/>
        <w:rPr>
          <w:rFonts w:hAnsi="宋体" w:cs="宋体"/>
          <w:color w:val="auto"/>
          <w:sz w:val="24"/>
        </w:rPr>
      </w:pPr>
      <w:r>
        <w:rPr>
          <w:rFonts w:hint="eastAsia" w:hAnsi="宋体" w:cs="宋体"/>
          <w:color w:val="auto"/>
          <w:sz w:val="24"/>
        </w:rPr>
        <w:t>7.在项目服务期间，乙方发生的安全事故以及造成的人员或财产损失由乙方全额负责。</w:t>
      </w:r>
    </w:p>
    <w:p>
      <w:pPr>
        <w:adjustRightInd w:val="0"/>
        <w:spacing w:line="360" w:lineRule="auto"/>
        <w:ind w:firstLine="480" w:firstLineChars="200"/>
        <w:rPr>
          <w:rFonts w:hAnsi="宋体" w:cs="宋体"/>
          <w:color w:val="auto"/>
          <w:sz w:val="24"/>
        </w:rPr>
      </w:pPr>
      <w:r>
        <w:rPr>
          <w:rFonts w:hint="eastAsia" w:hAnsi="宋体" w:cs="宋体"/>
          <w:color w:val="auto"/>
          <w:sz w:val="24"/>
        </w:rPr>
        <w:t>8.其他违反甲方相关安全规章制度的现象，根据违规情况每次酌情扣罚履约保证金200—1000元。</w:t>
      </w:r>
    </w:p>
    <w:p>
      <w:pPr>
        <w:adjustRightInd w:val="0"/>
        <w:spacing w:line="360" w:lineRule="auto"/>
        <w:ind w:firstLine="482" w:firstLineChars="200"/>
        <w:rPr>
          <w:rFonts w:hAnsi="宋体" w:cs="宋体"/>
          <w:b/>
          <w:color w:val="auto"/>
          <w:sz w:val="24"/>
        </w:rPr>
      </w:pPr>
      <w:r>
        <w:rPr>
          <w:rFonts w:hint="eastAsia" w:hAnsi="宋体" w:cs="宋体"/>
          <w:b/>
          <w:color w:val="auto"/>
          <w:sz w:val="24"/>
        </w:rPr>
        <w:t>五、其他</w:t>
      </w:r>
    </w:p>
    <w:p>
      <w:pPr>
        <w:widowControl/>
        <w:adjustRightInd w:val="0"/>
        <w:spacing w:line="360" w:lineRule="auto"/>
        <w:rPr>
          <w:rFonts w:hAnsi="宋体" w:cs="宋体"/>
          <w:color w:val="auto"/>
          <w:sz w:val="24"/>
        </w:rPr>
      </w:pPr>
      <w:r>
        <w:rPr>
          <w:rFonts w:hint="eastAsia" w:hAnsi="宋体" w:cs="宋体"/>
          <w:color w:val="auto"/>
          <w:sz w:val="24"/>
        </w:rPr>
        <w:t xml:space="preserve">    本协议有效期为双方签署之日起至双方权利义务履行完毕为止。有效期内发生的违约事实，有效期后发现的适用本协议。</w:t>
      </w: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pPr>
        <w:pStyle w:val="8"/>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5"/>
      </w:pPr>
    </w:p>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15"/>
        <w:jc w:val="both"/>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1312"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1312;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2025年能源运行中心碳化硅耐磨可塑料采购项目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202511013</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pPr>
        <w:snapToGrid w:val="0"/>
        <w:spacing w:line="360" w:lineRule="auto"/>
        <w:rPr>
          <w:rFonts w:hint="eastAsia" w:cs="仿宋" w:asciiTheme="minorEastAsia" w:hAnsiTheme="minorEastAsia"/>
          <w:sz w:val="24"/>
        </w:rPr>
      </w:pPr>
    </w:p>
    <w:p>
      <w:pPr>
        <w:pStyle w:val="7"/>
      </w:pPr>
    </w:p>
    <w:p>
      <w:pPr>
        <w:pStyle w:val="16"/>
      </w:pPr>
    </w:p>
    <w:p/>
    <w:p>
      <w:pPr>
        <w:pStyle w:val="7"/>
      </w:pPr>
    </w:p>
    <w:p>
      <w:pPr>
        <w:pStyle w:val="16"/>
      </w:pPr>
    </w:p>
    <w:p/>
    <w:p>
      <w:pPr>
        <w:pStyle w:val="7"/>
      </w:pPr>
    </w:p>
    <w:p>
      <w:pPr>
        <w:pStyle w:val="16"/>
      </w:pPr>
    </w:p>
    <w:p/>
    <w:p>
      <w:pPr>
        <w:pStyle w:val="7"/>
      </w:pPr>
    </w:p>
    <w:p>
      <w:pPr>
        <w:pStyle w:val="16"/>
      </w:pPr>
    </w:p>
    <w:p>
      <w:pPr>
        <w:pStyle w:val="13"/>
      </w:pPr>
    </w:p>
    <w:p/>
    <w:p/>
    <w:p/>
    <w:p/>
    <w:p/>
    <w:p>
      <w:pPr>
        <w:pStyle w:val="7"/>
      </w:pPr>
    </w:p>
    <w:p>
      <w:pPr>
        <w:pStyle w:val="16"/>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2025年能源运行中心碳化硅耐磨可塑料采购项目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202511013</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16"/>
      </w:pPr>
    </w:p>
    <w:p/>
    <w:p>
      <w:pPr>
        <w:snapToGrid w:val="0"/>
        <w:spacing w:line="360" w:lineRule="auto"/>
        <w:ind w:right="480"/>
        <w:jc w:val="both"/>
        <w:rPr>
          <w:rFonts w:hint="eastAsia" w:cs="仿宋" w:asciiTheme="minorEastAsia" w:hAnsiTheme="minorEastAsia"/>
          <w:b/>
          <w:color w:val="auto"/>
          <w:kern w:val="0"/>
          <w:sz w:val="32"/>
          <w:szCs w:val="32"/>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8"/>
              <w:adjustRightInd w:val="0"/>
              <w:spacing w:line="360" w:lineRule="auto"/>
              <w:rPr>
                <w:rFonts w:cs="仿宋" w:asciiTheme="minorEastAsia" w:hAnsiTheme="minorEastAsia" w:eastAsiaTheme="minorEastAsia"/>
                <w:bCs/>
                <w:color w:val="auto"/>
                <w:sz w:val="24"/>
              </w:rPr>
            </w:pPr>
          </w:p>
        </w:tc>
      </w:tr>
    </w:tbl>
    <w:p>
      <w:pPr>
        <w:pStyle w:val="7"/>
        <w:rPr>
          <w:color w:val="auto"/>
          <w:lang w:val="en-US"/>
        </w:rPr>
      </w:pPr>
    </w:p>
    <w:p>
      <w:pPr>
        <w:spacing w:line="360" w:lineRule="auto"/>
        <w:ind w:firstLine="643" w:firstLineChars="200"/>
        <w:rPr>
          <w:rFonts w:cs="仿宋" w:asciiTheme="minorEastAsia" w:hAnsiTheme="minorEastAsia"/>
          <w:b/>
          <w:color w:val="auto"/>
          <w:kern w:val="0"/>
          <w:sz w:val="32"/>
          <w:szCs w:val="32"/>
        </w:rPr>
      </w:pPr>
    </w:p>
    <w:p>
      <w:pPr>
        <w:pStyle w:val="7"/>
        <w:rPr>
          <w:lang w:val="en-US"/>
        </w:rPr>
      </w:pPr>
    </w:p>
    <w:p>
      <w:pPr>
        <w:spacing w:line="360" w:lineRule="auto"/>
        <w:ind w:firstLine="643" w:firstLineChars="200"/>
        <w:rPr>
          <w:rFonts w:cs="仿宋" w:asciiTheme="minorEastAsia" w:hAnsiTheme="minorEastAsia"/>
          <w:b/>
          <w:kern w:val="0"/>
          <w:sz w:val="32"/>
          <w:szCs w:val="32"/>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spacing w:line="360" w:lineRule="auto"/>
              <w:ind w:firstLine="480" w:firstLineChars="200"/>
              <w:rPr>
                <w:rFonts w:hint="default" w:cs="仿宋" w:asciiTheme="minorEastAsia" w:hAnsiTheme="minorEastAsia" w:eastAsiaTheme="minorEastAsia"/>
                <w:bCs/>
                <w:color w:val="auto"/>
                <w:sz w:val="24"/>
                <w:u w:val="single"/>
                <w:lang w:val="en-US" w:eastAsia="zh-CN"/>
              </w:rPr>
            </w:pPr>
            <w:r>
              <w:rPr>
                <w:rFonts w:hint="eastAsia" w:cs="仿宋" w:asciiTheme="minorEastAsia" w:hAnsiTheme="minorEastAsia"/>
                <w:bCs/>
                <w:color w:val="auto"/>
                <w:sz w:val="24"/>
                <w:lang w:val="en-US" w:eastAsia="zh-CN"/>
              </w:rPr>
              <w:t>具有自2023年1月1日（含）至响应文件递交截止之日至少1例单炉处理500t/d及以上垃圾焚烧发电项目耐火材料销售业绩（业绩中须含有维修或初装施工的内容）</w:t>
            </w:r>
          </w:p>
          <w:p>
            <w:pPr>
              <w:pStyle w:val="28"/>
              <w:adjustRightInd w:val="0"/>
              <w:spacing w:line="360" w:lineRule="auto"/>
              <w:ind w:firstLine="720" w:firstLineChars="300"/>
              <w:rPr>
                <w:rFonts w:hint="default" w:cs="仿宋" w:asciiTheme="minorEastAsia" w:hAnsiTheme="minorEastAsia" w:eastAsiaTheme="minorEastAsia"/>
                <w:bCs/>
                <w:color w:val="auto"/>
                <w:sz w:val="24"/>
                <w:lang w:val="en-US" w:eastAsia="zh-CN"/>
              </w:rPr>
            </w:pPr>
          </w:p>
        </w:tc>
      </w:tr>
    </w:tbl>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jc w:val="both"/>
        <w:rPr>
          <w:rFonts w:hint="eastAsia" w:cs="仿宋" w:asciiTheme="minorEastAsia" w:hAnsiTheme="minorEastAsia"/>
          <w:b/>
          <w:color w:val="auto"/>
          <w:kern w:val="0"/>
          <w:sz w:val="32"/>
          <w:szCs w:val="32"/>
          <w:lang w:val="en-US" w:eastAsia="zh-CN"/>
        </w:rPr>
      </w:pPr>
    </w:p>
    <w:p>
      <w:pPr>
        <w:spacing w:line="360" w:lineRule="auto"/>
        <w:jc w:val="both"/>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eastAsiaTheme="minorEastAsia"/>
          <w:b/>
          <w:color w:val="auto"/>
          <w:kern w:val="0"/>
          <w:sz w:val="32"/>
          <w:szCs w:val="32"/>
          <w:lang w:eastAsia="zh-CN"/>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r>
        <w:rPr>
          <w:rFonts w:hint="eastAsia" w:cs="仿宋" w:asciiTheme="minorEastAsia" w:hAnsiTheme="minorEastAsia"/>
          <w:b w:val="0"/>
          <w:bCs/>
          <w:color w:val="auto"/>
          <w:kern w:val="0"/>
          <w:sz w:val="32"/>
          <w:szCs w:val="32"/>
          <w:lang w:val="en-US" w:eastAsia="zh-CN"/>
        </w:rPr>
        <w:t>（</w:t>
      </w:r>
      <w:r>
        <w:rPr>
          <w:rFonts w:hint="eastAsia" w:cs="仿宋" w:asciiTheme="minorEastAsia" w:hAnsiTheme="minorEastAsia" w:eastAsiaTheme="minorEastAsia"/>
          <w:b w:val="0"/>
          <w:bCs/>
          <w:color w:val="auto"/>
          <w:sz w:val="24"/>
          <w:lang w:val="en-US" w:eastAsia="zh-CN"/>
        </w:rPr>
        <w:t>本项目不要求</w:t>
      </w:r>
      <w:r>
        <w:rPr>
          <w:rFonts w:hint="eastAsia" w:cs="仿宋" w:asciiTheme="minorEastAsia" w:hAnsiTheme="minorEastAsia"/>
          <w:b w:val="0"/>
          <w:bCs/>
          <w:color w:val="auto"/>
          <w:kern w:val="0"/>
          <w:sz w:val="32"/>
          <w:szCs w:val="32"/>
          <w:lang w:val="en-US" w:eastAsia="zh-CN"/>
        </w:rPr>
        <w:t>）</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28"/>
              <w:adjustRightInd w:val="0"/>
              <w:spacing w:line="360" w:lineRule="auto"/>
              <w:ind w:firstLine="480" w:firstLineChars="200"/>
              <w:rPr>
                <w:rFonts w:cs="仿宋" w:asciiTheme="minorEastAsia" w:hAnsiTheme="minorEastAsia" w:eastAsiaTheme="minorEastAsia"/>
                <w:bCs/>
                <w:color w:val="auto"/>
                <w:sz w:val="24"/>
              </w:rPr>
            </w:pPr>
          </w:p>
        </w:tc>
      </w:tr>
    </w:tbl>
    <w:p>
      <w:pPr>
        <w:rPr>
          <w:color w:val="auto"/>
        </w:rPr>
      </w:pPr>
    </w:p>
    <w:p>
      <w:pPr>
        <w:pStyle w:val="7"/>
        <w:rPr>
          <w:color w:val="auto"/>
        </w:rPr>
      </w:pPr>
    </w:p>
    <w:p>
      <w:pPr>
        <w:pStyle w:val="7"/>
        <w:jc w:val="center"/>
        <w:rPr>
          <w:rFonts w:hint="eastAsia" w:cs="仿宋" w:asciiTheme="minorEastAsia" w:hAnsiTheme="minorEastAsia"/>
          <w:b/>
          <w:snapToGrid/>
          <w:color w:val="auto"/>
          <w:kern w:val="0"/>
          <w:sz w:val="32"/>
          <w:szCs w:val="32"/>
          <w:highlight w:val="none"/>
          <w:lang w:val="en-US" w:eastAsia="zh-CN" w:bidi="ar-SA"/>
        </w:rPr>
      </w:pPr>
    </w:p>
    <w:p>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28"/>
              <w:adjustRightInd w:val="0"/>
              <w:spacing w:line="360" w:lineRule="auto"/>
              <w:rPr>
                <w:rFonts w:cs="仿宋" w:asciiTheme="minorEastAsia" w:hAnsiTheme="minorEastAsia" w:eastAsiaTheme="minorEastAsia"/>
                <w:bCs/>
                <w:color w:val="auto"/>
                <w:sz w:val="24"/>
              </w:rPr>
            </w:pPr>
          </w:p>
        </w:tc>
      </w:tr>
    </w:tbl>
    <w:p>
      <w:pPr>
        <w:pStyle w:val="16"/>
        <w:rPr>
          <w:color w:val="auto"/>
        </w:rPr>
      </w:pPr>
    </w:p>
    <w:p>
      <w:pPr>
        <w:rPr>
          <w:color w:val="auto"/>
        </w:rPr>
      </w:pPr>
    </w:p>
    <w:p>
      <w:pPr>
        <w:pStyle w:val="7"/>
      </w:pPr>
    </w:p>
    <w:p>
      <w:pPr>
        <w:pStyle w:val="7"/>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16"/>
      </w:pPr>
    </w:p>
    <w:p/>
    <w:p>
      <w:pPr>
        <w:pStyle w:val="7"/>
      </w:pPr>
    </w:p>
    <w:p>
      <w:pPr>
        <w:pStyle w:val="16"/>
      </w:pPr>
    </w:p>
    <w:p/>
    <w:p>
      <w:pPr>
        <w:pStyle w:val="7"/>
      </w:pPr>
    </w:p>
    <w:p>
      <w:pPr>
        <w:pStyle w:val="16"/>
      </w:pPr>
    </w:p>
    <w:p/>
    <w:p>
      <w:pPr>
        <w:pStyle w:val="7"/>
      </w:pPr>
    </w:p>
    <w:p>
      <w:pPr>
        <w:pStyle w:val="16"/>
      </w:pPr>
    </w:p>
    <w:p>
      <w:pPr>
        <w:pStyle w:val="16"/>
      </w:pPr>
    </w:p>
    <w:p/>
    <w:p>
      <w:pPr>
        <w:pStyle w:val="7"/>
      </w:pPr>
    </w:p>
    <w:p>
      <w:pPr>
        <w:pStyle w:val="16"/>
        <w:ind w:left="0" w:leftChars="0" w:firstLine="0" w:firstLineChars="0"/>
      </w:pPr>
    </w:p>
    <w:p>
      <w:pPr>
        <w:pStyle w:val="16"/>
        <w:ind w:left="0" w:leftChars="0" w:firstLine="0" w:firstLineChars="0"/>
      </w:pPr>
    </w:p>
    <w:p>
      <w:pPr>
        <w:pStyle w:val="16"/>
        <w:ind w:left="0" w:leftChars="0" w:firstLine="0" w:firstLineChars="0"/>
      </w:pPr>
    </w:p>
    <w:p>
      <w:pPr>
        <w:pStyle w:val="16"/>
        <w:ind w:left="0" w:leftChars="0" w:firstLine="0" w:firstLineChars="0"/>
      </w:pPr>
    </w:p>
    <w:p>
      <w:pPr>
        <w:pStyle w:val="16"/>
        <w:ind w:left="0" w:leftChars="0" w:firstLine="0" w:firstLineChars="0"/>
      </w:pPr>
    </w:p>
    <w:p>
      <w:pPr>
        <w:pStyle w:val="16"/>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2025年能源运行中心碳化硅耐磨可塑料采购项目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202511013</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16"/>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2025年能源运行中心碳化硅耐磨可塑料采购项目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202511013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both"/>
        <w:rPr>
          <w:rFonts w:cs="仿宋" w:asciiTheme="minorEastAsia" w:hAnsiTheme="minorEastAsia"/>
          <w:b/>
          <w:kern w:val="0"/>
          <w:sz w:val="32"/>
          <w:szCs w:val="32"/>
          <w:lang w:val="zh-CN"/>
        </w:rPr>
      </w:pPr>
    </w:p>
    <w:p>
      <w:pPr>
        <w:jc w:val="both"/>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16"/>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16"/>
      </w:pPr>
    </w:p>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both"/>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both"/>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2"/>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2"/>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8" w:type="first"/>
          <w:footerReference r:id="rId17" w:type="default"/>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2025年能源运行中心碳化硅耐磨可塑料采购项目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202511013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2025年能源运行中心碳化硅耐磨可塑料采购项目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202511013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highlight w:val="none"/>
          <w:lang w:eastAsia="zh-CN"/>
        </w:rPr>
        <w:t>（</w:t>
      </w:r>
      <w:r>
        <w:rPr>
          <w:rFonts w:hint="eastAsia" w:ascii="宋体" w:hAnsi="宋体" w:cs="宋体"/>
          <w:sz w:val="24"/>
          <w:highlight w:val="none"/>
        </w:rPr>
        <w:t>包括但不限于货款、包装费、运输费、装卸费、售后服务费及税费等全部费用</w:t>
      </w:r>
      <w:r>
        <w:rPr>
          <w:rFonts w:hint="eastAsia" w:ascii="宋体" w:hAnsi="宋体" w:eastAsia="宋体" w:cs="宋体"/>
          <w:sz w:val="24"/>
          <w:highlight w:val="none"/>
          <w:lang w:eastAsia="zh-CN"/>
        </w:rPr>
        <w:t>），</w:t>
      </w:r>
      <w:r>
        <w:rPr>
          <w:rFonts w:hint="eastAsia" w:ascii="宋体" w:hAnsi="宋体" w:eastAsia="宋体" w:cs="宋体"/>
          <w:sz w:val="24"/>
          <w:highlight w:val="none"/>
        </w:rPr>
        <w:t>税率</w:t>
      </w:r>
      <w:r>
        <w:rPr>
          <w:rFonts w:hint="eastAsia" w:ascii="宋体" w:hAnsi="宋体" w:eastAsia="宋体" w:cs="宋体"/>
          <w:sz w:val="24"/>
        </w:rPr>
        <w:t>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ascii="宋体" w:hAnsi="宋体" w:cs="宋体"/>
          <w:szCs w:val="21"/>
        </w:rPr>
        <w:t>日 期 ： 年 月 日</w:t>
      </w:r>
    </w:p>
    <w:p>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2025年能源运行中心碳化硅耐磨可塑料采购项目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202511013</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8"/>
        <w:tblW w:w="13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977"/>
        <w:gridCol w:w="750"/>
        <w:gridCol w:w="996"/>
        <w:gridCol w:w="886"/>
        <w:gridCol w:w="886"/>
        <w:gridCol w:w="6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979" w:type="dxa"/>
            <w:vAlign w:val="center"/>
          </w:tcPr>
          <w:p>
            <w:pPr>
              <w:widowControl w:val="0"/>
              <w:kinsoku/>
              <w:autoSpaceDE/>
              <w:autoSpaceDN/>
              <w:adjustRightInd/>
              <w:snapToGrid/>
              <w:spacing w:line="360" w:lineRule="auto"/>
              <w:jc w:val="center"/>
              <w:textAlignment w:val="auto"/>
              <w:rPr>
                <w:rFonts w:hint="eastAsia" w:ascii="宋体" w:hAnsi="宋体" w:eastAsia="宋体" w:cs="宋体"/>
                <w:snapToGrid/>
                <w:kern w:val="2"/>
                <w:lang w:val="en-US" w:eastAsia="zh-CN"/>
              </w:rPr>
            </w:pPr>
            <w:r>
              <w:rPr>
                <w:rFonts w:hint="eastAsia" w:ascii="宋体" w:hAnsi="宋体" w:eastAsia="宋体" w:cs="宋体"/>
                <w:snapToGrid/>
                <w:kern w:val="2"/>
                <w:lang w:val="en-US" w:eastAsia="zh-CN"/>
              </w:rPr>
              <w:t>序号</w:t>
            </w:r>
          </w:p>
        </w:tc>
        <w:tc>
          <w:tcPr>
            <w:tcW w:w="1977" w:type="dxa"/>
            <w:vAlign w:val="center"/>
          </w:tcPr>
          <w:p>
            <w:pPr>
              <w:widowControl w:val="0"/>
              <w:kinsoku/>
              <w:autoSpaceDE/>
              <w:autoSpaceDN/>
              <w:adjustRightInd/>
              <w:snapToGrid/>
              <w:spacing w:line="360" w:lineRule="auto"/>
              <w:jc w:val="center"/>
              <w:textAlignment w:val="auto"/>
              <w:rPr>
                <w:rFonts w:ascii="宋体" w:hAnsi="宋体" w:eastAsia="宋体" w:cs="宋体"/>
                <w:snapToGrid/>
                <w:kern w:val="2"/>
              </w:rPr>
            </w:pPr>
            <w:r>
              <w:rPr>
                <w:rFonts w:hint="eastAsia" w:ascii="宋体" w:hAnsi="宋体" w:eastAsia="宋体" w:cs="宋体"/>
                <w:snapToGrid/>
                <w:kern w:val="2"/>
              </w:rPr>
              <w:t>产品名称</w:t>
            </w:r>
          </w:p>
        </w:tc>
        <w:tc>
          <w:tcPr>
            <w:tcW w:w="750" w:type="dxa"/>
            <w:vAlign w:val="center"/>
          </w:tcPr>
          <w:p>
            <w:pPr>
              <w:widowControl w:val="0"/>
              <w:kinsoku/>
              <w:autoSpaceDE/>
              <w:autoSpaceDN/>
              <w:adjustRightInd/>
              <w:snapToGrid/>
              <w:spacing w:line="360" w:lineRule="auto"/>
              <w:jc w:val="center"/>
              <w:textAlignment w:val="auto"/>
              <w:rPr>
                <w:rFonts w:ascii="宋体" w:hAnsi="宋体" w:eastAsia="宋体" w:cs="宋体"/>
                <w:snapToGrid/>
                <w:kern w:val="2"/>
              </w:rPr>
            </w:pPr>
            <w:r>
              <w:rPr>
                <w:rFonts w:hint="eastAsia" w:ascii="宋体" w:hAnsi="宋体" w:eastAsia="宋体" w:cs="宋体"/>
                <w:snapToGrid/>
                <w:kern w:val="2"/>
              </w:rPr>
              <w:t>预估用量</w:t>
            </w:r>
          </w:p>
        </w:tc>
        <w:tc>
          <w:tcPr>
            <w:tcW w:w="996" w:type="dxa"/>
            <w:vAlign w:val="center"/>
          </w:tcPr>
          <w:p>
            <w:pPr>
              <w:widowControl w:val="0"/>
              <w:kinsoku/>
              <w:autoSpaceDE/>
              <w:autoSpaceDN/>
              <w:adjustRightInd/>
              <w:snapToGrid/>
              <w:spacing w:line="360" w:lineRule="auto"/>
              <w:jc w:val="center"/>
              <w:textAlignment w:val="auto"/>
              <w:rPr>
                <w:rFonts w:ascii="宋体" w:hAnsi="宋体" w:eastAsia="宋体" w:cs="宋体"/>
                <w:snapToGrid/>
                <w:kern w:val="2"/>
              </w:rPr>
            </w:pPr>
            <w:r>
              <w:rPr>
                <w:rFonts w:hint="eastAsia" w:ascii="宋体" w:hAnsi="宋体" w:eastAsia="宋体" w:cs="宋体"/>
                <w:snapToGrid/>
                <w:kern w:val="2"/>
              </w:rPr>
              <w:t>单位</w:t>
            </w:r>
          </w:p>
        </w:tc>
        <w:tc>
          <w:tcPr>
            <w:tcW w:w="886" w:type="dxa"/>
            <w:vAlign w:val="center"/>
          </w:tcPr>
          <w:p>
            <w:pPr>
              <w:widowControl w:val="0"/>
              <w:kinsoku/>
              <w:autoSpaceDE/>
              <w:autoSpaceDN/>
              <w:adjustRightInd/>
              <w:snapToGrid/>
              <w:spacing w:line="360" w:lineRule="auto"/>
              <w:jc w:val="center"/>
              <w:textAlignment w:val="auto"/>
              <w:rPr>
                <w:rFonts w:hint="eastAsia" w:ascii="宋体" w:hAnsi="宋体" w:eastAsia="宋体" w:cs="宋体"/>
                <w:snapToGrid/>
                <w:kern w:val="2"/>
                <w:lang w:val="en-US" w:eastAsia="zh-CN"/>
              </w:rPr>
            </w:pPr>
            <w:r>
              <w:rPr>
                <w:rFonts w:hint="eastAsia" w:ascii="宋体" w:hAnsi="宋体" w:eastAsia="宋体" w:cs="宋体"/>
                <w:snapToGrid/>
                <w:kern w:val="2"/>
                <w:lang w:val="en-US" w:eastAsia="zh-CN"/>
              </w:rPr>
              <w:t>单价（元）</w:t>
            </w:r>
          </w:p>
        </w:tc>
        <w:tc>
          <w:tcPr>
            <w:tcW w:w="886" w:type="dxa"/>
            <w:vAlign w:val="center"/>
          </w:tcPr>
          <w:p>
            <w:pPr>
              <w:widowControl w:val="0"/>
              <w:kinsoku/>
              <w:autoSpaceDE/>
              <w:autoSpaceDN/>
              <w:adjustRightInd/>
              <w:snapToGrid/>
              <w:spacing w:line="360" w:lineRule="auto"/>
              <w:jc w:val="center"/>
              <w:textAlignment w:val="auto"/>
              <w:rPr>
                <w:rFonts w:hint="eastAsia" w:ascii="宋体" w:hAnsi="宋体" w:eastAsia="宋体" w:cs="宋体"/>
                <w:snapToGrid/>
                <w:kern w:val="2"/>
                <w:lang w:val="en-US" w:eastAsia="zh-CN"/>
              </w:rPr>
            </w:pPr>
            <w:r>
              <w:rPr>
                <w:rFonts w:hint="eastAsia" w:ascii="宋体" w:hAnsi="宋体" w:eastAsia="宋体" w:cs="宋体"/>
                <w:snapToGrid/>
                <w:kern w:val="2"/>
                <w:lang w:val="en-US" w:eastAsia="zh-CN"/>
              </w:rPr>
              <w:t>金额（元）</w:t>
            </w:r>
          </w:p>
        </w:tc>
        <w:tc>
          <w:tcPr>
            <w:tcW w:w="6856" w:type="dxa"/>
            <w:vAlign w:val="center"/>
          </w:tcPr>
          <w:p>
            <w:pPr>
              <w:widowControl w:val="0"/>
              <w:kinsoku/>
              <w:autoSpaceDE/>
              <w:autoSpaceDN/>
              <w:adjustRightInd/>
              <w:snapToGrid/>
              <w:spacing w:line="360" w:lineRule="auto"/>
              <w:jc w:val="center"/>
              <w:textAlignment w:val="auto"/>
              <w:rPr>
                <w:rFonts w:ascii="宋体" w:hAnsi="宋体" w:eastAsia="宋体" w:cs="宋体"/>
                <w:snapToGrid/>
                <w:kern w:val="2"/>
              </w:rPr>
            </w:pPr>
            <w:r>
              <w:rPr>
                <w:rFonts w:hint="eastAsia" w:ascii="宋体" w:hAnsi="宋体" w:eastAsia="宋体" w:cs="宋体"/>
                <w:snapToGrid/>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979" w:type="dxa"/>
            <w:vAlign w:val="center"/>
          </w:tcPr>
          <w:p>
            <w:pPr>
              <w:widowControl w:val="0"/>
              <w:kinsoku/>
              <w:autoSpaceDE/>
              <w:autoSpaceDN/>
              <w:adjustRightInd/>
              <w:snapToGrid/>
              <w:spacing w:line="360" w:lineRule="auto"/>
              <w:jc w:val="center"/>
              <w:textAlignment w:val="auto"/>
              <w:rPr>
                <w:rFonts w:hint="eastAsia" w:ascii="宋体" w:hAnsi="宋体" w:eastAsia="宋体" w:cs="宋体"/>
                <w:snapToGrid/>
                <w:lang w:val="en-US" w:eastAsia="zh-CN"/>
              </w:rPr>
            </w:pPr>
            <w:r>
              <w:rPr>
                <w:rFonts w:hint="eastAsia" w:ascii="宋体" w:hAnsi="宋体" w:eastAsia="宋体" w:cs="宋体"/>
                <w:snapToGrid/>
                <w:lang w:val="en-US" w:eastAsia="zh-CN"/>
              </w:rPr>
              <w:t>1</w:t>
            </w:r>
          </w:p>
        </w:tc>
        <w:tc>
          <w:tcPr>
            <w:tcW w:w="1977" w:type="dxa"/>
            <w:vAlign w:val="center"/>
          </w:tcPr>
          <w:p>
            <w:pPr>
              <w:widowControl w:val="0"/>
              <w:kinsoku/>
              <w:autoSpaceDE/>
              <w:autoSpaceDN/>
              <w:adjustRightInd/>
              <w:snapToGrid/>
              <w:spacing w:line="360" w:lineRule="auto"/>
              <w:jc w:val="center"/>
              <w:textAlignment w:val="auto"/>
              <w:rPr>
                <w:rFonts w:ascii="宋体" w:hAnsi="宋体" w:eastAsia="宋体" w:cs="宋体"/>
                <w:snapToGrid/>
              </w:rPr>
            </w:pPr>
            <w:r>
              <w:rPr>
                <w:rFonts w:hint="eastAsia" w:ascii="宋体" w:hAnsi="宋体" w:eastAsia="宋体" w:cs="宋体"/>
                <w:snapToGrid/>
              </w:rPr>
              <w:t>碳化硅耐磨可塑料</w:t>
            </w:r>
          </w:p>
        </w:tc>
        <w:tc>
          <w:tcPr>
            <w:tcW w:w="750" w:type="dxa"/>
            <w:vAlign w:val="center"/>
          </w:tcPr>
          <w:p>
            <w:pPr>
              <w:widowControl w:val="0"/>
              <w:kinsoku/>
              <w:autoSpaceDE/>
              <w:autoSpaceDN/>
              <w:adjustRightInd/>
              <w:snapToGrid/>
              <w:spacing w:line="360" w:lineRule="auto"/>
              <w:jc w:val="center"/>
              <w:textAlignment w:val="auto"/>
              <w:rPr>
                <w:rFonts w:hint="default" w:ascii="宋体" w:hAnsi="宋体" w:eastAsia="宋体" w:cs="宋体"/>
                <w:snapToGrid/>
                <w:lang w:val="en-US" w:eastAsia="zh-CN"/>
              </w:rPr>
            </w:pPr>
            <w:r>
              <w:rPr>
                <w:rFonts w:hint="eastAsia" w:ascii="宋体" w:hAnsi="宋体" w:eastAsia="宋体" w:cs="宋体"/>
                <w:snapToGrid/>
                <w:lang w:val="en-US" w:eastAsia="zh-CN"/>
              </w:rPr>
              <w:t>37</w:t>
            </w:r>
          </w:p>
        </w:tc>
        <w:tc>
          <w:tcPr>
            <w:tcW w:w="996" w:type="dxa"/>
            <w:vAlign w:val="center"/>
          </w:tcPr>
          <w:p>
            <w:pPr>
              <w:widowControl w:val="0"/>
              <w:kinsoku/>
              <w:autoSpaceDE/>
              <w:autoSpaceDN/>
              <w:adjustRightInd/>
              <w:snapToGrid/>
              <w:spacing w:line="360" w:lineRule="auto"/>
              <w:jc w:val="center"/>
              <w:textAlignment w:val="auto"/>
              <w:rPr>
                <w:rFonts w:ascii="宋体" w:hAnsi="宋体" w:eastAsia="宋体" w:cs="宋体"/>
                <w:snapToGrid/>
              </w:rPr>
            </w:pPr>
            <w:r>
              <w:rPr>
                <w:rFonts w:hint="eastAsia" w:ascii="宋体" w:hAnsi="宋体" w:eastAsia="宋体" w:cs="宋体"/>
                <w:snapToGrid/>
              </w:rPr>
              <w:t>吨</w:t>
            </w:r>
          </w:p>
        </w:tc>
        <w:tc>
          <w:tcPr>
            <w:tcW w:w="886" w:type="dxa"/>
          </w:tcPr>
          <w:p>
            <w:pPr>
              <w:widowControl w:val="0"/>
              <w:kinsoku/>
              <w:autoSpaceDE/>
              <w:autoSpaceDN/>
              <w:adjustRightInd/>
              <w:snapToGrid/>
              <w:spacing w:line="360" w:lineRule="auto"/>
              <w:jc w:val="center"/>
              <w:textAlignment w:val="auto"/>
              <w:rPr>
                <w:rFonts w:hint="eastAsia" w:ascii="宋体" w:hAnsi="宋体" w:eastAsia="宋体" w:cs="宋体"/>
                <w:snapToGrid/>
              </w:rPr>
            </w:pPr>
          </w:p>
        </w:tc>
        <w:tc>
          <w:tcPr>
            <w:tcW w:w="886" w:type="dxa"/>
          </w:tcPr>
          <w:p>
            <w:pPr>
              <w:widowControl w:val="0"/>
              <w:kinsoku/>
              <w:autoSpaceDE/>
              <w:autoSpaceDN/>
              <w:adjustRightInd/>
              <w:snapToGrid/>
              <w:spacing w:line="360" w:lineRule="auto"/>
              <w:jc w:val="center"/>
              <w:textAlignment w:val="auto"/>
              <w:rPr>
                <w:rFonts w:hint="eastAsia" w:ascii="宋体" w:hAnsi="宋体" w:eastAsia="宋体" w:cs="宋体"/>
                <w:snapToGrid/>
              </w:rPr>
            </w:pPr>
          </w:p>
        </w:tc>
        <w:tc>
          <w:tcPr>
            <w:tcW w:w="6856" w:type="dxa"/>
          </w:tcPr>
          <w:p>
            <w:pPr>
              <w:widowControl w:val="0"/>
              <w:kinsoku/>
              <w:autoSpaceDE/>
              <w:autoSpaceDN/>
              <w:adjustRightInd/>
              <w:snapToGrid/>
              <w:spacing w:line="360" w:lineRule="auto"/>
              <w:ind w:firstLine="420" w:firstLineChars="200"/>
              <w:jc w:val="center"/>
              <w:textAlignment w:val="auto"/>
              <w:rPr>
                <w:rFonts w:ascii="宋体" w:hAnsi="宋体" w:eastAsia="宋体" w:cs="宋体"/>
                <w:snapToGrid/>
              </w:rPr>
            </w:pPr>
            <w:r>
              <w:rPr>
                <w:rFonts w:hint="eastAsia" w:ascii="宋体" w:hAnsi="宋体" w:eastAsia="宋体" w:cs="宋体"/>
                <w:snapToGrid/>
              </w:rPr>
              <w:t>材料价格包含辅材（抓钉、</w:t>
            </w:r>
            <w:r>
              <w:rPr>
                <w:rFonts w:hint="eastAsia" w:ascii="宋体" w:hAnsi="宋体" w:eastAsia="宋体" w:cs="宋体"/>
                <w:snapToGrid/>
                <w:lang w:val="en-US" w:eastAsia="zh-CN"/>
              </w:rPr>
              <w:t>耐热钢筋、</w:t>
            </w:r>
            <w:r>
              <w:rPr>
                <w:rFonts w:hint="eastAsia" w:ascii="宋体" w:hAnsi="宋体" w:eastAsia="宋体" w:cs="宋体"/>
                <w:snapToGrid/>
              </w:rPr>
              <w:t>耐火泥等所有）、运输费、施工费、工具设备、模板、安全措施费、</w:t>
            </w:r>
            <w:r>
              <w:rPr>
                <w:rFonts w:hint="eastAsia" w:ascii="宋体" w:hAnsi="宋体" w:eastAsia="宋体" w:cs="宋体"/>
                <w:b/>
                <w:bCs/>
                <w:snapToGrid/>
              </w:rPr>
              <w:t>脚手架搭设（需要提供方案并经</w:t>
            </w:r>
            <w:r>
              <w:rPr>
                <w:rFonts w:hint="eastAsia" w:ascii="宋体" w:hAnsi="宋体" w:eastAsia="宋体" w:cs="宋体"/>
                <w:b/>
                <w:bCs/>
                <w:snapToGrid/>
                <w:lang w:val="en-US" w:eastAsia="zh-CN"/>
              </w:rPr>
              <w:t>采购人</w:t>
            </w:r>
            <w:r>
              <w:rPr>
                <w:rFonts w:hint="eastAsia" w:ascii="宋体" w:hAnsi="宋体" w:eastAsia="宋体" w:cs="宋体"/>
                <w:b/>
                <w:bCs/>
                <w:snapToGrid/>
              </w:rPr>
              <w:t>验收）、原残留浇注料拆除、</w:t>
            </w:r>
            <w:r>
              <w:rPr>
                <w:rFonts w:hint="eastAsia" w:ascii="宋体" w:hAnsi="宋体" w:eastAsia="宋体" w:cs="宋体"/>
                <w:snapToGrid/>
              </w:rPr>
              <w:t>设备设施等一切费用。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588" w:type="dxa"/>
            <w:gridSpan w:val="5"/>
            <w:vAlign w:val="center"/>
          </w:tcPr>
          <w:p>
            <w:pPr>
              <w:keepNext w:val="0"/>
              <w:keepLines w:val="0"/>
              <w:widowControl/>
              <w:suppressLineNumbers w:val="0"/>
              <w:jc w:val="center"/>
              <w:textAlignment w:val="center"/>
              <w:rPr>
                <w:rFonts w:hint="eastAsia" w:ascii="宋体" w:hAnsi="宋体" w:eastAsia="宋体" w:cs="宋体"/>
                <w:snapToGrid/>
                <w:lang w:val="en-US" w:eastAsia="zh-CN"/>
              </w:rPr>
            </w:pPr>
            <w:r>
              <w:rPr>
                <w:rFonts w:hint="eastAsia" w:cs="仿宋" w:asciiTheme="minorEastAsia" w:hAnsiTheme="minorEastAsia"/>
                <w:b/>
                <w:sz w:val="24"/>
              </w:rPr>
              <w:t>响应报价合计（小写）</w:t>
            </w:r>
          </w:p>
        </w:tc>
        <w:tc>
          <w:tcPr>
            <w:tcW w:w="7742" w:type="dxa"/>
            <w:gridSpan w:val="2"/>
          </w:tcPr>
          <w:p>
            <w:pPr>
              <w:widowControl w:val="0"/>
              <w:kinsoku/>
              <w:autoSpaceDE/>
              <w:autoSpaceDN/>
              <w:adjustRightInd/>
              <w:snapToGrid/>
              <w:spacing w:line="360" w:lineRule="auto"/>
              <w:ind w:firstLine="420" w:firstLineChars="200"/>
              <w:jc w:val="center"/>
              <w:textAlignment w:val="auto"/>
              <w:rPr>
                <w:rFonts w:hint="eastAsia" w:ascii="宋体" w:hAnsi="宋体" w:eastAsia="宋体" w:cs="宋体"/>
                <w:snapToGr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588" w:type="dxa"/>
            <w:gridSpan w:val="5"/>
            <w:vAlign w:val="center"/>
          </w:tcPr>
          <w:p>
            <w:pPr>
              <w:keepNext w:val="0"/>
              <w:keepLines w:val="0"/>
              <w:widowControl/>
              <w:suppressLineNumbers w:val="0"/>
              <w:jc w:val="center"/>
              <w:textAlignment w:val="center"/>
              <w:rPr>
                <w:rFonts w:hint="eastAsia" w:ascii="宋体" w:hAnsi="宋体" w:eastAsia="宋体" w:cs="宋体"/>
                <w:snapToGrid/>
                <w:lang w:val="en-US" w:eastAsia="zh-CN"/>
              </w:rPr>
            </w:pPr>
            <w:r>
              <w:rPr>
                <w:rFonts w:hint="eastAsia" w:cs="仿宋" w:asciiTheme="minorEastAsia" w:hAnsiTheme="minorEastAsia"/>
                <w:b/>
                <w:sz w:val="24"/>
              </w:rPr>
              <w:t>响应报价合计（大写）</w:t>
            </w:r>
          </w:p>
        </w:tc>
        <w:tc>
          <w:tcPr>
            <w:tcW w:w="7742" w:type="dxa"/>
            <w:gridSpan w:val="2"/>
          </w:tcPr>
          <w:p>
            <w:pPr>
              <w:widowControl w:val="0"/>
              <w:kinsoku/>
              <w:autoSpaceDE/>
              <w:autoSpaceDN/>
              <w:adjustRightInd/>
              <w:snapToGrid/>
              <w:spacing w:line="360" w:lineRule="auto"/>
              <w:ind w:firstLine="420" w:firstLineChars="200"/>
              <w:jc w:val="center"/>
              <w:textAlignment w:val="auto"/>
              <w:rPr>
                <w:rFonts w:hint="eastAsia" w:ascii="宋体" w:hAnsi="宋体" w:eastAsia="宋体" w:cs="宋体"/>
                <w:snapToGr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588" w:type="dxa"/>
            <w:gridSpan w:val="5"/>
            <w:vAlign w:val="center"/>
          </w:tcPr>
          <w:p>
            <w:pPr>
              <w:keepNext w:val="0"/>
              <w:keepLines w:val="0"/>
              <w:widowControl/>
              <w:suppressLineNumbers w:val="0"/>
              <w:jc w:val="center"/>
              <w:textAlignment w:val="center"/>
              <w:rPr>
                <w:rFonts w:hint="eastAsia" w:ascii="宋体" w:hAnsi="宋体" w:eastAsia="宋体" w:cs="宋体"/>
                <w:snapToGrid/>
                <w:lang w:val="en-US" w:eastAsia="zh-CN"/>
              </w:rPr>
            </w:pPr>
            <w:r>
              <w:rPr>
                <w:rFonts w:hint="eastAsia" w:cs="仿宋" w:asciiTheme="minorEastAsia" w:hAnsiTheme="minorEastAsia"/>
                <w:b/>
                <w:sz w:val="24"/>
              </w:rPr>
              <w:t>税率</w:t>
            </w:r>
          </w:p>
        </w:tc>
        <w:tc>
          <w:tcPr>
            <w:tcW w:w="7742" w:type="dxa"/>
            <w:gridSpan w:val="2"/>
          </w:tcPr>
          <w:p>
            <w:pPr>
              <w:widowControl w:val="0"/>
              <w:kinsoku/>
              <w:autoSpaceDE/>
              <w:autoSpaceDN/>
              <w:adjustRightInd/>
              <w:snapToGrid/>
              <w:spacing w:line="360" w:lineRule="auto"/>
              <w:ind w:firstLine="420" w:firstLineChars="200"/>
              <w:jc w:val="center"/>
              <w:textAlignment w:val="auto"/>
              <w:rPr>
                <w:rFonts w:hint="eastAsia" w:ascii="宋体" w:hAnsi="宋体" w:eastAsia="宋体" w:cs="宋体"/>
                <w:snapToGrid/>
              </w:rPr>
            </w:pPr>
            <w:r>
              <w:rPr>
                <w:rFonts w:hint="eastAsia" w:ascii="宋体" w:hAnsi="宋体" w:eastAsia="宋体" w:cs="宋体"/>
                <w:snapToGrid w:val="0"/>
                <w:kern w:val="2"/>
                <w:sz w:val="21"/>
                <w:szCs w:val="21"/>
                <w:u w:val="single"/>
                <w:lang w:val="en-US" w:eastAsia="zh-CN" w:bidi="ar-SA"/>
              </w:rPr>
              <w:t xml:space="preserve">   %（只接收货物类发票）</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w:t>
      </w:r>
      <w:r>
        <w:rPr>
          <w:rFonts w:hint="eastAsia" w:ascii="宋体" w:hAnsi="宋体" w:eastAsia="宋体" w:cs="宋体"/>
          <w:sz w:val="24"/>
          <w:highlight w:val="none"/>
          <w:lang w:eastAsia="zh-CN"/>
        </w:rPr>
        <w:t>（</w:t>
      </w:r>
      <w:r>
        <w:rPr>
          <w:rFonts w:hint="eastAsia" w:ascii="宋体" w:hAnsi="宋体" w:cs="宋体"/>
          <w:sz w:val="24"/>
          <w:highlight w:val="none"/>
        </w:rPr>
        <w:t>包括但不限于货款、包装费、运输费、装卸费、售后服务费及税费等全部费用</w:t>
      </w:r>
      <w:r>
        <w:rPr>
          <w:rFonts w:hint="eastAsia" w:ascii="宋体" w:hAnsi="宋体" w:eastAsia="宋体" w:cs="宋体"/>
          <w:sz w:val="24"/>
          <w:highlight w:val="none"/>
          <w:lang w:eastAsia="zh-CN"/>
        </w:rPr>
        <w:t>）</w:t>
      </w:r>
      <w:r>
        <w:rPr>
          <w:rFonts w:hint="eastAsia" w:ascii="宋体" w:hAnsi="宋体" w:cs="宋体"/>
          <w:kern w:val="0"/>
          <w:sz w:val="24"/>
          <w:lang w:val="zh-CN"/>
        </w:rPr>
        <w:t>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pPr>
    </w:p>
    <w:p>
      <w:pPr>
        <w:pStyle w:val="16"/>
      </w:pPr>
    </w:p>
    <w:p/>
    <w:p>
      <w:pPr>
        <w:pStyle w:val="7"/>
      </w:pPr>
    </w:p>
    <w:p>
      <w:pPr>
        <w:pStyle w:val="16"/>
      </w:pPr>
    </w:p>
    <w:p/>
    <w:p>
      <w:pPr>
        <w:pStyle w:val="7"/>
      </w:pPr>
    </w:p>
    <w:p>
      <w:pPr>
        <w:sectPr>
          <w:pgSz w:w="16838" w:h="11905" w:orient="landscape"/>
          <w:pgMar w:top="1803" w:right="1440" w:bottom="1803" w:left="1440" w:header="930" w:footer="992" w:gutter="0"/>
          <w:pgBorders>
            <w:top w:val="none" w:sz="0" w:space="0"/>
            <w:left w:val="none" w:sz="0" w:space="0"/>
            <w:bottom w:val="none" w:sz="0" w:space="0"/>
            <w:right w:val="none" w:sz="0" w:space="0"/>
          </w:pgBorders>
          <w:cols w:space="0" w:num="1"/>
          <w:rtlGutter w:val="0"/>
          <w:docGrid w:type="lines" w:linePitch="317" w:charSpace="0"/>
        </w:sectPr>
      </w:pPr>
    </w:p>
    <w:p>
      <w:pPr>
        <w:spacing w:line="360" w:lineRule="auto"/>
        <w:jc w:val="center"/>
        <w:rPr>
          <w:rFonts w:cs="仿宋" w:asciiTheme="minorEastAsia" w:hAnsiTheme="minorEastAsia"/>
          <w:b/>
          <w:spacing w:val="6"/>
          <w:sz w:val="32"/>
          <w:szCs w:val="32"/>
        </w:rPr>
      </w:pPr>
      <w:bookmarkStart w:id="517" w:name="_Toc465665161"/>
      <w:r>
        <w:rPr>
          <w:rFonts w:hint="eastAsia" w:cs="宋体" w:asciiTheme="minorEastAsia" w:hAnsiTheme="minorEastAsia"/>
          <w:b/>
          <w:bCs/>
          <w:kern w:val="44"/>
          <w:sz w:val="44"/>
          <w:szCs w:val="44"/>
        </w:rPr>
        <w:t>附件</w:t>
      </w:r>
      <w:bookmarkEnd w:id="517"/>
    </w:p>
    <w:p>
      <w:pPr>
        <w:spacing w:line="360" w:lineRule="auto"/>
        <w:rPr>
          <w:rFonts w:hint="eastAsia" w:hAnsi="宋体" w:cs="宋体" w:eastAsiaTheme="minorEastAsia"/>
          <w:b/>
          <w:color w:val="auto"/>
          <w:sz w:val="32"/>
          <w:szCs w:val="32"/>
          <w:lang w:eastAsia="zh-CN"/>
        </w:rPr>
      </w:pPr>
      <w:r>
        <w:rPr>
          <w:rFonts w:hint="eastAsia" w:cs="仿宋" w:asciiTheme="minorEastAsia" w:hAnsiTheme="minorEastAsia"/>
          <w:b/>
          <w:color w:val="auto"/>
          <w:spacing w:val="6"/>
          <w:sz w:val="32"/>
          <w:szCs w:val="32"/>
        </w:rPr>
        <w:t>附件</w:t>
      </w:r>
      <w:r>
        <w:rPr>
          <w:rFonts w:hint="eastAsia" w:hAnsi="宋体" w:cs="宋体"/>
          <w:b/>
          <w:color w:val="auto"/>
          <w:sz w:val="32"/>
          <w:szCs w:val="32"/>
          <w:lang w:val="en-US" w:eastAsia="zh-CN"/>
        </w:rPr>
        <w:t xml:space="preserve">1          </w:t>
      </w:r>
      <w:r>
        <w:rPr>
          <w:rFonts w:hint="eastAsia" w:hAnsi="宋体" w:cs="宋体"/>
          <w:b/>
          <w:color w:val="auto"/>
          <w:sz w:val="32"/>
          <w:szCs w:val="32"/>
        </w:rPr>
        <w:t>退还</w:t>
      </w:r>
      <w:r>
        <w:rPr>
          <w:rFonts w:hint="eastAsia" w:hAnsi="宋体" w:cs="宋体"/>
          <w:b/>
          <w:color w:val="auto"/>
          <w:sz w:val="32"/>
          <w:szCs w:val="32"/>
          <w:lang w:val="en-US" w:eastAsia="zh-CN"/>
        </w:rPr>
        <w:t>询价</w:t>
      </w:r>
      <w:r>
        <w:rPr>
          <w:rFonts w:hint="eastAsia" w:hAnsi="宋体" w:cs="宋体"/>
          <w:b/>
          <w:color w:val="auto"/>
          <w:sz w:val="32"/>
          <w:szCs w:val="32"/>
        </w:rPr>
        <w:t>保证金申请书</w:t>
      </w:r>
      <w:r>
        <w:rPr>
          <w:rFonts w:hint="eastAsia" w:hAnsi="宋体" w:cs="宋体"/>
          <w:b/>
          <w:color w:val="auto"/>
          <w:sz w:val="32"/>
          <w:szCs w:val="32"/>
          <w:lang w:eastAsia="zh-CN"/>
        </w:rPr>
        <w:t>（</w:t>
      </w:r>
      <w:r>
        <w:rPr>
          <w:rFonts w:hint="eastAsia" w:hAnsi="宋体" w:cs="宋体"/>
          <w:b/>
          <w:color w:val="auto"/>
          <w:sz w:val="32"/>
          <w:szCs w:val="32"/>
          <w:lang w:val="en-US" w:eastAsia="zh-CN"/>
        </w:rPr>
        <w:t>单独</w:t>
      </w:r>
      <w:r>
        <w:rPr>
          <w:rFonts w:hint="eastAsia" w:hAnsi="宋体" w:cs="宋体"/>
          <w:b/>
          <w:color w:val="auto"/>
          <w:sz w:val="32"/>
          <w:szCs w:val="32"/>
          <w:lang w:eastAsia="zh-CN"/>
        </w:rPr>
        <w:t>）</w:t>
      </w:r>
    </w:p>
    <w:p>
      <w:pPr>
        <w:spacing w:line="360" w:lineRule="auto"/>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杭州</w:t>
      </w:r>
      <w:r>
        <w:rPr>
          <w:rFonts w:hint="eastAsia" w:ascii="宋体" w:hAnsi="宋体" w:cs="宋体"/>
          <w:color w:val="auto"/>
          <w:sz w:val="24"/>
          <w:u w:val="single"/>
          <w:lang w:val="en-US" w:eastAsia="zh-CN"/>
        </w:rPr>
        <w:t>临江环境能源</w:t>
      </w:r>
      <w:r>
        <w:rPr>
          <w:rFonts w:hint="eastAsia" w:ascii="宋体" w:hAnsi="宋体" w:cs="宋体"/>
          <w:color w:val="auto"/>
          <w:sz w:val="24"/>
          <w:u w:val="single"/>
        </w:rPr>
        <w:t xml:space="preserve">有限公司 </w:t>
      </w:r>
    </w:p>
    <w:p>
      <w:pPr>
        <w:spacing w:line="360" w:lineRule="auto"/>
        <w:ind w:firstLine="480"/>
        <w:rPr>
          <w:rFonts w:ascii="宋体" w:hAnsi="宋体" w:cs="宋体"/>
          <w:color w:val="auto"/>
          <w:sz w:val="24"/>
        </w:rPr>
      </w:pPr>
      <w:r>
        <w:rPr>
          <w:rFonts w:hint="eastAsia" w:ascii="宋体" w:hAnsi="宋体" w:cs="宋体"/>
          <w:color w:val="auto"/>
          <w:sz w:val="24"/>
        </w:rPr>
        <w:t>我公司参加了贵司的</w:t>
      </w:r>
      <w:r>
        <w:rPr>
          <w:rFonts w:hint="eastAsia" w:ascii="宋体" w:hAnsi="宋体" w:cs="宋体"/>
          <w:color w:val="auto"/>
          <w:sz w:val="24"/>
          <w:u w:val="single"/>
        </w:rPr>
        <w:t xml:space="preserve"> </w:t>
      </w:r>
      <w:r>
        <w:rPr>
          <w:rFonts w:hint="eastAsia" w:cs="仿宋" w:asciiTheme="minorEastAsia" w:hAnsiTheme="minorEastAsia"/>
          <w:color w:val="auto"/>
          <w:sz w:val="24"/>
          <w:u w:val="single"/>
          <w:lang w:eastAsia="zh-CN"/>
        </w:rPr>
        <w:t>2025年能源运行中心碳化硅耐磨可塑料采购项目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202511013</w:t>
      </w:r>
      <w:r>
        <w:rPr>
          <w:rFonts w:hint="eastAsia" w:cs="仿宋" w:asciiTheme="minorEastAsia" w:hAnsiTheme="minorEastAsia"/>
          <w:color w:val="auto"/>
          <w:sz w:val="24"/>
          <w:u w:val="single"/>
        </w:rPr>
        <w:t>】</w:t>
      </w:r>
      <w:r>
        <w:rPr>
          <w:rFonts w:hint="eastAsia" w:ascii="宋体" w:hAnsi="宋体" w:cs="宋体"/>
          <w:color w:val="auto"/>
          <w:sz w:val="24"/>
        </w:rPr>
        <w:t>的</w:t>
      </w:r>
      <w:r>
        <w:rPr>
          <w:rFonts w:hint="eastAsia" w:ascii="宋体" w:hAnsi="宋体" w:cs="宋体"/>
          <w:color w:val="auto"/>
          <w:sz w:val="24"/>
          <w:lang w:val="en-US" w:eastAsia="zh-CN"/>
        </w:rPr>
        <w:t>报价</w:t>
      </w:r>
      <w:r>
        <w:rPr>
          <w:rFonts w:hint="eastAsia" w:ascii="宋体" w:hAnsi="宋体" w:cs="宋体"/>
          <w:color w:val="auto"/>
          <w:sz w:val="24"/>
        </w:rPr>
        <w:t>，现申请退还该笔</w:t>
      </w:r>
      <w:r>
        <w:rPr>
          <w:rFonts w:hint="eastAsia" w:ascii="宋体" w:hAnsi="宋体" w:cs="宋体"/>
          <w:color w:val="auto"/>
          <w:sz w:val="24"/>
          <w:lang w:val="en-US" w:eastAsia="zh-CN"/>
        </w:rPr>
        <w:t>询价</w:t>
      </w:r>
      <w:r>
        <w:rPr>
          <w:rFonts w:hint="eastAsia" w:ascii="宋体" w:hAnsi="宋体" w:cs="宋体"/>
          <w:color w:val="auto"/>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color w:val="auto"/>
                <w:sz w:val="24"/>
              </w:rPr>
            </w:pPr>
            <w:r>
              <w:rPr>
                <w:rFonts w:hint="eastAsia" w:ascii="宋体" w:hAnsi="宋体" w:cs="宋体"/>
                <w:color w:val="auto"/>
                <w:sz w:val="24"/>
              </w:rPr>
              <w:t>申请人信息</w:t>
            </w:r>
          </w:p>
        </w:tc>
        <w:tc>
          <w:tcPr>
            <w:tcW w:w="7226" w:type="dxa"/>
            <w:gridSpan w:val="3"/>
            <w:vAlign w:val="center"/>
          </w:tcPr>
          <w:p>
            <w:pPr>
              <w:spacing w:line="360" w:lineRule="auto"/>
              <w:rPr>
                <w:rFonts w:ascii="宋体" w:hAnsi="宋体" w:cs="宋体"/>
                <w:color w:val="auto"/>
                <w:sz w:val="24"/>
              </w:rPr>
            </w:pPr>
            <w:r>
              <w:rPr>
                <w:rFonts w:hint="eastAsia" w:ascii="宋体" w:hAnsi="宋体" w:cs="宋体"/>
                <w:color w:val="auto"/>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color w:val="auto"/>
                <w:sz w:val="24"/>
              </w:rPr>
            </w:pPr>
          </w:p>
        </w:tc>
        <w:tc>
          <w:tcPr>
            <w:tcW w:w="3680" w:type="dxa"/>
            <w:vAlign w:val="center"/>
          </w:tcPr>
          <w:p>
            <w:pPr>
              <w:spacing w:line="360" w:lineRule="auto"/>
              <w:rPr>
                <w:rFonts w:ascii="宋体" w:hAnsi="宋体" w:cs="宋体"/>
                <w:color w:val="auto"/>
                <w:sz w:val="24"/>
              </w:rPr>
            </w:pPr>
            <w:r>
              <w:rPr>
                <w:rFonts w:hint="eastAsia" w:ascii="宋体" w:hAnsi="宋体" w:cs="宋体"/>
                <w:color w:val="auto"/>
                <w:sz w:val="24"/>
              </w:rPr>
              <w:t>财务联系人：</w:t>
            </w:r>
          </w:p>
        </w:tc>
        <w:tc>
          <w:tcPr>
            <w:tcW w:w="1320" w:type="dxa"/>
            <w:vAlign w:val="center"/>
          </w:tcPr>
          <w:p>
            <w:pPr>
              <w:spacing w:line="360" w:lineRule="auto"/>
              <w:rPr>
                <w:rFonts w:ascii="宋体" w:hAnsi="宋体" w:cs="宋体"/>
                <w:color w:val="auto"/>
                <w:sz w:val="24"/>
              </w:rPr>
            </w:pPr>
            <w:r>
              <w:rPr>
                <w:rFonts w:hint="eastAsia" w:ascii="宋体" w:hAnsi="宋体" w:cs="宋体"/>
                <w:color w:val="auto"/>
                <w:sz w:val="24"/>
              </w:rPr>
              <w:t>联系方式</w:t>
            </w:r>
          </w:p>
        </w:tc>
        <w:tc>
          <w:tcPr>
            <w:tcW w:w="2226" w:type="dxa"/>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color w:val="auto"/>
                <w:sz w:val="24"/>
              </w:rPr>
            </w:pPr>
          </w:p>
        </w:tc>
        <w:tc>
          <w:tcPr>
            <w:tcW w:w="3680" w:type="dxa"/>
            <w:vAlign w:val="center"/>
          </w:tcPr>
          <w:p>
            <w:pPr>
              <w:spacing w:line="360" w:lineRule="auto"/>
              <w:rPr>
                <w:rFonts w:ascii="宋体" w:hAnsi="宋体" w:cs="宋体"/>
                <w:color w:val="auto"/>
                <w:sz w:val="24"/>
              </w:rPr>
            </w:pPr>
            <w:r>
              <w:rPr>
                <w:rFonts w:hint="eastAsia" w:ascii="宋体" w:hAnsi="宋体" w:cs="宋体"/>
                <w:color w:val="auto"/>
                <w:sz w:val="24"/>
              </w:rPr>
              <w:t>项目负责人：</w:t>
            </w:r>
          </w:p>
        </w:tc>
        <w:tc>
          <w:tcPr>
            <w:tcW w:w="1320" w:type="dxa"/>
            <w:vAlign w:val="center"/>
          </w:tcPr>
          <w:p>
            <w:pPr>
              <w:spacing w:line="360" w:lineRule="auto"/>
              <w:rPr>
                <w:rFonts w:ascii="宋体" w:hAnsi="宋体" w:cs="宋体"/>
                <w:color w:val="auto"/>
                <w:sz w:val="24"/>
              </w:rPr>
            </w:pPr>
            <w:r>
              <w:rPr>
                <w:rFonts w:hint="eastAsia" w:ascii="宋体" w:hAnsi="宋体" w:cs="宋体"/>
                <w:color w:val="auto"/>
                <w:sz w:val="24"/>
              </w:rPr>
              <w:t>联系方式</w:t>
            </w:r>
          </w:p>
        </w:tc>
        <w:tc>
          <w:tcPr>
            <w:tcW w:w="2226" w:type="dxa"/>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color w:val="auto"/>
                <w:sz w:val="24"/>
              </w:rPr>
            </w:pPr>
          </w:p>
        </w:tc>
        <w:tc>
          <w:tcPr>
            <w:tcW w:w="7226" w:type="dxa"/>
            <w:gridSpan w:val="3"/>
            <w:vAlign w:val="center"/>
          </w:tcPr>
          <w:p>
            <w:pPr>
              <w:spacing w:line="360" w:lineRule="auto"/>
              <w:rPr>
                <w:rFonts w:ascii="宋体" w:hAnsi="宋体" w:cs="宋体"/>
                <w:color w:val="auto"/>
                <w:sz w:val="24"/>
              </w:rPr>
            </w:pPr>
            <w:r>
              <w:rPr>
                <w:rFonts w:hint="eastAsia" w:ascii="宋体" w:hAnsi="宋体" w:cs="宋体"/>
                <w:color w:val="auto"/>
                <w:sz w:val="24"/>
                <w:lang w:eastAsia="zh-CN"/>
              </w:rPr>
              <w:t>响应</w:t>
            </w:r>
            <w:r>
              <w:rPr>
                <w:rFonts w:hint="eastAsia" w:ascii="宋体" w:hAnsi="宋体" w:cs="宋体"/>
                <w:color w:val="auto"/>
                <w:sz w:val="24"/>
              </w:rPr>
              <w:t>保证金金额（大写）：</w:t>
            </w:r>
            <w:r>
              <w:rPr>
                <w:rFonts w:hint="eastAsia" w:ascii="宋体" w:hAnsi="宋体" w:cs="宋体"/>
                <w:color w:val="auto"/>
                <w:sz w:val="24"/>
                <w:u w:val="single"/>
                <w:lang w:val="en-US" w:eastAsia="zh-CN"/>
              </w:rPr>
              <w:t xml:space="preserve"> 伍仟捌佰元</w:t>
            </w:r>
            <w:r>
              <w:rPr>
                <w:rFonts w:hint="eastAsia" w:ascii="宋体" w:hAnsi="宋体" w:cs="宋体"/>
                <w:color w:val="auto"/>
                <w:sz w:val="24"/>
              </w:rPr>
              <w:t>人民币</w:t>
            </w:r>
          </w:p>
          <w:p>
            <w:pPr>
              <w:spacing w:line="360" w:lineRule="auto"/>
              <w:rPr>
                <w:rFonts w:hint="eastAsia" w:ascii="宋体" w:hAnsi="宋体" w:cs="宋体" w:eastAsiaTheme="minorEastAsia"/>
                <w:color w:val="auto"/>
                <w:sz w:val="24"/>
                <w:lang w:eastAsia="zh-CN"/>
              </w:rPr>
            </w:pPr>
            <w:r>
              <w:rPr>
                <w:rFonts w:hint="eastAsia" w:ascii="宋体" w:hAnsi="宋体" w:cs="宋体"/>
                <w:color w:val="auto"/>
                <w:sz w:val="24"/>
              </w:rPr>
              <w:t xml:space="preserve">              （小写）：</w:t>
            </w:r>
            <w:r>
              <w:rPr>
                <w:rFonts w:hint="eastAsia" w:ascii="宋体" w:hAnsi="宋体" w:cs="宋体"/>
                <w:color w:val="auto"/>
                <w:sz w:val="24"/>
                <w:u w:val="single"/>
                <w:lang w:val="en-US" w:eastAsia="zh-CN"/>
              </w:rPr>
              <w:t xml:space="preserve"> 5800  </w:t>
            </w:r>
            <w:r>
              <w:rPr>
                <w:rFonts w:hint="eastAsia" w:ascii="宋体" w:hAnsi="宋体" w:cs="宋体"/>
                <w:color w:val="auto"/>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color w:val="auto"/>
                <w:sz w:val="24"/>
              </w:rPr>
            </w:pPr>
          </w:p>
        </w:tc>
        <w:tc>
          <w:tcPr>
            <w:tcW w:w="7226" w:type="dxa"/>
            <w:gridSpan w:val="3"/>
            <w:vAlign w:val="center"/>
          </w:tcPr>
          <w:p>
            <w:pPr>
              <w:spacing w:line="360" w:lineRule="auto"/>
              <w:rPr>
                <w:rFonts w:hint="default" w:ascii="宋体" w:hAnsi="宋体" w:cs="宋体" w:eastAsiaTheme="minorEastAsia"/>
                <w:color w:val="auto"/>
                <w:sz w:val="24"/>
                <w:lang w:val="en-US" w:eastAsia="zh-CN"/>
              </w:rPr>
            </w:pPr>
            <w:r>
              <w:rPr>
                <w:rFonts w:hint="eastAsia" w:ascii="宋体" w:hAnsi="宋体" w:cs="宋体"/>
                <w:color w:val="auto"/>
                <w:sz w:val="24"/>
                <w:lang w:eastAsia="zh-CN"/>
              </w:rPr>
              <w:t>响应</w:t>
            </w:r>
            <w:r>
              <w:rPr>
                <w:rFonts w:hint="eastAsia" w:ascii="宋体" w:hAnsi="宋体" w:cs="宋体"/>
                <w:color w:val="auto"/>
                <w:sz w:val="24"/>
              </w:rPr>
              <w:t xml:space="preserve">保证金提交形式： □转账支票  </w:t>
            </w:r>
            <w:r>
              <w:rPr>
                <w:rFonts w:hint="eastAsia" w:ascii="宋体" w:hAnsi="宋体" w:cs="宋体"/>
                <w:color w:val="auto"/>
                <w:sz w:val="24"/>
                <w:lang w:eastAsia="zh-CN"/>
              </w:rPr>
              <w:t>☑</w:t>
            </w:r>
            <w:r>
              <w:rPr>
                <w:rFonts w:hint="eastAsia" w:ascii="宋体" w:hAnsi="宋体" w:cs="宋体"/>
                <w:color w:val="auto"/>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color w:val="auto"/>
                <w:sz w:val="24"/>
              </w:rPr>
            </w:pPr>
            <w:r>
              <w:rPr>
                <w:rFonts w:hint="eastAsia" w:ascii="宋体" w:hAnsi="宋体" w:cs="宋体"/>
                <w:color w:val="auto"/>
                <w:sz w:val="24"/>
              </w:rPr>
              <w:t>退还账户信息</w:t>
            </w:r>
          </w:p>
        </w:tc>
        <w:tc>
          <w:tcPr>
            <w:tcW w:w="7226" w:type="dxa"/>
            <w:gridSpan w:val="3"/>
            <w:vAlign w:val="center"/>
          </w:tcPr>
          <w:p>
            <w:pPr>
              <w:spacing w:line="360" w:lineRule="auto"/>
              <w:rPr>
                <w:rFonts w:ascii="宋体" w:hAnsi="宋体" w:cs="宋体"/>
                <w:color w:val="auto"/>
                <w:sz w:val="24"/>
              </w:rPr>
            </w:pPr>
            <w:r>
              <w:rPr>
                <w:rFonts w:hint="eastAsia" w:ascii="宋体" w:hAnsi="宋体" w:cs="宋体"/>
                <w:color w:val="auto"/>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color w:val="auto"/>
                <w:sz w:val="24"/>
              </w:rPr>
            </w:pPr>
          </w:p>
        </w:tc>
        <w:tc>
          <w:tcPr>
            <w:tcW w:w="7226" w:type="dxa"/>
            <w:gridSpan w:val="3"/>
            <w:vAlign w:val="center"/>
          </w:tcPr>
          <w:p>
            <w:pPr>
              <w:spacing w:line="360" w:lineRule="auto"/>
              <w:rPr>
                <w:rFonts w:ascii="宋体" w:hAnsi="宋体" w:cs="宋体"/>
                <w:color w:val="auto"/>
                <w:sz w:val="24"/>
              </w:rPr>
            </w:pPr>
            <w:r>
              <w:rPr>
                <w:rFonts w:hint="eastAsia" w:ascii="宋体" w:hAnsi="宋体" w:cs="宋体"/>
                <w:color w:val="auto"/>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color w:val="auto"/>
                <w:sz w:val="24"/>
              </w:rPr>
            </w:pPr>
          </w:p>
        </w:tc>
        <w:tc>
          <w:tcPr>
            <w:tcW w:w="7226" w:type="dxa"/>
            <w:gridSpan w:val="3"/>
            <w:vAlign w:val="center"/>
          </w:tcPr>
          <w:p>
            <w:pPr>
              <w:spacing w:line="360" w:lineRule="auto"/>
              <w:rPr>
                <w:rFonts w:ascii="宋体" w:hAnsi="宋体" w:cs="宋体"/>
                <w:color w:val="auto"/>
                <w:sz w:val="24"/>
              </w:rPr>
            </w:pPr>
            <w:r>
              <w:rPr>
                <w:rFonts w:hint="eastAsia" w:ascii="宋体" w:hAnsi="宋体" w:cs="宋体"/>
                <w:color w:val="auto"/>
                <w:sz w:val="24"/>
              </w:rPr>
              <w:t>银行账号：</w:t>
            </w:r>
          </w:p>
        </w:tc>
      </w:tr>
    </w:tbl>
    <w:p>
      <w:pPr>
        <w:pStyle w:val="7"/>
        <w:rPr>
          <w:rFonts w:ascii="宋体" w:hAnsi="宋体" w:cs="宋体"/>
          <w:color w:val="auto"/>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rPr>
      </w:pPr>
      <w:r>
        <w:rPr>
          <w:rFonts w:hint="eastAsia" w:ascii="宋体" w:hAnsi="宋体" w:cs="宋体"/>
          <w:b/>
          <w:color w:val="auto"/>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兹收到</w:t>
      </w:r>
      <w:r>
        <w:rPr>
          <w:rFonts w:hint="eastAsia" w:ascii="宋体" w:hAnsi="宋体" w:cs="宋体"/>
          <w:color w:val="auto"/>
          <w:sz w:val="24"/>
          <w:u w:val="single"/>
        </w:rPr>
        <w:t xml:space="preserve">  杭州</w:t>
      </w:r>
      <w:r>
        <w:rPr>
          <w:rFonts w:hint="eastAsia" w:ascii="宋体" w:hAnsi="宋体" w:cs="宋体"/>
          <w:color w:val="auto"/>
          <w:sz w:val="24"/>
          <w:u w:val="single"/>
          <w:lang w:val="en-US" w:eastAsia="zh-CN"/>
        </w:rPr>
        <w:t>临江环境能源</w:t>
      </w:r>
      <w:r>
        <w:rPr>
          <w:rFonts w:hint="eastAsia" w:ascii="宋体" w:hAnsi="宋体" w:cs="宋体"/>
          <w:color w:val="auto"/>
          <w:sz w:val="24"/>
          <w:u w:val="single"/>
        </w:rPr>
        <w:t xml:space="preserve">有限公司    </w:t>
      </w:r>
      <w:r>
        <w:rPr>
          <w:rFonts w:hint="eastAsia" w:ascii="宋体" w:hAnsi="宋体" w:cs="宋体"/>
          <w:color w:val="auto"/>
          <w:sz w:val="24"/>
        </w:rPr>
        <w:t>退回</w:t>
      </w:r>
      <w:r>
        <w:rPr>
          <w:rFonts w:hint="eastAsia" w:ascii="宋体" w:hAnsi="宋体" w:cs="宋体"/>
          <w:color w:val="auto"/>
          <w:sz w:val="24"/>
          <w:u w:val="single"/>
        </w:rPr>
        <w:t xml:space="preserve"> </w:t>
      </w:r>
      <w:r>
        <w:rPr>
          <w:rFonts w:hint="eastAsia" w:cs="仿宋" w:asciiTheme="minorEastAsia" w:hAnsiTheme="minorEastAsia"/>
          <w:color w:val="auto"/>
          <w:sz w:val="24"/>
          <w:u w:val="single"/>
          <w:lang w:eastAsia="zh-CN"/>
        </w:rPr>
        <w:t>2025年能源运行中心碳化硅耐磨可塑料采购项目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202511013</w:t>
      </w:r>
      <w:r>
        <w:rPr>
          <w:rFonts w:hint="eastAsia" w:cs="仿宋" w:asciiTheme="minorEastAsia" w:hAnsiTheme="minorEastAsia"/>
          <w:color w:val="auto"/>
          <w:sz w:val="24"/>
          <w:u w:val="single"/>
        </w:rPr>
        <w:t>】</w:t>
      </w:r>
      <w:r>
        <w:rPr>
          <w:rFonts w:hint="eastAsia" w:ascii="宋体" w:hAnsi="宋体" w:cs="宋体"/>
          <w:color w:val="auto"/>
          <w:sz w:val="24"/>
        </w:rPr>
        <w:t>的</w:t>
      </w:r>
      <w:r>
        <w:rPr>
          <w:rFonts w:hint="eastAsia" w:ascii="宋体" w:hAnsi="宋体" w:cs="宋体"/>
          <w:color w:val="auto"/>
          <w:sz w:val="24"/>
          <w:lang w:eastAsia="zh-CN"/>
        </w:rPr>
        <w:t>询价</w:t>
      </w:r>
      <w:r>
        <w:rPr>
          <w:rFonts w:hint="eastAsia" w:ascii="宋体" w:hAnsi="宋体" w:cs="宋体"/>
          <w:color w:val="auto"/>
          <w:sz w:val="24"/>
        </w:rPr>
        <w:t>保证金。金额为：大写（人民币：</w:t>
      </w:r>
      <w:r>
        <w:rPr>
          <w:rFonts w:hint="eastAsia" w:ascii="宋体" w:hAnsi="宋体" w:cs="宋体"/>
          <w:color w:val="auto"/>
          <w:sz w:val="24"/>
          <w:u w:val="single"/>
          <w:lang w:val="en-US" w:eastAsia="zh-CN"/>
        </w:rPr>
        <w:t>伍仟捌佰元</w:t>
      </w:r>
      <w:r>
        <w:rPr>
          <w:rFonts w:hint="eastAsia" w:ascii="宋体" w:hAnsi="宋体" w:cs="宋体"/>
          <w:color w:val="auto"/>
          <w:sz w:val="24"/>
        </w:rPr>
        <w:t xml:space="preserve">），小写（RMB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5800</w:t>
      </w:r>
      <w:r>
        <w:rPr>
          <w:rFonts w:hint="eastAsia" w:ascii="宋体" w:hAnsi="宋体" w:cs="宋体"/>
          <w:color w:val="auto"/>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收款单位名称：        （</w:t>
      </w:r>
      <w:r>
        <w:rPr>
          <w:rFonts w:hint="eastAsia" w:ascii="宋体" w:hAnsi="宋体" w:cs="宋体"/>
          <w:b/>
          <w:i/>
          <w:color w:val="auto"/>
          <w:sz w:val="24"/>
        </w:rPr>
        <w:t>加盖公章或财务专用章</w:t>
      </w:r>
      <w:r>
        <w:rPr>
          <w:rFonts w:hint="eastAsia" w:ascii="宋体" w:hAnsi="宋体" w:cs="宋体"/>
          <w:color w:val="auto"/>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日期：                                                                       </w:t>
      </w:r>
    </w:p>
    <w:p>
      <w:pPr>
        <w:pStyle w:val="9"/>
        <w:rPr>
          <w:rFonts w:hint="eastAsia" w:hAnsi="宋体" w:cs="宋体"/>
          <w:b/>
          <w:bCs/>
          <w:color w:val="auto"/>
          <w:sz w:val="24"/>
        </w:rPr>
      </w:pPr>
    </w:p>
    <w:p>
      <w:pPr>
        <w:pStyle w:val="9"/>
        <w:rPr>
          <w:rFonts w:hint="eastAsia" w:hAnsi="宋体" w:cs="宋体"/>
          <w:b/>
          <w:bCs/>
          <w:color w:val="auto"/>
          <w:sz w:val="24"/>
        </w:rPr>
      </w:pPr>
    </w:p>
    <w:p>
      <w:pPr>
        <w:pStyle w:val="9"/>
        <w:rPr>
          <w:rFonts w:ascii="宋体" w:hAnsi="宋体" w:cs="宋体"/>
          <w:b/>
          <w:color w:val="auto"/>
          <w:spacing w:val="6"/>
          <w:sz w:val="32"/>
          <w:szCs w:val="32"/>
        </w:rPr>
      </w:pPr>
      <w:r>
        <w:rPr>
          <w:rFonts w:hint="eastAsia" w:hAnsi="宋体" w:cs="宋体"/>
          <w:b/>
          <w:bCs/>
          <w:color w:val="auto"/>
          <w:sz w:val="24"/>
        </w:rPr>
        <w:t>备注：退还</w:t>
      </w:r>
      <w:r>
        <w:rPr>
          <w:rFonts w:hint="eastAsia" w:hAnsi="宋体" w:cs="宋体"/>
          <w:b/>
          <w:bCs/>
          <w:color w:val="auto"/>
          <w:sz w:val="24"/>
          <w:lang w:val="en-US" w:eastAsia="zh-CN"/>
        </w:rPr>
        <w:t>询价</w:t>
      </w:r>
      <w:r>
        <w:rPr>
          <w:rFonts w:hint="eastAsia" w:hAnsi="宋体" w:cs="宋体"/>
          <w:b/>
          <w:bCs/>
          <w:color w:val="auto"/>
          <w:sz w:val="24"/>
        </w:rPr>
        <w:t>保证金申请书可以在</w:t>
      </w:r>
      <w:r>
        <w:rPr>
          <w:rFonts w:hint="eastAsia" w:hAnsi="宋体" w:cs="宋体"/>
          <w:b/>
          <w:bCs/>
          <w:color w:val="auto"/>
          <w:sz w:val="24"/>
          <w:lang w:eastAsia="zh-CN"/>
        </w:rPr>
        <w:t>询价</w:t>
      </w:r>
      <w:r>
        <w:rPr>
          <w:rFonts w:hint="eastAsia" w:hAnsi="宋体" w:cs="宋体"/>
          <w:b/>
          <w:bCs/>
          <w:color w:val="auto"/>
          <w:sz w:val="24"/>
        </w:rPr>
        <w:t>当日同</w:t>
      </w:r>
      <w:r>
        <w:rPr>
          <w:rFonts w:hint="eastAsia" w:hAnsi="宋体" w:cs="宋体"/>
          <w:b/>
          <w:bCs/>
          <w:color w:val="auto"/>
          <w:sz w:val="24"/>
          <w:lang w:val="en-US" w:eastAsia="zh-CN"/>
        </w:rPr>
        <w:t>报价</w:t>
      </w:r>
      <w:r>
        <w:rPr>
          <w:rFonts w:hint="eastAsia" w:hAnsi="宋体" w:cs="宋体"/>
          <w:b/>
          <w:bCs/>
          <w:color w:val="auto"/>
          <w:sz w:val="24"/>
        </w:rPr>
        <w:t>文件一起带到</w:t>
      </w:r>
      <w:r>
        <w:rPr>
          <w:rFonts w:hint="eastAsia" w:hAnsi="宋体" w:cs="宋体"/>
          <w:b/>
          <w:bCs/>
          <w:color w:val="auto"/>
          <w:sz w:val="24"/>
          <w:lang w:val="en-US" w:eastAsia="zh-CN"/>
        </w:rPr>
        <w:t>开启</w:t>
      </w:r>
      <w:r>
        <w:rPr>
          <w:rFonts w:hint="eastAsia" w:hAnsi="宋体" w:cs="宋体"/>
          <w:b/>
          <w:bCs/>
          <w:color w:val="auto"/>
          <w:sz w:val="24"/>
        </w:rPr>
        <w:t>现场并交给采购人，并收据生效之日为采购人退还响应保证金之日。</w:t>
      </w:r>
    </w:p>
    <w:p>
      <w:pPr>
        <w:pStyle w:val="9"/>
        <w:rPr>
          <w:rFonts w:ascii="宋体" w:hAnsi="宋体" w:cs="宋体"/>
          <w:b/>
          <w:spacing w:val="6"/>
          <w:sz w:val="32"/>
          <w:szCs w:val="32"/>
        </w:rPr>
      </w:pPr>
      <w:r>
        <w:rPr>
          <w:rFonts w:hint="eastAsia" w:cs="仿宋" w:asciiTheme="minorEastAsia" w:hAnsiTheme="minorEastAsia"/>
          <w:b/>
          <w:color w:val="auto"/>
          <w:spacing w:val="6"/>
          <w:sz w:val="32"/>
          <w:szCs w:val="32"/>
        </w:rPr>
        <w:t>附件</w:t>
      </w:r>
      <w:r>
        <w:rPr>
          <w:rFonts w:hint="eastAsia" w:hAnsi="宋体" w:cs="宋体"/>
          <w:b/>
          <w:color w:val="auto"/>
          <w:sz w:val="32"/>
          <w:szCs w:val="32"/>
          <w:lang w:val="en-US" w:eastAsia="zh-CN"/>
        </w:rPr>
        <w:t xml:space="preserve">2  </w:t>
      </w:r>
      <w:r>
        <w:rPr>
          <w:rFonts w:hint="eastAsia" w:hAnsi="宋体" w:cs="宋体"/>
          <w:b/>
          <w:sz w:val="32"/>
          <w:szCs w:val="32"/>
          <w:lang w:val="en-US" w:eastAsia="zh-CN"/>
        </w:rPr>
        <w:t xml:space="preserve">     </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9" w:type="default"/>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p>
    <w:p>
      <w:pPr>
        <w:pStyle w:val="1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pStyle w:val="15"/>
        <w:jc w:val="both"/>
      </w:pPr>
    </w:p>
    <w:sectPr>
      <w:footerReference r:id="rId20" w:type="default"/>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2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1B72B0"/>
    <w:rsid w:val="032B7E17"/>
    <w:rsid w:val="034B5FC8"/>
    <w:rsid w:val="03C74493"/>
    <w:rsid w:val="03CA5C6D"/>
    <w:rsid w:val="04E634F4"/>
    <w:rsid w:val="054C183E"/>
    <w:rsid w:val="057311F3"/>
    <w:rsid w:val="05953E92"/>
    <w:rsid w:val="05A4392C"/>
    <w:rsid w:val="05B622F4"/>
    <w:rsid w:val="06803F38"/>
    <w:rsid w:val="06897EFF"/>
    <w:rsid w:val="07013F3A"/>
    <w:rsid w:val="078B333A"/>
    <w:rsid w:val="07A67451"/>
    <w:rsid w:val="07C24B12"/>
    <w:rsid w:val="07D15ABF"/>
    <w:rsid w:val="083609AF"/>
    <w:rsid w:val="087E795F"/>
    <w:rsid w:val="09104908"/>
    <w:rsid w:val="09EC7123"/>
    <w:rsid w:val="09ED56C9"/>
    <w:rsid w:val="0B530D41"/>
    <w:rsid w:val="0B652758"/>
    <w:rsid w:val="0BF7590B"/>
    <w:rsid w:val="0BFE313E"/>
    <w:rsid w:val="0C177D5B"/>
    <w:rsid w:val="0C2A044F"/>
    <w:rsid w:val="0C492847"/>
    <w:rsid w:val="0CCF020F"/>
    <w:rsid w:val="0CF31D21"/>
    <w:rsid w:val="0D89320B"/>
    <w:rsid w:val="0D8B0B2E"/>
    <w:rsid w:val="0E0D73FE"/>
    <w:rsid w:val="0EC870E3"/>
    <w:rsid w:val="0F111837"/>
    <w:rsid w:val="0F2F6501"/>
    <w:rsid w:val="0F81598B"/>
    <w:rsid w:val="0FB91E94"/>
    <w:rsid w:val="10631845"/>
    <w:rsid w:val="10C76755"/>
    <w:rsid w:val="111E777C"/>
    <w:rsid w:val="11B04EDA"/>
    <w:rsid w:val="11C46A46"/>
    <w:rsid w:val="11D64215"/>
    <w:rsid w:val="11F35B37"/>
    <w:rsid w:val="12D86145"/>
    <w:rsid w:val="12E110C3"/>
    <w:rsid w:val="135A601C"/>
    <w:rsid w:val="143E2438"/>
    <w:rsid w:val="14422232"/>
    <w:rsid w:val="1481392B"/>
    <w:rsid w:val="149D2B06"/>
    <w:rsid w:val="14DF7D0B"/>
    <w:rsid w:val="152B7330"/>
    <w:rsid w:val="152C0D1B"/>
    <w:rsid w:val="152F207E"/>
    <w:rsid w:val="15CB2DA0"/>
    <w:rsid w:val="16135A37"/>
    <w:rsid w:val="16270E74"/>
    <w:rsid w:val="166F3635"/>
    <w:rsid w:val="16806E74"/>
    <w:rsid w:val="17AF353E"/>
    <w:rsid w:val="185870FA"/>
    <w:rsid w:val="185A544F"/>
    <w:rsid w:val="18890233"/>
    <w:rsid w:val="18A60DE5"/>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1FDF45D8"/>
    <w:rsid w:val="20457135"/>
    <w:rsid w:val="2075762A"/>
    <w:rsid w:val="2091148E"/>
    <w:rsid w:val="20B13F02"/>
    <w:rsid w:val="20D12777"/>
    <w:rsid w:val="20FB672E"/>
    <w:rsid w:val="213339C4"/>
    <w:rsid w:val="21677697"/>
    <w:rsid w:val="219409C9"/>
    <w:rsid w:val="21C81DCC"/>
    <w:rsid w:val="226D415C"/>
    <w:rsid w:val="228D26CE"/>
    <w:rsid w:val="22916FA5"/>
    <w:rsid w:val="22E51830"/>
    <w:rsid w:val="230E1A60"/>
    <w:rsid w:val="23922209"/>
    <w:rsid w:val="23C64579"/>
    <w:rsid w:val="23EC5AE3"/>
    <w:rsid w:val="247C6E9E"/>
    <w:rsid w:val="24A51F50"/>
    <w:rsid w:val="25650E5F"/>
    <w:rsid w:val="25674FDE"/>
    <w:rsid w:val="25C26B32"/>
    <w:rsid w:val="26010880"/>
    <w:rsid w:val="26F15921"/>
    <w:rsid w:val="27335F9D"/>
    <w:rsid w:val="279A12AB"/>
    <w:rsid w:val="27B05B28"/>
    <w:rsid w:val="28447F15"/>
    <w:rsid w:val="28515521"/>
    <w:rsid w:val="28D92620"/>
    <w:rsid w:val="294E0F60"/>
    <w:rsid w:val="29760BDE"/>
    <w:rsid w:val="2987716A"/>
    <w:rsid w:val="29AE18A7"/>
    <w:rsid w:val="2A1C39EA"/>
    <w:rsid w:val="2A6366FF"/>
    <w:rsid w:val="2B3D5BF4"/>
    <w:rsid w:val="2C4141D8"/>
    <w:rsid w:val="2C950980"/>
    <w:rsid w:val="2C950AFD"/>
    <w:rsid w:val="2D210C4A"/>
    <w:rsid w:val="2D2F064E"/>
    <w:rsid w:val="2E7A56DC"/>
    <w:rsid w:val="2E9F315C"/>
    <w:rsid w:val="2EA461AB"/>
    <w:rsid w:val="2EBA484A"/>
    <w:rsid w:val="2F4D3609"/>
    <w:rsid w:val="2F5836E9"/>
    <w:rsid w:val="300206D5"/>
    <w:rsid w:val="30062480"/>
    <w:rsid w:val="30556F21"/>
    <w:rsid w:val="308C5F1F"/>
    <w:rsid w:val="30CE282F"/>
    <w:rsid w:val="31014620"/>
    <w:rsid w:val="31111553"/>
    <w:rsid w:val="31191AA6"/>
    <w:rsid w:val="314B6E80"/>
    <w:rsid w:val="31A05328"/>
    <w:rsid w:val="31F365ED"/>
    <w:rsid w:val="32843E96"/>
    <w:rsid w:val="32C410E7"/>
    <w:rsid w:val="32EC2577"/>
    <w:rsid w:val="334341C1"/>
    <w:rsid w:val="3370564C"/>
    <w:rsid w:val="33F2545E"/>
    <w:rsid w:val="34155E66"/>
    <w:rsid w:val="34454474"/>
    <w:rsid w:val="34AF40BC"/>
    <w:rsid w:val="354D7AF4"/>
    <w:rsid w:val="36043E6C"/>
    <w:rsid w:val="36162BCB"/>
    <w:rsid w:val="364530C9"/>
    <w:rsid w:val="36785EDE"/>
    <w:rsid w:val="36A71B58"/>
    <w:rsid w:val="37103BA1"/>
    <w:rsid w:val="37514AF4"/>
    <w:rsid w:val="377C0298"/>
    <w:rsid w:val="37B04D36"/>
    <w:rsid w:val="37C65D75"/>
    <w:rsid w:val="37D2523E"/>
    <w:rsid w:val="38B43053"/>
    <w:rsid w:val="39C31C6C"/>
    <w:rsid w:val="3A0E5FD4"/>
    <w:rsid w:val="3A12693C"/>
    <w:rsid w:val="3A207904"/>
    <w:rsid w:val="3A314864"/>
    <w:rsid w:val="3A6303AE"/>
    <w:rsid w:val="3A993EAE"/>
    <w:rsid w:val="3AB61186"/>
    <w:rsid w:val="3AF15A98"/>
    <w:rsid w:val="3C283344"/>
    <w:rsid w:val="3C485F9D"/>
    <w:rsid w:val="3C7C70D7"/>
    <w:rsid w:val="3C940DD1"/>
    <w:rsid w:val="3D7804A8"/>
    <w:rsid w:val="3E0C6463"/>
    <w:rsid w:val="3E32264F"/>
    <w:rsid w:val="3EE43BF5"/>
    <w:rsid w:val="403E57B7"/>
    <w:rsid w:val="40F82FC3"/>
    <w:rsid w:val="411A0F39"/>
    <w:rsid w:val="41313092"/>
    <w:rsid w:val="415839D5"/>
    <w:rsid w:val="415A5C88"/>
    <w:rsid w:val="41CE08E1"/>
    <w:rsid w:val="42112513"/>
    <w:rsid w:val="42181B5C"/>
    <w:rsid w:val="424B1F31"/>
    <w:rsid w:val="433C7ACC"/>
    <w:rsid w:val="435518AD"/>
    <w:rsid w:val="43C04259"/>
    <w:rsid w:val="43C354C4"/>
    <w:rsid w:val="44A040E0"/>
    <w:rsid w:val="44C67F95"/>
    <w:rsid w:val="4557347D"/>
    <w:rsid w:val="4559568A"/>
    <w:rsid w:val="45A47533"/>
    <w:rsid w:val="45F97EF6"/>
    <w:rsid w:val="46BC402D"/>
    <w:rsid w:val="472961BF"/>
    <w:rsid w:val="475528CD"/>
    <w:rsid w:val="47B265AF"/>
    <w:rsid w:val="48EC7B2A"/>
    <w:rsid w:val="4916491B"/>
    <w:rsid w:val="496717C4"/>
    <w:rsid w:val="4A063A4F"/>
    <w:rsid w:val="4A875AD1"/>
    <w:rsid w:val="4AE27CAC"/>
    <w:rsid w:val="4B1B2ECF"/>
    <w:rsid w:val="4B215F25"/>
    <w:rsid w:val="4B2E6F39"/>
    <w:rsid w:val="4B6E282F"/>
    <w:rsid w:val="4BAC48C9"/>
    <w:rsid w:val="4BB27DC6"/>
    <w:rsid w:val="4C192E4D"/>
    <w:rsid w:val="4C372E2E"/>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DE137A"/>
    <w:rsid w:val="53FA1DF3"/>
    <w:rsid w:val="541A7921"/>
    <w:rsid w:val="54AB2D04"/>
    <w:rsid w:val="557B35BC"/>
    <w:rsid w:val="565C1CF5"/>
    <w:rsid w:val="56E235EF"/>
    <w:rsid w:val="571F3A0C"/>
    <w:rsid w:val="574E47D2"/>
    <w:rsid w:val="57DC32D5"/>
    <w:rsid w:val="57F2034A"/>
    <w:rsid w:val="57F31A04"/>
    <w:rsid w:val="58207565"/>
    <w:rsid w:val="58235318"/>
    <w:rsid w:val="5889510A"/>
    <w:rsid w:val="59121C77"/>
    <w:rsid w:val="59B3720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73239F"/>
    <w:rsid w:val="61CA0C65"/>
    <w:rsid w:val="62C642C8"/>
    <w:rsid w:val="631B2246"/>
    <w:rsid w:val="6320666B"/>
    <w:rsid w:val="633D06B7"/>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8C5108"/>
    <w:rsid w:val="6BD277B9"/>
    <w:rsid w:val="6C321620"/>
    <w:rsid w:val="6C5C4BB7"/>
    <w:rsid w:val="6CE30E35"/>
    <w:rsid w:val="6DA02882"/>
    <w:rsid w:val="6DA12E69"/>
    <w:rsid w:val="6DBB3B60"/>
    <w:rsid w:val="6E053606"/>
    <w:rsid w:val="6E2C6F5B"/>
    <w:rsid w:val="6F0B4673"/>
    <w:rsid w:val="6F4831D1"/>
    <w:rsid w:val="700E4F44"/>
    <w:rsid w:val="70124E0E"/>
    <w:rsid w:val="70173239"/>
    <w:rsid w:val="70BA5135"/>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EE7E77"/>
    <w:rsid w:val="77F2017E"/>
    <w:rsid w:val="78A551F0"/>
    <w:rsid w:val="78D36201"/>
    <w:rsid w:val="78F771D6"/>
    <w:rsid w:val="79017606"/>
    <w:rsid w:val="79484FFF"/>
    <w:rsid w:val="79D7762B"/>
    <w:rsid w:val="79EB254B"/>
    <w:rsid w:val="7BA82ABD"/>
    <w:rsid w:val="7BFD34E1"/>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autoRedefine/>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468</Words>
  <Characters>557</Characters>
  <Lines>224</Lines>
  <Paragraphs>63</Paragraphs>
  <TotalTime>30</TotalTime>
  <ScaleCrop>false</ScaleCrop>
  <LinksUpToDate>false</LinksUpToDate>
  <CharactersWithSpaces>599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2025-11-11T01:48:28Z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1BC599D1EEA04D69BD4395509E0F4E4A_13</vt:lpwstr>
  </property>
  <property fmtid="{D5CDD505-2E9C-101B-9397-08002B2CF9AE}" pid="4" name="KSOTemplateDocerSaveRecord">
    <vt:lpwstr>eyJoZGlkIjoiNWEyMzZkZjM2MDJhYjY1OWNjZDE1ZDE1YjY1MWQ5MjAiLCJ1c2VySWQiOiIyNTA2MTQ5NTQifQ==</vt:lpwstr>
  </property>
</Properties>
</file>