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2025年-2026年医废清洗线水泵及配件采购项目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202511030</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2025年-2026年医废清洗线水泵及配件采购项目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202511030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2025年-2026年医废清洗线水泵及配件采购项目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8.5万</w:t>
      </w:r>
      <w:r>
        <w:rPr>
          <w:rFonts w:hint="eastAsia" w:cs="仿宋" w:asciiTheme="minorEastAsia" w:hAnsiTheme="minorEastAsia"/>
          <w:color w:val="auto"/>
          <w:sz w:val="24"/>
          <w:u w:val="single"/>
          <w:lang w:val="en-US" w:eastAsia="zh-CN"/>
        </w:rPr>
        <w:t>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w:t>
      </w:r>
      <w:r>
        <w:rPr>
          <w:rFonts w:hint="eastAsia" w:cs="仿宋" w:asciiTheme="minorEastAsia" w:hAnsiTheme="minorEastAsia"/>
          <w:color w:val="auto"/>
          <w:sz w:val="24"/>
          <w:u w:val="single"/>
          <w:lang w:val="en-US" w:eastAsia="zh-CN"/>
        </w:rPr>
        <w:t>医废清洗线水泵及配件</w:t>
      </w:r>
      <w:r>
        <w:rPr>
          <w:rFonts w:hint="eastAsia" w:hAnsi="宋体" w:cs="宋体"/>
          <w:bCs/>
          <w:color w:val="auto"/>
          <w:sz w:val="24"/>
          <w:highlight w:val="none"/>
          <w:lang w:val="en-US" w:eastAsia="zh-CN"/>
        </w:rPr>
        <w:t>1批，</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合同签订后12个月（以采购人下达订单时间为准）。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5"/>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2025年-2026年医废清洗线水泵及配件采购项目询价保证金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03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11月</w:t>
      </w:r>
      <w:r>
        <w:rPr>
          <w:rFonts w:hint="eastAsia" w:cs="仿宋" w:asciiTheme="minorEastAsia" w:hAnsiTheme="minorEastAsia"/>
          <w:color w:val="000000" w:themeColor="text1"/>
          <w:sz w:val="24"/>
          <w:highlight w:val="none"/>
          <w:lang w:val="en-US" w:eastAsia="zh-CN"/>
          <w14:textFill>
            <w14:solidFill>
              <w14:schemeClr w14:val="tx1"/>
            </w14:solidFill>
          </w14:textFill>
        </w:rPr>
        <w:t>25</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采购医废清洗线水泵及配件1批。清单</w:t>
      </w:r>
      <w:r>
        <w:rPr>
          <w:rFonts w:hint="eastAsia"/>
          <w:color w:val="auto"/>
          <w:lang w:val="en-US" w:eastAsia="zh-CN"/>
        </w:rPr>
        <w:t>具体如下：</w:t>
      </w:r>
    </w:p>
    <w:tbl>
      <w:tblPr>
        <w:tblStyle w:val="17"/>
        <w:tblW w:w="8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396"/>
        <w:gridCol w:w="1259"/>
        <w:gridCol w:w="4065"/>
        <w:gridCol w:w="739"/>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w:t>
            </w:r>
            <w:bookmarkStart w:id="19" w:name="OLE_LINK1"/>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bookmarkEnd w:id="19"/>
            <w:r>
              <w:rPr>
                <w:rFonts w:hint="eastAsia" w:ascii="宋体" w:hAnsi="宋体" w:eastAsia="宋体" w:cs="宋体"/>
                <w:i w:val="0"/>
                <w:iCs w:val="0"/>
                <w:color w:val="auto"/>
                <w:kern w:val="0"/>
                <w:sz w:val="20"/>
                <w:szCs w:val="20"/>
                <w:highlight w:val="none"/>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bl>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color w:val="auto"/>
          <w:sz w:val="24"/>
          <w:u w:val="single"/>
          <w:lang w:val="en-US" w:eastAsia="zh-CN"/>
        </w:rPr>
        <w:t>合同签订后12个月（以采购人下达订单时间为准）。</w:t>
      </w:r>
    </w:p>
    <w:p>
      <w:pPr>
        <w:pStyle w:val="7"/>
        <w:ind w:firstLine="482" w:firstLineChars="200"/>
        <w:rPr>
          <w:rFonts w:hint="eastAsia"/>
          <w:b w:val="0"/>
          <w:bCs w:val="0"/>
          <w:color w:val="auto"/>
          <w:highlight w:val="none"/>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根据采购人订单分批次完成供货，30天内完成供货</w:t>
      </w:r>
      <w:r>
        <w:rPr>
          <w:rFonts w:hint="eastAsia"/>
          <w:b w:val="0"/>
          <w:bCs w:val="0"/>
          <w:color w:val="auto"/>
          <w:highlight w:val="none"/>
          <w:lang w:val="en-US" w:eastAsia="zh-CN"/>
        </w:rPr>
        <w:t>。</w:t>
      </w:r>
    </w:p>
    <w:p>
      <w:pPr>
        <w:pStyle w:val="7"/>
        <w:ind w:firstLine="482" w:firstLineChars="200"/>
        <w:rPr>
          <w:rFonts w:hint="default"/>
          <w:b/>
          <w:bCs/>
          <w:lang w:val="en-US"/>
        </w:rPr>
      </w:pPr>
      <w:r>
        <w:rPr>
          <w:rFonts w:hint="eastAsia"/>
          <w:b/>
          <w:bCs/>
          <w:lang w:val="en-US" w:eastAsia="zh-CN"/>
        </w:rPr>
        <w:t>四</w:t>
      </w:r>
      <w:r>
        <w:rPr>
          <w:rFonts w:hint="eastAsia"/>
          <w:b/>
          <w:bCs/>
          <w:lang w:val="en-US"/>
        </w:rPr>
        <w:t>、</w:t>
      </w:r>
      <w:r>
        <w:rPr>
          <w:rFonts w:hint="eastAsia"/>
          <w:b/>
          <w:bCs/>
          <w:lang w:val="en-US" w:eastAsia="zh-CN"/>
        </w:rPr>
        <w:t>质量和技术要求</w:t>
      </w:r>
    </w:p>
    <w:p>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提供的其他配件须与现场设备配套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b w:val="0"/>
          <w:bCs w:val="0"/>
          <w:color w:val="auto"/>
          <w:highlight w:val="none"/>
          <w:lang w:val="en-US" w:eastAsia="zh-CN"/>
        </w:rPr>
        <w:t>4.离心泵、立式水泵的质保期限自验收合格后12个月，其他货物质保期为自验收合格后3个月</w:t>
      </w:r>
      <w:r>
        <w:rPr>
          <w:rFonts w:hint="eastAsia"/>
          <w:color w:val="auto"/>
          <w:highlight w:val="none"/>
          <w:lang w:val="en-US" w:eastAsia="zh-CN"/>
        </w:rPr>
        <w:t>。若质保期内出现质量问题（非质量问题除外），由供应商负责免费维修或维修，产生的费用全部由供应商承担，质保期重新计算。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2" w:firstLineChars="200"/>
        <w:rPr>
          <w:rFonts w:hint="eastAsia" w:ascii="宋体"/>
          <w:b/>
          <w:bCs/>
          <w:lang w:val="en-US"/>
        </w:rPr>
      </w:pPr>
      <w:r>
        <w:rPr>
          <w:rFonts w:hint="eastAsia"/>
          <w:b/>
          <w:bCs/>
          <w:lang w:val="en-US" w:eastAsia="zh-CN"/>
        </w:rPr>
        <w:t>七</w:t>
      </w:r>
      <w:r>
        <w:rPr>
          <w:rFonts w:hint="eastAsia" w:ascii="宋体"/>
          <w:b/>
          <w:bCs/>
          <w:lang w:val="en-US"/>
        </w:rPr>
        <w:t>、</w:t>
      </w:r>
      <w:r>
        <w:rPr>
          <w:rFonts w:hint="eastAsia"/>
          <w:b/>
          <w:bCs/>
          <w:lang w:val="en-US" w:eastAsia="zh-CN"/>
        </w:rPr>
        <w:t>售后</w:t>
      </w:r>
      <w:r>
        <w:rPr>
          <w:rFonts w:hint="eastAsia" w:ascii="宋体"/>
          <w:b/>
          <w:bCs/>
          <w:lang w:val="en-US"/>
        </w:rPr>
        <w:t>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color w:val="auto"/>
          <w:highlight w:val="none"/>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05"/>
      <w:bookmarkEnd w:id="20"/>
      <w:bookmarkStart w:id="21" w:name="_Toc184313309"/>
      <w:bookmarkEnd w:id="21"/>
      <w:bookmarkStart w:id="22" w:name="_Toc184313297"/>
      <w:bookmarkEnd w:id="22"/>
      <w:bookmarkStart w:id="23" w:name="_Toc184312097"/>
      <w:bookmarkEnd w:id="23"/>
      <w:bookmarkStart w:id="24" w:name="_Toc184314425"/>
      <w:bookmarkEnd w:id="24"/>
      <w:bookmarkStart w:id="25" w:name="_Toc184314461"/>
      <w:bookmarkEnd w:id="25"/>
      <w:bookmarkStart w:id="26" w:name="_Toc184310317"/>
      <w:bookmarkEnd w:id="26"/>
      <w:bookmarkStart w:id="27" w:name="_Toc184313275"/>
      <w:bookmarkEnd w:id="27"/>
      <w:bookmarkStart w:id="28" w:name="_Toc184314437"/>
      <w:bookmarkEnd w:id="28"/>
      <w:bookmarkStart w:id="29" w:name="_Toc184313254"/>
      <w:bookmarkEnd w:id="29"/>
      <w:bookmarkStart w:id="30" w:name="_Toc184308073"/>
      <w:bookmarkEnd w:id="30"/>
      <w:bookmarkStart w:id="31" w:name="_Toc184314482"/>
      <w:bookmarkEnd w:id="31"/>
      <w:bookmarkStart w:id="32" w:name="_Toc184308036"/>
      <w:bookmarkEnd w:id="32"/>
      <w:bookmarkStart w:id="33" w:name="_Toc184310336"/>
      <w:bookmarkEnd w:id="33"/>
      <w:bookmarkStart w:id="34" w:name="_Toc184310331"/>
      <w:bookmarkEnd w:id="34"/>
      <w:bookmarkStart w:id="35" w:name="_Toc184310330"/>
      <w:bookmarkEnd w:id="35"/>
      <w:bookmarkStart w:id="36" w:name="_Toc184313299"/>
      <w:bookmarkEnd w:id="36"/>
      <w:bookmarkStart w:id="37" w:name="_Toc184312094"/>
      <w:bookmarkEnd w:id="37"/>
      <w:bookmarkStart w:id="38" w:name="_Toc184312130"/>
      <w:bookmarkEnd w:id="38"/>
      <w:bookmarkStart w:id="39" w:name="_Toc184310287"/>
      <w:bookmarkEnd w:id="39"/>
      <w:bookmarkStart w:id="40" w:name="_Toc184308058"/>
      <w:bookmarkEnd w:id="40"/>
      <w:bookmarkStart w:id="41" w:name="_Toc184312084"/>
      <w:bookmarkEnd w:id="41"/>
      <w:bookmarkStart w:id="42" w:name="_Toc184314412"/>
      <w:bookmarkEnd w:id="42"/>
      <w:bookmarkStart w:id="43" w:name="_Toc184308094"/>
      <w:bookmarkEnd w:id="43"/>
      <w:bookmarkStart w:id="44" w:name="_Toc184313260"/>
      <w:bookmarkEnd w:id="44"/>
      <w:bookmarkStart w:id="45" w:name="_Toc184310308"/>
      <w:bookmarkEnd w:id="45"/>
      <w:bookmarkStart w:id="46" w:name="_Toc184312109"/>
      <w:bookmarkEnd w:id="46"/>
      <w:bookmarkStart w:id="47" w:name="_Toc184310333"/>
      <w:bookmarkEnd w:id="47"/>
      <w:bookmarkStart w:id="48" w:name="_Toc184314435"/>
      <w:bookmarkEnd w:id="48"/>
      <w:bookmarkStart w:id="49" w:name="_Toc184310299"/>
      <w:bookmarkEnd w:id="49"/>
      <w:bookmarkStart w:id="50" w:name="_Toc184308105"/>
      <w:bookmarkEnd w:id="50"/>
      <w:bookmarkStart w:id="51" w:name="_Toc184312092"/>
      <w:bookmarkEnd w:id="51"/>
      <w:bookmarkStart w:id="52" w:name="_Toc184308050"/>
      <w:bookmarkEnd w:id="52"/>
      <w:bookmarkStart w:id="53" w:name="_Toc184308103"/>
      <w:bookmarkEnd w:id="53"/>
      <w:bookmarkStart w:id="54" w:name="_Toc184312087"/>
      <w:bookmarkEnd w:id="54"/>
      <w:bookmarkStart w:id="55" w:name="_Toc184310344"/>
      <w:bookmarkEnd w:id="55"/>
      <w:bookmarkStart w:id="56" w:name="_Toc184312139"/>
      <w:bookmarkEnd w:id="56"/>
      <w:bookmarkStart w:id="57" w:name="_Toc184313281"/>
      <w:bookmarkEnd w:id="57"/>
      <w:bookmarkStart w:id="58" w:name="_Toc184310282"/>
      <w:bookmarkEnd w:id="58"/>
      <w:bookmarkStart w:id="59" w:name="_Toc184308098"/>
      <w:bookmarkEnd w:id="59"/>
      <w:bookmarkStart w:id="60" w:name="_Toc184308096"/>
      <w:bookmarkEnd w:id="60"/>
      <w:bookmarkStart w:id="61" w:name="_Toc184314463"/>
      <w:bookmarkEnd w:id="61"/>
      <w:bookmarkStart w:id="62" w:name="_Toc184310291"/>
      <w:bookmarkEnd w:id="62"/>
      <w:bookmarkStart w:id="63" w:name="_Toc184312113"/>
      <w:bookmarkEnd w:id="63"/>
      <w:bookmarkStart w:id="64" w:name="_Toc184312117"/>
      <w:bookmarkEnd w:id="64"/>
      <w:bookmarkStart w:id="65" w:name="_Toc184313247"/>
      <w:bookmarkEnd w:id="65"/>
      <w:bookmarkStart w:id="66" w:name="_Toc184312133"/>
      <w:bookmarkEnd w:id="66"/>
      <w:bookmarkStart w:id="67" w:name="_Toc184308078"/>
      <w:bookmarkEnd w:id="67"/>
      <w:bookmarkStart w:id="68" w:name="_Toc184312100"/>
      <w:bookmarkEnd w:id="68"/>
      <w:bookmarkStart w:id="69" w:name="_Toc184312091"/>
      <w:bookmarkEnd w:id="69"/>
      <w:bookmarkStart w:id="70" w:name="_Toc184310301"/>
      <w:bookmarkEnd w:id="70"/>
      <w:bookmarkStart w:id="71" w:name="_Toc184310339"/>
      <w:bookmarkEnd w:id="71"/>
      <w:bookmarkStart w:id="72" w:name="_Toc184312080"/>
      <w:bookmarkEnd w:id="72"/>
      <w:bookmarkStart w:id="73" w:name="_Toc184313261"/>
      <w:bookmarkEnd w:id="73"/>
      <w:bookmarkStart w:id="74" w:name="_Toc184308093"/>
      <w:bookmarkEnd w:id="74"/>
      <w:bookmarkStart w:id="75" w:name="_Toc184314441"/>
      <w:bookmarkEnd w:id="75"/>
      <w:bookmarkStart w:id="76" w:name="_Toc184313263"/>
      <w:bookmarkEnd w:id="76"/>
      <w:bookmarkStart w:id="77" w:name="_Toc184314478"/>
      <w:bookmarkEnd w:id="77"/>
      <w:bookmarkStart w:id="78" w:name="_Toc184314426"/>
      <w:bookmarkEnd w:id="78"/>
      <w:bookmarkStart w:id="79" w:name="_Toc184308044"/>
      <w:bookmarkEnd w:id="79"/>
      <w:bookmarkStart w:id="80" w:name="_Toc184314454"/>
      <w:bookmarkEnd w:id="80"/>
      <w:bookmarkStart w:id="81" w:name="_Toc184312123"/>
      <w:bookmarkEnd w:id="81"/>
      <w:bookmarkStart w:id="82" w:name="_Toc184310273"/>
      <w:bookmarkEnd w:id="82"/>
      <w:bookmarkStart w:id="83" w:name="_Toc184313293"/>
      <w:bookmarkEnd w:id="83"/>
      <w:bookmarkStart w:id="84" w:name="_Toc184314414"/>
      <w:bookmarkEnd w:id="84"/>
      <w:bookmarkStart w:id="85" w:name="_Toc184310294"/>
      <w:bookmarkEnd w:id="85"/>
      <w:bookmarkStart w:id="86" w:name="_Toc184308051"/>
      <w:bookmarkEnd w:id="86"/>
      <w:bookmarkStart w:id="87" w:name="_Toc184312103"/>
      <w:bookmarkEnd w:id="87"/>
      <w:bookmarkStart w:id="88" w:name="_Toc184313242"/>
      <w:bookmarkEnd w:id="88"/>
      <w:bookmarkStart w:id="89" w:name="_Toc184310284"/>
      <w:bookmarkEnd w:id="89"/>
      <w:bookmarkStart w:id="90" w:name="_Toc184308060"/>
      <w:bookmarkEnd w:id="90"/>
      <w:bookmarkStart w:id="91" w:name="_Toc184314453"/>
      <w:bookmarkEnd w:id="91"/>
      <w:bookmarkStart w:id="92" w:name="_Toc184314432"/>
      <w:bookmarkEnd w:id="92"/>
      <w:bookmarkStart w:id="93" w:name="_Toc184310332"/>
      <w:bookmarkEnd w:id="93"/>
      <w:bookmarkStart w:id="94" w:name="_Toc184313286"/>
      <w:bookmarkEnd w:id="94"/>
      <w:bookmarkStart w:id="95" w:name="_Toc184313238"/>
      <w:bookmarkEnd w:id="95"/>
      <w:bookmarkStart w:id="96" w:name="_Toc184313305"/>
      <w:bookmarkEnd w:id="96"/>
      <w:bookmarkStart w:id="97" w:name="_Toc184313268"/>
      <w:bookmarkEnd w:id="97"/>
      <w:bookmarkStart w:id="98" w:name="_Toc184308043"/>
      <w:bookmarkEnd w:id="98"/>
      <w:bookmarkStart w:id="99" w:name="_Toc184313278"/>
      <w:bookmarkEnd w:id="99"/>
      <w:bookmarkStart w:id="100" w:name="_Toc184308047"/>
      <w:bookmarkEnd w:id="100"/>
      <w:bookmarkStart w:id="101" w:name="_Toc184313257"/>
      <w:bookmarkEnd w:id="101"/>
      <w:bookmarkStart w:id="102" w:name="_Toc184314438"/>
      <w:bookmarkEnd w:id="102"/>
      <w:bookmarkStart w:id="103" w:name="_Toc184312119"/>
      <w:bookmarkEnd w:id="103"/>
      <w:bookmarkStart w:id="104" w:name="_Toc184312127"/>
      <w:bookmarkEnd w:id="104"/>
      <w:bookmarkStart w:id="105" w:name="_Toc184314434"/>
      <w:bookmarkEnd w:id="105"/>
      <w:bookmarkStart w:id="106" w:name="_Toc184314470"/>
      <w:bookmarkEnd w:id="106"/>
      <w:bookmarkStart w:id="107" w:name="_Toc184308083"/>
      <w:bookmarkEnd w:id="107"/>
      <w:bookmarkStart w:id="108" w:name="_Toc184314473"/>
      <w:bookmarkEnd w:id="108"/>
      <w:bookmarkStart w:id="109" w:name="_Toc184313264"/>
      <w:bookmarkEnd w:id="109"/>
      <w:bookmarkStart w:id="110" w:name="_Toc184310320"/>
      <w:bookmarkEnd w:id="110"/>
      <w:bookmarkStart w:id="111" w:name="_Toc184314479"/>
      <w:bookmarkEnd w:id="111"/>
      <w:bookmarkStart w:id="112" w:name="_Toc184310325"/>
      <w:bookmarkEnd w:id="112"/>
      <w:bookmarkStart w:id="113" w:name="_Toc184313295"/>
      <w:bookmarkEnd w:id="113"/>
      <w:bookmarkStart w:id="114" w:name="_Toc184310307"/>
      <w:bookmarkEnd w:id="114"/>
      <w:bookmarkStart w:id="115" w:name="_Toc184312107"/>
      <w:bookmarkEnd w:id="115"/>
      <w:bookmarkStart w:id="116" w:name="_Toc184313243"/>
      <w:bookmarkEnd w:id="116"/>
      <w:bookmarkStart w:id="117" w:name="_Toc184310314"/>
      <w:bookmarkEnd w:id="117"/>
      <w:bookmarkStart w:id="118" w:name="_Toc184314428"/>
      <w:bookmarkEnd w:id="118"/>
      <w:bookmarkStart w:id="119" w:name="_Toc184310340"/>
      <w:bookmarkEnd w:id="119"/>
      <w:bookmarkStart w:id="120" w:name="_Toc184308107"/>
      <w:bookmarkEnd w:id="120"/>
      <w:bookmarkStart w:id="121" w:name="_Toc184313276"/>
      <w:bookmarkEnd w:id="121"/>
      <w:bookmarkStart w:id="122" w:name="_Toc184312128"/>
      <w:bookmarkEnd w:id="122"/>
      <w:bookmarkStart w:id="123" w:name="_Toc184310275"/>
      <w:bookmarkEnd w:id="123"/>
      <w:bookmarkStart w:id="124" w:name="_Toc184312072"/>
      <w:bookmarkEnd w:id="124"/>
      <w:bookmarkStart w:id="125" w:name="_Toc184313239"/>
      <w:bookmarkEnd w:id="125"/>
      <w:bookmarkStart w:id="126" w:name="_Toc184314444"/>
      <w:bookmarkEnd w:id="126"/>
      <w:bookmarkStart w:id="127" w:name="_Toc184312129"/>
      <w:bookmarkEnd w:id="127"/>
      <w:bookmarkStart w:id="128" w:name="_Toc184308040"/>
      <w:bookmarkEnd w:id="128"/>
      <w:bookmarkStart w:id="129" w:name="_Toc184313253"/>
      <w:bookmarkEnd w:id="129"/>
      <w:bookmarkStart w:id="130" w:name="_Toc184310288"/>
      <w:bookmarkEnd w:id="130"/>
      <w:bookmarkStart w:id="131" w:name="_Toc184313274"/>
      <w:bookmarkEnd w:id="131"/>
      <w:bookmarkStart w:id="132" w:name="_Toc184312102"/>
      <w:bookmarkEnd w:id="132"/>
      <w:bookmarkStart w:id="133" w:name="_Toc184313300"/>
      <w:bookmarkEnd w:id="133"/>
      <w:bookmarkStart w:id="134" w:name="_Toc184314421"/>
      <w:bookmarkEnd w:id="134"/>
      <w:bookmarkStart w:id="135" w:name="_Toc184314411"/>
      <w:bookmarkEnd w:id="135"/>
      <w:bookmarkStart w:id="136" w:name="_Toc184312134"/>
      <w:bookmarkEnd w:id="136"/>
      <w:bookmarkStart w:id="137" w:name="_Toc184313292"/>
      <w:bookmarkEnd w:id="137"/>
      <w:bookmarkStart w:id="138" w:name="_Toc184314472"/>
      <w:bookmarkEnd w:id="138"/>
      <w:bookmarkStart w:id="139" w:name="_Toc184308087"/>
      <w:bookmarkEnd w:id="139"/>
      <w:bookmarkStart w:id="140" w:name="_Toc184314469"/>
      <w:bookmarkEnd w:id="140"/>
      <w:bookmarkStart w:id="141" w:name="_Toc184314449"/>
      <w:bookmarkEnd w:id="141"/>
      <w:bookmarkStart w:id="142" w:name="_Toc184313294"/>
      <w:bookmarkEnd w:id="142"/>
      <w:bookmarkStart w:id="143" w:name="_Toc184308101"/>
      <w:bookmarkEnd w:id="143"/>
      <w:bookmarkStart w:id="144" w:name="_Toc184310323"/>
      <w:bookmarkEnd w:id="144"/>
      <w:bookmarkStart w:id="145" w:name="_Toc184310328"/>
      <w:bookmarkEnd w:id="145"/>
      <w:bookmarkStart w:id="146" w:name="_Toc184313296"/>
      <w:bookmarkEnd w:id="146"/>
      <w:bookmarkStart w:id="147" w:name="_Toc184313250"/>
      <w:bookmarkEnd w:id="147"/>
      <w:bookmarkStart w:id="148" w:name="_Toc184314420"/>
      <w:bookmarkEnd w:id="148"/>
      <w:bookmarkStart w:id="149" w:name="_Toc184312074"/>
      <w:bookmarkEnd w:id="149"/>
      <w:bookmarkStart w:id="150" w:name="_Toc184313245"/>
      <w:bookmarkEnd w:id="150"/>
      <w:bookmarkStart w:id="151" w:name="_Toc184313298"/>
      <w:bookmarkEnd w:id="151"/>
      <w:bookmarkStart w:id="152" w:name="_Toc184308102"/>
      <w:bookmarkEnd w:id="152"/>
      <w:bookmarkStart w:id="153" w:name="_Toc184313259"/>
      <w:bookmarkEnd w:id="153"/>
      <w:bookmarkStart w:id="154" w:name="_Toc184312075"/>
      <w:bookmarkEnd w:id="154"/>
      <w:bookmarkStart w:id="155" w:name="_Toc184314447"/>
      <w:bookmarkEnd w:id="155"/>
      <w:bookmarkStart w:id="156" w:name="_Toc184310329"/>
      <w:bookmarkEnd w:id="156"/>
      <w:bookmarkStart w:id="157" w:name="_Toc184308038"/>
      <w:bookmarkEnd w:id="157"/>
      <w:bookmarkStart w:id="158" w:name="_Toc184312120"/>
      <w:bookmarkEnd w:id="158"/>
      <w:bookmarkStart w:id="159" w:name="_Toc184310281"/>
      <w:bookmarkEnd w:id="159"/>
      <w:bookmarkStart w:id="160" w:name="_Toc184312077"/>
      <w:bookmarkEnd w:id="160"/>
      <w:bookmarkStart w:id="161" w:name="_Toc184312137"/>
      <w:bookmarkEnd w:id="161"/>
      <w:bookmarkStart w:id="162" w:name="_Toc184310303"/>
      <w:bookmarkEnd w:id="162"/>
      <w:bookmarkStart w:id="163" w:name="_Toc184313307"/>
      <w:bookmarkEnd w:id="163"/>
      <w:bookmarkStart w:id="164" w:name="_Toc184310315"/>
      <w:bookmarkEnd w:id="164"/>
      <w:bookmarkStart w:id="165" w:name="_Toc184314413"/>
      <w:bookmarkEnd w:id="165"/>
      <w:bookmarkStart w:id="166" w:name="_Toc184308100"/>
      <w:bookmarkEnd w:id="166"/>
      <w:bookmarkStart w:id="167" w:name="_Toc184310305"/>
      <w:bookmarkEnd w:id="167"/>
      <w:bookmarkStart w:id="168" w:name="_Toc184312131"/>
      <w:bookmarkEnd w:id="168"/>
      <w:bookmarkStart w:id="169" w:name="_Toc184308059"/>
      <w:bookmarkEnd w:id="169"/>
      <w:bookmarkStart w:id="170" w:name="_Toc184312126"/>
      <w:bookmarkEnd w:id="170"/>
      <w:bookmarkStart w:id="171" w:name="_Toc184313279"/>
      <w:bookmarkEnd w:id="171"/>
      <w:bookmarkStart w:id="172" w:name="_Toc184313246"/>
      <w:bookmarkEnd w:id="172"/>
      <w:bookmarkStart w:id="173" w:name="_Toc184314427"/>
      <w:bookmarkEnd w:id="173"/>
      <w:bookmarkStart w:id="174" w:name="_Toc184312111"/>
      <w:bookmarkEnd w:id="174"/>
      <w:bookmarkStart w:id="175" w:name="_Toc184308084"/>
      <w:bookmarkEnd w:id="175"/>
      <w:bookmarkStart w:id="176" w:name="_Toc184313285"/>
      <w:bookmarkEnd w:id="176"/>
      <w:bookmarkStart w:id="177" w:name="_Toc184310272"/>
      <w:bookmarkEnd w:id="177"/>
      <w:bookmarkStart w:id="178" w:name="_Toc184314439"/>
      <w:bookmarkEnd w:id="178"/>
      <w:bookmarkStart w:id="179" w:name="_Toc184312098"/>
      <w:bookmarkEnd w:id="179"/>
      <w:bookmarkStart w:id="180" w:name="_Toc184314431"/>
      <w:bookmarkEnd w:id="180"/>
      <w:bookmarkStart w:id="181" w:name="_Toc184308039"/>
      <w:bookmarkEnd w:id="181"/>
      <w:bookmarkStart w:id="182" w:name="_Toc184308089"/>
      <w:bookmarkEnd w:id="182"/>
      <w:bookmarkStart w:id="183" w:name="_Toc184312121"/>
      <w:bookmarkEnd w:id="183"/>
      <w:bookmarkStart w:id="184" w:name="_Toc184314471"/>
      <w:bookmarkEnd w:id="184"/>
      <w:bookmarkStart w:id="185" w:name="_Toc184308091"/>
      <w:bookmarkEnd w:id="185"/>
      <w:bookmarkStart w:id="186" w:name="_Toc184312125"/>
      <w:bookmarkEnd w:id="186"/>
      <w:bookmarkStart w:id="187" w:name="_Toc184314465"/>
      <w:bookmarkEnd w:id="187"/>
      <w:bookmarkStart w:id="188" w:name="_Toc184312108"/>
      <w:bookmarkEnd w:id="188"/>
      <w:bookmarkStart w:id="189" w:name="_Toc184308037"/>
      <w:bookmarkEnd w:id="189"/>
      <w:bookmarkStart w:id="190" w:name="_Toc184308045"/>
      <w:bookmarkEnd w:id="190"/>
      <w:bookmarkStart w:id="191" w:name="_Toc184310290"/>
      <w:bookmarkEnd w:id="191"/>
      <w:bookmarkStart w:id="192" w:name="_Toc184314457"/>
      <w:bookmarkEnd w:id="192"/>
      <w:bookmarkStart w:id="193" w:name="_Toc184314466"/>
      <w:bookmarkEnd w:id="193"/>
      <w:bookmarkStart w:id="194" w:name="_Toc184308046"/>
      <w:bookmarkEnd w:id="194"/>
      <w:bookmarkStart w:id="195" w:name="_Toc184310341"/>
      <w:bookmarkEnd w:id="195"/>
      <w:bookmarkStart w:id="196" w:name="_Toc184310302"/>
      <w:bookmarkEnd w:id="196"/>
      <w:bookmarkStart w:id="197" w:name="_Toc184313256"/>
      <w:bookmarkEnd w:id="197"/>
      <w:bookmarkStart w:id="198" w:name="_Toc184310292"/>
      <w:bookmarkEnd w:id="198"/>
      <w:bookmarkStart w:id="199" w:name="_Toc184314448"/>
      <w:bookmarkEnd w:id="199"/>
      <w:bookmarkStart w:id="200" w:name="_Toc184313252"/>
      <w:bookmarkEnd w:id="200"/>
      <w:bookmarkStart w:id="201" w:name="_Toc184314443"/>
      <w:bookmarkEnd w:id="201"/>
      <w:bookmarkStart w:id="202" w:name="_Toc184312116"/>
      <w:bookmarkEnd w:id="202"/>
      <w:bookmarkStart w:id="203" w:name="_Toc184308042"/>
      <w:bookmarkEnd w:id="203"/>
      <w:bookmarkStart w:id="204" w:name="_Toc184308080"/>
      <w:bookmarkEnd w:id="204"/>
      <w:bookmarkStart w:id="205" w:name="_Toc184310334"/>
      <w:bookmarkEnd w:id="205"/>
      <w:bookmarkStart w:id="206" w:name="_Toc184313288"/>
      <w:bookmarkEnd w:id="206"/>
      <w:bookmarkStart w:id="207" w:name="_Toc184312067"/>
      <w:bookmarkEnd w:id="207"/>
      <w:bookmarkStart w:id="208" w:name="_Toc184310304"/>
      <w:bookmarkEnd w:id="208"/>
      <w:bookmarkStart w:id="209" w:name="_Toc184313308"/>
      <w:bookmarkEnd w:id="209"/>
      <w:bookmarkStart w:id="210" w:name="_Toc184310337"/>
      <w:bookmarkEnd w:id="210"/>
      <w:bookmarkStart w:id="211" w:name="_Toc184314459"/>
      <w:bookmarkEnd w:id="211"/>
      <w:bookmarkStart w:id="212" w:name="_Toc184313255"/>
      <w:bookmarkEnd w:id="212"/>
      <w:bookmarkStart w:id="213" w:name="_Toc184308052"/>
      <w:bookmarkEnd w:id="213"/>
      <w:bookmarkStart w:id="214" w:name="_Toc184312079"/>
      <w:bookmarkEnd w:id="214"/>
      <w:bookmarkStart w:id="215" w:name="_Toc184314423"/>
      <w:bookmarkEnd w:id="215"/>
      <w:bookmarkStart w:id="216" w:name="_Toc184308053"/>
      <w:bookmarkEnd w:id="216"/>
      <w:bookmarkStart w:id="217" w:name="_Toc184310280"/>
      <w:bookmarkEnd w:id="217"/>
      <w:bookmarkStart w:id="218" w:name="_Toc184308067"/>
      <w:bookmarkEnd w:id="218"/>
      <w:bookmarkStart w:id="219" w:name="_Toc184310296"/>
      <w:bookmarkEnd w:id="219"/>
      <w:bookmarkStart w:id="220" w:name="_Toc184308071"/>
      <w:bookmarkEnd w:id="220"/>
      <w:bookmarkStart w:id="221" w:name="_Toc184312076"/>
      <w:bookmarkEnd w:id="221"/>
      <w:bookmarkStart w:id="222" w:name="_Toc184313241"/>
      <w:bookmarkEnd w:id="222"/>
      <w:bookmarkStart w:id="223" w:name="_Toc184312069"/>
      <w:bookmarkEnd w:id="223"/>
      <w:bookmarkStart w:id="224" w:name="_Toc184310278"/>
      <w:bookmarkEnd w:id="224"/>
      <w:bookmarkStart w:id="225" w:name="_Toc184313244"/>
      <w:bookmarkEnd w:id="225"/>
      <w:bookmarkStart w:id="226" w:name="_Toc184313272"/>
      <w:bookmarkEnd w:id="226"/>
      <w:bookmarkStart w:id="227" w:name="_Toc184314458"/>
      <w:bookmarkEnd w:id="227"/>
      <w:bookmarkStart w:id="228" w:name="_Toc184312071"/>
      <w:bookmarkEnd w:id="228"/>
      <w:bookmarkStart w:id="229" w:name="_Toc184314467"/>
      <w:bookmarkEnd w:id="229"/>
      <w:bookmarkStart w:id="230" w:name="_Toc184308069"/>
      <w:bookmarkEnd w:id="230"/>
      <w:bookmarkStart w:id="231" w:name="_Toc184308070"/>
      <w:bookmarkEnd w:id="231"/>
      <w:bookmarkStart w:id="232" w:name="_Toc184308072"/>
      <w:bookmarkEnd w:id="232"/>
      <w:bookmarkStart w:id="233" w:name="_Toc184310285"/>
      <w:bookmarkEnd w:id="233"/>
      <w:bookmarkStart w:id="234" w:name="_Toc184314433"/>
      <w:bookmarkEnd w:id="234"/>
      <w:bookmarkStart w:id="235" w:name="_Toc184312138"/>
      <w:bookmarkEnd w:id="235"/>
      <w:bookmarkStart w:id="236" w:name="_Toc184314417"/>
      <w:bookmarkEnd w:id="236"/>
      <w:bookmarkStart w:id="237" w:name="_Toc184308099"/>
      <w:bookmarkEnd w:id="237"/>
      <w:bookmarkStart w:id="238" w:name="_Toc184314477"/>
      <w:bookmarkEnd w:id="238"/>
      <w:bookmarkStart w:id="239" w:name="_Toc184313284"/>
      <w:bookmarkEnd w:id="239"/>
      <w:bookmarkStart w:id="240" w:name="_Toc184312086"/>
      <w:bookmarkEnd w:id="240"/>
      <w:bookmarkStart w:id="241" w:name="_Toc184310289"/>
      <w:bookmarkEnd w:id="241"/>
      <w:bookmarkStart w:id="242" w:name="_Toc184314464"/>
      <w:bookmarkEnd w:id="242"/>
      <w:bookmarkStart w:id="243" w:name="_Toc184310319"/>
      <w:bookmarkEnd w:id="243"/>
      <w:bookmarkStart w:id="244" w:name="_Toc184312101"/>
      <w:bookmarkEnd w:id="244"/>
      <w:bookmarkStart w:id="245" w:name="_Toc184313266"/>
      <w:bookmarkEnd w:id="245"/>
      <w:bookmarkStart w:id="246" w:name="_Toc184314462"/>
      <w:bookmarkEnd w:id="246"/>
      <w:bookmarkStart w:id="247" w:name="_Toc184314424"/>
      <w:bookmarkEnd w:id="247"/>
      <w:bookmarkStart w:id="248" w:name="_Toc184310306"/>
      <w:bookmarkEnd w:id="248"/>
      <w:bookmarkStart w:id="249" w:name="_Toc184313248"/>
      <w:bookmarkEnd w:id="249"/>
      <w:bookmarkStart w:id="250" w:name="_Toc184308108"/>
      <w:bookmarkEnd w:id="250"/>
      <w:bookmarkStart w:id="251" w:name="_Toc184310316"/>
      <w:bookmarkEnd w:id="251"/>
      <w:bookmarkStart w:id="252" w:name="_Toc184313289"/>
      <w:bookmarkEnd w:id="252"/>
      <w:bookmarkStart w:id="253" w:name="_Toc184308097"/>
      <w:bookmarkEnd w:id="253"/>
      <w:bookmarkStart w:id="254" w:name="_Toc184312124"/>
      <w:bookmarkEnd w:id="254"/>
      <w:bookmarkStart w:id="255" w:name="_Toc184313302"/>
      <w:bookmarkEnd w:id="255"/>
      <w:bookmarkStart w:id="256" w:name="_Toc184310326"/>
      <w:bookmarkEnd w:id="256"/>
      <w:bookmarkStart w:id="257" w:name="_Toc184314480"/>
      <w:bookmarkEnd w:id="257"/>
      <w:bookmarkStart w:id="258" w:name="_Toc184314429"/>
      <w:bookmarkEnd w:id="258"/>
      <w:bookmarkStart w:id="259" w:name="_Toc184312132"/>
      <w:bookmarkEnd w:id="259"/>
      <w:bookmarkStart w:id="260" w:name="_Toc184308061"/>
      <w:bookmarkEnd w:id="260"/>
      <w:bookmarkStart w:id="261" w:name="_Toc184313267"/>
      <w:bookmarkEnd w:id="261"/>
      <w:bookmarkStart w:id="262" w:name="_Toc184313270"/>
      <w:bookmarkEnd w:id="262"/>
      <w:bookmarkStart w:id="263" w:name="_Toc184310327"/>
      <w:bookmarkEnd w:id="263"/>
      <w:bookmarkStart w:id="264" w:name="_Toc184314474"/>
      <w:bookmarkEnd w:id="264"/>
      <w:bookmarkStart w:id="265" w:name="_Toc184314475"/>
      <w:bookmarkEnd w:id="265"/>
      <w:bookmarkStart w:id="266" w:name="_Toc184314452"/>
      <w:bookmarkEnd w:id="266"/>
      <w:bookmarkStart w:id="267" w:name="_Toc184308095"/>
      <w:bookmarkEnd w:id="267"/>
      <w:bookmarkStart w:id="268" w:name="_Toc184308082"/>
      <w:bookmarkEnd w:id="268"/>
      <w:bookmarkStart w:id="269" w:name="_Toc184312096"/>
      <w:bookmarkEnd w:id="269"/>
      <w:bookmarkStart w:id="270" w:name="_Toc184313291"/>
      <w:bookmarkEnd w:id="270"/>
      <w:bookmarkStart w:id="271" w:name="_Toc184308076"/>
      <w:bookmarkEnd w:id="271"/>
      <w:bookmarkStart w:id="272" w:name="_Toc184313240"/>
      <w:bookmarkEnd w:id="272"/>
      <w:bookmarkStart w:id="273" w:name="_Toc184312090"/>
      <w:bookmarkEnd w:id="273"/>
      <w:bookmarkStart w:id="274" w:name="_Toc184313251"/>
      <w:bookmarkEnd w:id="274"/>
      <w:bookmarkStart w:id="275" w:name="_Toc184314476"/>
      <w:bookmarkEnd w:id="275"/>
      <w:bookmarkStart w:id="276" w:name="_Toc184310322"/>
      <w:bookmarkEnd w:id="276"/>
      <w:bookmarkStart w:id="277" w:name="_Toc184308048"/>
      <w:bookmarkEnd w:id="277"/>
      <w:bookmarkStart w:id="278" w:name="_Toc184314451"/>
      <w:bookmarkEnd w:id="278"/>
      <w:bookmarkStart w:id="279" w:name="_Toc184308106"/>
      <w:bookmarkEnd w:id="279"/>
      <w:bookmarkStart w:id="280" w:name="_Toc184312082"/>
      <w:bookmarkEnd w:id="280"/>
      <w:bookmarkStart w:id="281" w:name="_Toc184310335"/>
      <w:bookmarkEnd w:id="281"/>
      <w:bookmarkStart w:id="282" w:name="_Toc184310295"/>
      <w:bookmarkEnd w:id="282"/>
      <w:bookmarkStart w:id="283" w:name="_Toc184314440"/>
      <w:bookmarkEnd w:id="283"/>
      <w:bookmarkStart w:id="284" w:name="_Toc184314460"/>
      <w:bookmarkEnd w:id="284"/>
      <w:bookmarkStart w:id="285" w:name="_Toc184308057"/>
      <w:bookmarkEnd w:id="285"/>
      <w:bookmarkStart w:id="286" w:name="_Toc184310311"/>
      <w:bookmarkEnd w:id="286"/>
      <w:bookmarkStart w:id="287" w:name="_Toc184308063"/>
      <w:bookmarkEnd w:id="287"/>
      <w:bookmarkStart w:id="288" w:name="_Toc184308085"/>
      <w:bookmarkEnd w:id="288"/>
      <w:bookmarkStart w:id="289" w:name="_Toc184313277"/>
      <w:bookmarkEnd w:id="289"/>
      <w:bookmarkStart w:id="290" w:name="_Toc184310293"/>
      <w:bookmarkEnd w:id="290"/>
      <w:bookmarkStart w:id="291" w:name="_Toc184312088"/>
      <w:bookmarkEnd w:id="291"/>
      <w:bookmarkStart w:id="292" w:name="_Toc184312112"/>
      <w:bookmarkEnd w:id="292"/>
      <w:bookmarkStart w:id="293" w:name="_Toc184313290"/>
      <w:bookmarkEnd w:id="293"/>
      <w:bookmarkStart w:id="294" w:name="_Toc184312114"/>
      <w:bookmarkEnd w:id="294"/>
      <w:bookmarkStart w:id="295" w:name="_Toc184310312"/>
      <w:bookmarkEnd w:id="295"/>
      <w:bookmarkStart w:id="296" w:name="_Toc184308090"/>
      <w:bookmarkEnd w:id="296"/>
      <w:bookmarkStart w:id="297" w:name="_Toc184308049"/>
      <w:bookmarkEnd w:id="297"/>
      <w:bookmarkStart w:id="298" w:name="_Toc184310274"/>
      <w:bookmarkEnd w:id="298"/>
      <w:bookmarkStart w:id="299" w:name="_Toc184313304"/>
      <w:bookmarkEnd w:id="299"/>
      <w:bookmarkStart w:id="300" w:name="_Toc184308066"/>
      <w:bookmarkEnd w:id="300"/>
      <w:bookmarkStart w:id="301" w:name="_Toc184310298"/>
      <w:bookmarkEnd w:id="301"/>
      <w:bookmarkStart w:id="302" w:name="_Toc184308092"/>
      <w:bookmarkEnd w:id="302"/>
      <w:bookmarkStart w:id="303" w:name="_Toc184314446"/>
      <w:bookmarkEnd w:id="303"/>
      <w:bookmarkStart w:id="304" w:name="_Toc184313273"/>
      <w:bookmarkEnd w:id="304"/>
      <w:bookmarkStart w:id="305" w:name="_Toc184310343"/>
      <w:bookmarkEnd w:id="305"/>
      <w:bookmarkStart w:id="306" w:name="_Toc184314481"/>
      <w:bookmarkEnd w:id="306"/>
      <w:bookmarkStart w:id="307" w:name="_Toc184314418"/>
      <w:bookmarkEnd w:id="307"/>
      <w:bookmarkStart w:id="308" w:name="_Toc184310286"/>
      <w:bookmarkEnd w:id="308"/>
      <w:bookmarkStart w:id="309" w:name="_Toc184308055"/>
      <w:bookmarkEnd w:id="309"/>
      <w:bookmarkStart w:id="310" w:name="_Toc184312068"/>
      <w:bookmarkEnd w:id="310"/>
      <w:bookmarkStart w:id="311" w:name="_Toc184308056"/>
      <w:bookmarkEnd w:id="311"/>
      <w:bookmarkStart w:id="312" w:name="_Toc184312085"/>
      <w:bookmarkEnd w:id="312"/>
      <w:bookmarkStart w:id="313" w:name="_Toc184308075"/>
      <w:bookmarkEnd w:id="313"/>
      <w:bookmarkStart w:id="314" w:name="_Toc184312136"/>
      <w:bookmarkEnd w:id="314"/>
      <w:bookmarkStart w:id="315" w:name="_Toc184314416"/>
      <w:bookmarkEnd w:id="315"/>
      <w:bookmarkStart w:id="316" w:name="_Toc184310277"/>
      <w:bookmarkEnd w:id="316"/>
      <w:bookmarkStart w:id="317" w:name="_Toc184314436"/>
      <w:bookmarkEnd w:id="317"/>
      <w:bookmarkStart w:id="318" w:name="_Toc184308074"/>
      <w:bookmarkEnd w:id="318"/>
      <w:bookmarkStart w:id="319" w:name="_Toc184310276"/>
      <w:bookmarkEnd w:id="319"/>
      <w:bookmarkStart w:id="320" w:name="_Toc184313262"/>
      <w:bookmarkEnd w:id="320"/>
      <w:bookmarkStart w:id="321" w:name="_Toc184310297"/>
      <w:bookmarkEnd w:id="321"/>
      <w:bookmarkStart w:id="322" w:name="_Toc184313265"/>
      <w:bookmarkEnd w:id="322"/>
      <w:bookmarkStart w:id="323" w:name="_Toc184312089"/>
      <w:bookmarkEnd w:id="323"/>
      <w:bookmarkStart w:id="324" w:name="_Toc184310324"/>
      <w:bookmarkEnd w:id="324"/>
      <w:bookmarkStart w:id="325" w:name="_Toc184312078"/>
      <w:bookmarkEnd w:id="325"/>
      <w:bookmarkStart w:id="326" w:name="_Toc184312073"/>
      <w:bookmarkEnd w:id="326"/>
      <w:bookmarkStart w:id="327" w:name="_Toc184312083"/>
      <w:bookmarkEnd w:id="327"/>
      <w:bookmarkStart w:id="328" w:name="_Toc184308068"/>
      <w:bookmarkEnd w:id="328"/>
      <w:bookmarkStart w:id="329" w:name="_Toc184313283"/>
      <w:bookmarkEnd w:id="329"/>
      <w:bookmarkStart w:id="330" w:name="_Toc184313306"/>
      <w:bookmarkEnd w:id="330"/>
      <w:bookmarkStart w:id="331" w:name="_Toc184310338"/>
      <w:bookmarkEnd w:id="331"/>
      <w:bookmarkStart w:id="332" w:name="_Toc184314430"/>
      <w:bookmarkEnd w:id="332"/>
      <w:bookmarkStart w:id="333" w:name="_Toc184308077"/>
      <w:bookmarkEnd w:id="333"/>
      <w:bookmarkStart w:id="334" w:name="_Toc184314442"/>
      <w:bookmarkEnd w:id="334"/>
      <w:bookmarkStart w:id="335" w:name="_Toc184314422"/>
      <w:bookmarkEnd w:id="335"/>
      <w:bookmarkStart w:id="336" w:name="_Toc184314419"/>
      <w:bookmarkEnd w:id="336"/>
      <w:bookmarkStart w:id="337" w:name="_Toc184314445"/>
      <w:bookmarkEnd w:id="337"/>
      <w:bookmarkStart w:id="338" w:name="_Toc184314455"/>
      <w:bookmarkEnd w:id="338"/>
      <w:bookmarkStart w:id="339" w:name="_Toc184308079"/>
      <w:bookmarkEnd w:id="339"/>
      <w:bookmarkStart w:id="340" w:name="_Toc184308064"/>
      <w:bookmarkEnd w:id="340"/>
      <w:bookmarkStart w:id="341" w:name="_Toc184313280"/>
      <w:bookmarkEnd w:id="341"/>
      <w:bookmarkStart w:id="342" w:name="_Toc184312118"/>
      <w:bookmarkEnd w:id="342"/>
      <w:bookmarkStart w:id="343" w:name="_Toc184308054"/>
      <w:bookmarkEnd w:id="343"/>
      <w:bookmarkStart w:id="344" w:name="_Toc184314410"/>
      <w:bookmarkEnd w:id="344"/>
      <w:bookmarkStart w:id="345" w:name="_Toc184310300"/>
      <w:bookmarkEnd w:id="345"/>
      <w:bookmarkStart w:id="346" w:name="_Toc184308088"/>
      <w:bookmarkEnd w:id="346"/>
      <w:bookmarkStart w:id="347" w:name="_Toc184312099"/>
      <w:bookmarkEnd w:id="347"/>
      <w:bookmarkStart w:id="348" w:name="_Toc184312093"/>
      <w:bookmarkEnd w:id="348"/>
      <w:bookmarkStart w:id="349" w:name="_Toc184310309"/>
      <w:bookmarkEnd w:id="349"/>
      <w:bookmarkStart w:id="350" w:name="_Toc184312115"/>
      <w:bookmarkEnd w:id="350"/>
      <w:bookmarkStart w:id="351" w:name="_Toc184313269"/>
      <w:bookmarkEnd w:id="351"/>
      <w:bookmarkStart w:id="352" w:name="_Toc184314468"/>
      <w:bookmarkEnd w:id="352"/>
      <w:bookmarkStart w:id="353" w:name="_Toc184313310"/>
      <w:bookmarkEnd w:id="353"/>
      <w:bookmarkStart w:id="354" w:name="_Toc184312135"/>
      <w:bookmarkEnd w:id="354"/>
      <w:bookmarkStart w:id="355" w:name="_Toc184308081"/>
      <w:bookmarkEnd w:id="355"/>
      <w:bookmarkStart w:id="356" w:name="_Toc184308065"/>
      <w:bookmarkEnd w:id="356"/>
      <w:bookmarkStart w:id="357" w:name="_Toc184312070"/>
      <w:bookmarkEnd w:id="357"/>
      <w:bookmarkStart w:id="358" w:name="_Toc184310342"/>
      <w:bookmarkEnd w:id="358"/>
      <w:bookmarkStart w:id="359" w:name="_Toc184314415"/>
      <w:bookmarkEnd w:id="359"/>
      <w:bookmarkStart w:id="360" w:name="_Toc184312106"/>
      <w:bookmarkEnd w:id="360"/>
      <w:bookmarkStart w:id="361" w:name="_Toc184312081"/>
      <w:bookmarkEnd w:id="361"/>
      <w:bookmarkStart w:id="362" w:name="_Toc184313301"/>
      <w:bookmarkEnd w:id="362"/>
      <w:bookmarkStart w:id="363" w:name="_Toc184310310"/>
      <w:bookmarkEnd w:id="363"/>
      <w:bookmarkStart w:id="364" w:name="_Toc184312122"/>
      <w:bookmarkEnd w:id="364"/>
      <w:bookmarkStart w:id="365" w:name="_Toc184313287"/>
      <w:bookmarkEnd w:id="365"/>
      <w:bookmarkStart w:id="366" w:name="_Toc184308062"/>
      <w:bookmarkEnd w:id="366"/>
      <w:bookmarkStart w:id="367" w:name="_Toc184308041"/>
      <w:bookmarkEnd w:id="367"/>
      <w:bookmarkStart w:id="368" w:name="_Toc184313303"/>
      <w:bookmarkEnd w:id="368"/>
      <w:bookmarkStart w:id="369" w:name="_Toc184310318"/>
      <w:bookmarkEnd w:id="369"/>
      <w:bookmarkStart w:id="370" w:name="_Toc184312104"/>
      <w:bookmarkEnd w:id="370"/>
      <w:bookmarkStart w:id="371" w:name="_Toc184314456"/>
      <w:bookmarkEnd w:id="371"/>
      <w:bookmarkStart w:id="372" w:name="_Toc184310283"/>
      <w:bookmarkEnd w:id="372"/>
      <w:bookmarkStart w:id="373" w:name="_Toc184310313"/>
      <w:bookmarkEnd w:id="373"/>
      <w:bookmarkStart w:id="374" w:name="_Toc184310321"/>
      <w:bookmarkEnd w:id="374"/>
      <w:bookmarkStart w:id="375" w:name="_Toc184314450"/>
      <w:bookmarkEnd w:id="375"/>
      <w:bookmarkStart w:id="376" w:name="_Toc184308086"/>
      <w:bookmarkEnd w:id="376"/>
      <w:bookmarkStart w:id="377" w:name="_Toc184312095"/>
      <w:bookmarkEnd w:id="377"/>
      <w:bookmarkStart w:id="378" w:name="_Toc184313282"/>
      <w:bookmarkEnd w:id="378"/>
      <w:bookmarkStart w:id="379" w:name="_Toc184313258"/>
      <w:bookmarkEnd w:id="379"/>
      <w:bookmarkStart w:id="380" w:name="_Toc184312110"/>
      <w:bookmarkEnd w:id="380"/>
      <w:bookmarkStart w:id="381" w:name="_Toc184313249"/>
      <w:bookmarkEnd w:id="381"/>
      <w:bookmarkStart w:id="382" w:name="_Toc184313271"/>
      <w:bookmarkEnd w:id="382"/>
      <w:bookmarkStart w:id="383" w:name="_Toc184308104"/>
      <w:bookmarkEnd w:id="383"/>
      <w:bookmarkStart w:id="384" w:name="_Toc184310279"/>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2025年-2026年医废清洗线水泵及配件采购项目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cs="宋体"/>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2025年-2026年医废清洗线水泵及配件采购项目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bookmarkStart w:id="518" w:name="_GoBack"/>
      <w:bookmarkEnd w:id="518"/>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w:t>
      </w:r>
      <w:r>
        <w:rPr>
          <w:rFonts w:hint="eastAsia" w:ascii="宋体" w:hAnsi="宋体"/>
          <w:sz w:val="24"/>
          <w:highlight w:val="none"/>
          <w:lang w:val="en-US" w:eastAsia="zh-CN"/>
        </w:rPr>
        <w:t>三固运行中心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297"/>
        <w:gridCol w:w="1169"/>
        <w:gridCol w:w="3780"/>
        <w:gridCol w:w="686"/>
        <w:gridCol w:w="678"/>
        <w:gridCol w:w="678"/>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trike/>
                <w:dstrike w:val="0"/>
                <w:color w:val="FF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6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7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r>
        <w:rPr>
          <w:rFonts w:hint="eastAsia" w:ascii="宋体" w:hAnsi="宋体" w:cs="宋体"/>
          <w:sz w:val="24"/>
          <w:highlight w:val="none"/>
          <w:u w:val="single"/>
          <w:lang w:val="en-US" w:eastAsia="zh-CN"/>
        </w:rPr>
        <w:t>。</w:t>
      </w:r>
    </w:p>
    <w:p>
      <w:pPr>
        <w:pStyle w:val="26"/>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☑自合同签订后12个月</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按订单下达时间为准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eastAsiaTheme="minorEastAsia"/>
          <w:color w:val="auto"/>
          <w:highlight w:val="none"/>
          <w:lang w:eastAsia="zh-CN"/>
        </w:rPr>
      </w:pPr>
      <w:bookmarkStart w:id="394" w:name="_Toc14563"/>
      <w:bookmarkStart w:id="395" w:name="_Toc6596"/>
      <w:bookmarkStart w:id="396"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3.乙方提供的其他配件须与现场设备配套；若乙方提供的配件型号和尺寸与现场设备不相符，乙方须无条件免费更换，直至匹配现场原设备为止。</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离心泵、立式水泵的质保期限自验收合格后12个月，其他货物质保期为自验收合格后3个月</w:t>
      </w:r>
      <w:r>
        <w:rPr>
          <w:rFonts w:hint="eastAsia" w:ascii="宋体"/>
          <w:color w:val="auto"/>
          <w:highlight w:val="none"/>
          <w:lang w:val="en-US" w:eastAsia="zh-CN"/>
        </w:rPr>
        <w:t>。若质保期内出现质量问题（非质量问题除外），由乙方负责免费维修或维修，产生的费用全部由乙方承担，质保期重新计算。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w:t>
      </w:r>
      <w:r>
        <w:rPr>
          <w:rFonts w:hint="eastAsia" w:ascii="宋体" w:hAnsi="宋体" w:eastAsia="宋体" w:cs="宋体"/>
          <w:sz w:val="24"/>
          <w:lang w:val="en-US" w:eastAsia="zh-CN"/>
        </w:rPr>
        <w:t>等</w:t>
      </w:r>
      <w:r>
        <w:rPr>
          <w:rFonts w:hint="eastAsia" w:ascii="宋体" w:hAnsi="宋体" w:eastAsia="宋体" w:cs="宋体"/>
          <w:sz w:val="24"/>
        </w:rPr>
        <w:t>证明材料。</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最后一批货物质保期满无任何质量问题</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w:t>
      </w:r>
      <w:r>
        <w:rPr>
          <w:rFonts w:hint="eastAsia"/>
          <w:highlight w:val="none"/>
        </w:rPr>
        <w:t>本合同</w:t>
      </w:r>
      <w:r>
        <w:rPr>
          <w:rFonts w:hint="eastAsia"/>
          <w:highlight w:val="none"/>
          <w:lang w:val="en-US" w:eastAsia="zh-CN"/>
        </w:rPr>
        <w:t>质保期限：</w:t>
      </w:r>
      <w:r>
        <w:rPr>
          <w:rFonts w:hint="eastAsia"/>
          <w:color w:val="auto"/>
          <w:highlight w:val="none"/>
          <w:u w:val="single"/>
          <w:lang w:val="en-US" w:eastAsia="zh-CN"/>
        </w:rPr>
        <w:t>离心泵、立式水泵的质保期限自验收合格后12个月，其他货物质保期为自验收合格后3个月</w:t>
      </w:r>
      <w:r>
        <w:rPr>
          <w:rFonts w:hint="eastAsia"/>
          <w:color w:val="auto"/>
          <w:highlight w:val="non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7"/>
    <w:bookmarkEnd w:id="398"/>
    <w:bookmarkEnd w:id="399"/>
    <w:p>
      <w:pPr>
        <w:pStyle w:val="26"/>
        <w:spacing w:before="0" w:beforeAutospacing="0" w:after="0" w:afterAutospacing="0" w:line="360" w:lineRule="auto"/>
        <w:ind w:firstLine="480"/>
        <w:rPr>
          <w:rFonts w:hint="eastAsia"/>
          <w:u w:val="single"/>
        </w:rPr>
      </w:pPr>
      <w:bookmarkStart w:id="400" w:name="_Toc19554"/>
      <w:bookmarkStart w:id="401" w:name="_Toc21423"/>
      <w:bookmarkStart w:id="402" w:name="_Toc27250"/>
      <w:r>
        <w:rPr>
          <w:rFonts w:hint="eastAsia"/>
          <w:u w:val="single"/>
        </w:rPr>
        <w:t>（</w:t>
      </w:r>
      <w:r>
        <w:rPr>
          <w:rFonts w:hint="eastAsia"/>
          <w:u w:val="single"/>
          <w:lang w:val="en-US" w:eastAsia="zh-CN"/>
        </w:rPr>
        <w:t>1）</w:t>
      </w:r>
      <w:r>
        <w:rPr>
          <w:rFonts w:hint="eastAsia"/>
          <w:u w:val="single"/>
        </w:rPr>
        <w:t>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医废清洗线维修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15583"/>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1173"/>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rPr>
          <w:rFonts w:hint="eastAsia"/>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5"/>
        <w:ind w:left="0" w:leftChars="0" w:firstLine="0" w:firstLineChars="0"/>
        <w:jc w:val="both"/>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109"/>
      <w:bookmarkStart w:id="410" w:name="_Toc16917"/>
      <w:bookmarkStart w:id="411" w:name="_Ref467378404"/>
      <w:bookmarkStart w:id="412" w:name="_Ref467379195"/>
      <w:bookmarkStart w:id="413" w:name="_Toc487900349"/>
      <w:bookmarkStart w:id="414" w:name="_Ref467378463"/>
      <w:bookmarkStart w:id="415" w:name="_Ref467379225"/>
      <w:bookmarkStart w:id="416" w:name="_Ref467378499"/>
      <w:bookmarkStart w:id="417" w:name="_Ref467379214"/>
      <w:bookmarkStart w:id="418" w:name="_Toc279701240"/>
      <w:bookmarkStart w:id="419" w:name="_Ref467379205"/>
      <w:bookmarkStart w:id="420" w:name="_Toc19614"/>
      <w:bookmarkStart w:id="421" w:name="_Toc259093669"/>
      <w:bookmarkStart w:id="422" w:name="_Ref467379101"/>
      <w:bookmarkStart w:id="423" w:name="_Toc28763"/>
      <w:bookmarkStart w:id="424" w:name="_Ref46737909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cs="宋体"/>
          <w:sz w:val="24"/>
          <w:lang w:eastAsia="zh-CN"/>
        </w:rPr>
      </w:pPr>
      <w:bookmarkStart w:id="426" w:name="_Ref467379400"/>
      <w:r>
        <w:rPr>
          <w:rFonts w:hint="eastAsia" w:ascii="宋体" w:hAnsi="宋体" w:cs="宋体"/>
          <w:sz w:val="24"/>
        </w:rPr>
        <w:t>5.“乙方”系指根据合同约定交付货物的中标或成交供应商</w:t>
      </w:r>
      <w:bookmarkEnd w:id="426"/>
      <w:bookmarkStart w:id="427" w:name="_Ref467379436"/>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59093670"/>
      <w:bookmarkStart w:id="429" w:name="_Toc32504"/>
      <w:bookmarkStart w:id="430" w:name="_Toc487900350"/>
      <w:bookmarkStart w:id="431" w:name="_Toc13336"/>
      <w:bookmarkStart w:id="432" w:name="_Toc27635"/>
      <w:bookmarkStart w:id="433" w:name="_Toc279701241"/>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487900351"/>
      <w:bookmarkStart w:id="435" w:name="_Toc9829"/>
      <w:bookmarkStart w:id="436" w:name="_Toc31634"/>
      <w:bookmarkStart w:id="437" w:name="_Toc27853"/>
      <w:bookmarkStart w:id="438" w:name="_Toc279701242"/>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79701247"/>
      <w:bookmarkStart w:id="448" w:name="_Toc259093676"/>
      <w:bookmarkStart w:id="449" w:name="_Ref467379807"/>
      <w:bookmarkStart w:id="450" w:name="_Toc48790035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79701248"/>
      <w:bookmarkStart w:id="454" w:name="_Ref467379863"/>
      <w:bookmarkStart w:id="455" w:name="_Toc259093677"/>
      <w:bookmarkStart w:id="456" w:name="_Toc487900358"/>
      <w:bookmarkStart w:id="457" w:name="_Ref467379923"/>
      <w:bookmarkStart w:id="458" w:name="_Ref467379852"/>
      <w:bookmarkStart w:id="459" w:name="_Toc3225"/>
      <w:bookmarkStart w:id="460" w:name="_Toc16110"/>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487900364"/>
      <w:bookmarkStart w:id="471" w:name="_Toc279701254"/>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w:t>
      </w:r>
      <w:r>
        <w:rPr>
          <w:rFonts w:hint="eastAsia" w:ascii="宋体" w:hAnsi="宋体" w:cs="宋体"/>
          <w:sz w:val="24"/>
          <w:lang w:val="en-US" w:eastAsia="zh-CN"/>
        </w:rPr>
        <w:t>和</w:t>
      </w:r>
      <w:r>
        <w:rPr>
          <w:rFonts w:hint="eastAsia" w:ascii="宋体" w:hAnsi="宋体" w:cs="宋体"/>
          <w:sz w:val="24"/>
        </w:rPr>
        <w:t>义务不得转让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30676"/>
      <w:bookmarkStart w:id="484" w:name="_Toc259093684"/>
      <w:bookmarkStart w:id="485" w:name="_Toc487900365"/>
      <w:bookmarkStart w:id="486" w:name="_Toc6969"/>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259093687"/>
      <w:bookmarkStart w:id="490" w:name="_Toc16959"/>
      <w:bookmarkStart w:id="491" w:name="_Toc279701258"/>
      <w:bookmarkStart w:id="492" w:name="_Toc487900368"/>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15387"/>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487900371"/>
      <w:bookmarkStart w:id="499" w:name="_Toc259093690"/>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79701262"/>
      <w:bookmarkStart w:id="506" w:name="_Toc4355"/>
      <w:bookmarkStart w:id="507" w:name="_Toc487900372"/>
      <w:bookmarkStart w:id="508" w:name="_Toc30599"/>
      <w:bookmarkStart w:id="509" w:name="_Toc259093691"/>
      <w:bookmarkStart w:id="510"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259093692"/>
      <w:bookmarkStart w:id="513" w:name="_Toc18567"/>
      <w:bookmarkStart w:id="514" w:name="_Toc279701263"/>
      <w:bookmarkStart w:id="515" w:name="_Toc12773"/>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第三章</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6"/>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2025年-2026年医废清洗线水泵及配件采购项目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202511030</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
    <w:p/>
    <w:p/>
    <w:p>
      <w:pPr>
        <w:pStyle w:val="7"/>
      </w:pPr>
    </w:p>
    <w:p>
      <w:pPr>
        <w:pStyle w:val="8"/>
      </w:pPr>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ind w:firstLine="480" w:firstLineChars="200"/>
              <w:rPr>
                <w:rFonts w:cs="仿宋" w:asciiTheme="minorEastAsia" w:hAnsiTheme="minorEastAsia" w:eastAsiaTheme="minorEastAsia"/>
                <w:bCs/>
                <w:color w:val="auto"/>
                <w:sz w:val="24"/>
              </w:rPr>
            </w:pPr>
          </w:p>
        </w:tc>
      </w:tr>
    </w:tbl>
    <w:p>
      <w:pPr>
        <w:rPr>
          <w:color w:val="auto"/>
        </w:rPr>
      </w:pPr>
    </w:p>
    <w:p>
      <w:pPr>
        <w:pStyle w:val="7"/>
        <w:rPr>
          <w:color w:val="auto"/>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2025年-2026年医废清洗线水泵及配件采购项目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zh-CN" w:eastAsia="zh-CN"/>
        </w:rPr>
      </w:pPr>
      <w:r>
        <w:rPr>
          <w:rFonts w:hint="eastAsia" w:cs="仿宋" w:asciiTheme="minorEastAsia" w:hAnsiTheme="minorEastAsia"/>
          <w:b/>
          <w:kern w:val="0"/>
          <w:sz w:val="24"/>
          <w:lang w:val="zh-CN"/>
        </w:rPr>
        <w:t>响应报价明细表（单位均为人民币元）</w:t>
      </w:r>
    </w:p>
    <w:tbl>
      <w:tblPr>
        <w:tblStyle w:val="17"/>
        <w:tblW w:w="140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26"/>
        <w:gridCol w:w="2563"/>
        <w:gridCol w:w="4593"/>
        <w:gridCol w:w="764"/>
        <w:gridCol w:w="960"/>
        <w:gridCol w:w="1200"/>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物资名称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品牌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规格型号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color w:val="auto"/>
                <w:kern w:val="2"/>
                <w:lang w:val="en-US" w:eastAsia="zh-CN"/>
              </w:rPr>
            </w:pPr>
            <w:r>
              <w:rPr>
                <w:rFonts w:hint="eastAsia" w:ascii="宋体" w:hAnsi="宋体" w:eastAsia="宋体" w:cs="宋体"/>
                <w:b/>
                <w:bCs/>
                <w:snapToGrid/>
                <w:color w:val="auto"/>
                <w:kern w:val="2"/>
                <w:lang w:val="en-US" w:eastAsia="zh-CN"/>
              </w:rPr>
              <w:t>含税单价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color w:val="auto"/>
                <w:kern w:val="2"/>
                <w:lang w:val="en-US" w:eastAsia="zh-CN"/>
              </w:rPr>
            </w:pPr>
            <w:r>
              <w:rPr>
                <w:rFonts w:hint="eastAsia" w:ascii="宋体" w:hAnsi="宋体" w:eastAsia="宋体" w:cs="宋体"/>
                <w:b/>
                <w:bCs/>
                <w:snapToGrid/>
                <w:color w:val="auto"/>
                <w:kern w:val="2"/>
                <w:lang w:val="en-US" w:eastAsia="zh-CN"/>
              </w:rPr>
              <w:t>含税总金额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00" w:firstLineChars="200"/>
              <w:jc w:val="center"/>
              <w:textAlignment w:val="auto"/>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00" w:firstLineChars="200"/>
              <w:jc w:val="center"/>
              <w:textAlignment w:val="auto"/>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4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ind w:firstLine="482" w:firstLineChars="200"/>
              <w:jc w:val="center"/>
              <w:textAlignment w:val="auto"/>
              <w:rPr>
                <w:rFonts w:hint="eastAsia" w:ascii="宋体" w:hAnsi="宋体" w:eastAsia="宋体" w:cs="宋体"/>
                <w:snapToGrid w:val="0"/>
                <w:kern w:val="2"/>
                <w:sz w:val="21"/>
                <w:szCs w:val="21"/>
                <w:u w:val="single"/>
                <w:lang w:val="en-US" w:eastAsia="zh-CN" w:bidi="ar-SA"/>
              </w:rPr>
            </w:pPr>
            <w:r>
              <w:rPr>
                <w:rFonts w:hint="eastAsia" w:cs="仿宋" w:asciiTheme="minorEastAsia" w:hAnsiTheme="minorEastAsia"/>
                <w:b/>
                <w:sz w:val="24"/>
                <w:lang w:val="en-US" w:eastAsia="zh-CN"/>
              </w:rPr>
              <w:t>不含税总金额=含税总金额/（1+税率）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pStyle w:val="10"/>
        <w:jc w:val="left"/>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6"/>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42BAF"/>
    <w:rsid w:val="15CB2DA0"/>
    <w:rsid w:val="16135A37"/>
    <w:rsid w:val="16270E74"/>
    <w:rsid w:val="166F3635"/>
    <w:rsid w:val="16806E74"/>
    <w:rsid w:val="17AF353E"/>
    <w:rsid w:val="182C2563"/>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F45D8"/>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44432C"/>
    <w:rsid w:val="4557347D"/>
    <w:rsid w:val="4559568A"/>
    <w:rsid w:val="45A47533"/>
    <w:rsid w:val="45F97EF6"/>
    <w:rsid w:val="46BC402D"/>
    <w:rsid w:val="472961BF"/>
    <w:rsid w:val="473C2213"/>
    <w:rsid w:val="475528CD"/>
    <w:rsid w:val="47B265AF"/>
    <w:rsid w:val="48EC7B2A"/>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D3E706D"/>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F2034A"/>
    <w:rsid w:val="57F31A04"/>
    <w:rsid w:val="58207565"/>
    <w:rsid w:val="58235318"/>
    <w:rsid w:val="5889510A"/>
    <w:rsid w:val="58B010B0"/>
    <w:rsid w:val="59121C77"/>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E3B389D"/>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BFD34E1"/>
    <w:rsid w:val="7C757EAB"/>
    <w:rsid w:val="7D0A41BC"/>
    <w:rsid w:val="7D0A4B32"/>
    <w:rsid w:val="7D797C2B"/>
    <w:rsid w:val="7D823D52"/>
    <w:rsid w:val="7DAC6A56"/>
    <w:rsid w:val="7DEC3DB3"/>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3936</Words>
  <Characters>4350</Characters>
  <Lines>224</Lines>
  <Paragraphs>63</Paragraphs>
  <TotalTime>7</TotalTime>
  <ScaleCrop>false</ScaleCrop>
  <LinksUpToDate>false</LinksUpToDate>
  <CharactersWithSpaces>4470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2025-11-25T07:23:40Z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