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A352">
      <w:pPr>
        <w:pStyle w:val="10"/>
        <w:jc w:val="center"/>
        <w:rPr>
          <w:rFonts w:cs="宋体" w:asciiTheme="minorEastAsia" w:hAnsiTheme="minorEastAsia"/>
          <w:color w:val="auto"/>
          <w:sz w:val="48"/>
          <w:szCs w:val="48"/>
          <w:u w:val="single"/>
        </w:rPr>
      </w:pPr>
    </w:p>
    <w:p w14:paraId="6E3D0B96">
      <w:pPr>
        <w:pStyle w:val="10"/>
        <w:jc w:val="center"/>
        <w:rPr>
          <w:rFonts w:cs="宋体" w:asciiTheme="minorEastAsia" w:hAnsiTheme="minorEastAsia"/>
          <w:color w:val="auto"/>
          <w:sz w:val="48"/>
          <w:szCs w:val="48"/>
          <w:u w:val="single"/>
        </w:rPr>
      </w:pPr>
    </w:p>
    <w:p w14:paraId="14B2E570">
      <w:pPr>
        <w:pStyle w:val="10"/>
        <w:jc w:val="center"/>
        <w:rPr>
          <w:rFonts w:cs="宋体" w:asciiTheme="minorEastAsia" w:hAnsiTheme="minorEastAsia"/>
          <w:color w:val="auto"/>
          <w:sz w:val="48"/>
          <w:szCs w:val="48"/>
          <w:u w:val="single"/>
        </w:rPr>
      </w:pPr>
    </w:p>
    <w:p w14:paraId="0B16E2D6">
      <w:pPr>
        <w:pStyle w:val="10"/>
        <w:jc w:val="center"/>
        <w:rPr>
          <w:rFonts w:cs="宋体" w:asciiTheme="minorEastAsia" w:hAnsiTheme="minorEastAsia"/>
          <w:color w:val="auto"/>
          <w:sz w:val="48"/>
          <w:szCs w:val="48"/>
          <w:u w:val="single"/>
        </w:rPr>
      </w:pPr>
    </w:p>
    <w:p w14:paraId="0677E370">
      <w:pPr>
        <w:pStyle w:val="10"/>
        <w:jc w:val="center"/>
        <w:rPr>
          <w:rFonts w:cs="宋体" w:asciiTheme="minorEastAsia" w:hAnsiTheme="minorEastAsia"/>
          <w:color w:val="auto"/>
          <w:sz w:val="48"/>
          <w:szCs w:val="48"/>
          <w:u w:val="single"/>
        </w:rPr>
      </w:pPr>
    </w:p>
    <w:p w14:paraId="6E33FF95">
      <w:pPr>
        <w:adjustRightInd w:val="0"/>
        <w:snapToGrid w:val="0"/>
        <w:spacing w:line="360" w:lineRule="auto"/>
        <w:jc w:val="center"/>
        <w:rPr>
          <w:rFonts w:hint="eastAsia" w:cs="宋体" w:asciiTheme="minorEastAsia" w:hAnsiTheme="minorEastAsia"/>
          <w:color w:val="auto"/>
          <w:sz w:val="48"/>
          <w:szCs w:val="48"/>
          <w:u w:val="single"/>
        </w:rPr>
      </w:pPr>
      <w:r>
        <w:rPr>
          <w:rFonts w:hint="eastAsia" w:cs="宋体" w:asciiTheme="minorEastAsia" w:hAnsiTheme="minorEastAsia"/>
          <w:color w:val="auto"/>
          <w:sz w:val="48"/>
          <w:szCs w:val="48"/>
          <w:u w:val="single"/>
        </w:rPr>
        <w:t>2025年三固运行中心飞灰中控大屏</w:t>
      </w:r>
    </w:p>
    <w:p w14:paraId="3CF85A33">
      <w:pPr>
        <w:adjustRightInd w:val="0"/>
        <w:snapToGrid w:val="0"/>
        <w:spacing w:line="360" w:lineRule="auto"/>
        <w:jc w:val="center"/>
        <w:rPr>
          <w:rFonts w:cs="宋体" w:asciiTheme="minorEastAsia" w:hAnsiTheme="minorEastAsia"/>
          <w:color w:val="auto"/>
          <w:sz w:val="48"/>
          <w:szCs w:val="48"/>
        </w:rPr>
      </w:pPr>
      <w:r>
        <w:rPr>
          <w:rFonts w:hint="eastAsia" w:cs="宋体" w:asciiTheme="minorEastAsia" w:hAnsiTheme="minorEastAsia"/>
          <w:color w:val="auto"/>
          <w:sz w:val="48"/>
          <w:szCs w:val="48"/>
          <w:u w:val="single"/>
        </w:rPr>
        <w:t>采购项目</w:t>
      </w:r>
    </w:p>
    <w:p w14:paraId="6D110D74">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6831C0D8">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202512013</w:t>
      </w:r>
    </w:p>
    <w:p w14:paraId="767C033A">
      <w:pPr>
        <w:spacing w:line="360" w:lineRule="auto"/>
        <w:jc w:val="center"/>
        <w:rPr>
          <w:rFonts w:cs="仿宋" w:asciiTheme="minorEastAsia" w:hAnsiTheme="minorEastAsia"/>
          <w:b/>
          <w:bCs/>
          <w:color w:val="auto"/>
          <w:sz w:val="72"/>
          <w:szCs w:val="72"/>
        </w:rPr>
      </w:pPr>
    </w:p>
    <w:p w14:paraId="3AF0B8A9">
      <w:pPr>
        <w:pStyle w:val="7"/>
        <w:rPr>
          <w:rFonts w:asciiTheme="minorEastAsia" w:hAnsiTheme="minorEastAsia"/>
          <w:color w:val="auto"/>
        </w:rPr>
      </w:pPr>
    </w:p>
    <w:p w14:paraId="5B5D12CC">
      <w:pPr>
        <w:spacing w:line="360" w:lineRule="auto"/>
        <w:jc w:val="center"/>
        <w:rPr>
          <w:rFonts w:cs="仿宋" w:asciiTheme="minorEastAsia" w:hAnsiTheme="minorEastAsia"/>
          <w:b/>
          <w:bCs/>
          <w:color w:val="auto"/>
          <w:sz w:val="72"/>
          <w:szCs w:val="72"/>
        </w:rPr>
      </w:pPr>
    </w:p>
    <w:p w14:paraId="0EBFE1C1">
      <w:pPr>
        <w:pStyle w:val="10"/>
        <w:rPr>
          <w:color w:val="auto"/>
        </w:rPr>
      </w:pPr>
    </w:p>
    <w:p w14:paraId="6165EAAA">
      <w:pPr>
        <w:rPr>
          <w:color w:val="auto"/>
        </w:rPr>
      </w:pPr>
    </w:p>
    <w:p w14:paraId="28678A5A">
      <w:pPr>
        <w:pStyle w:val="10"/>
        <w:rPr>
          <w:color w:val="auto"/>
        </w:rPr>
      </w:pPr>
    </w:p>
    <w:p w14:paraId="40824A26">
      <w:pPr>
        <w:rPr>
          <w:color w:val="auto"/>
        </w:rPr>
      </w:pPr>
    </w:p>
    <w:p w14:paraId="11AD3BFC">
      <w:pPr>
        <w:spacing w:line="360" w:lineRule="auto"/>
        <w:rPr>
          <w:rFonts w:cs="仿宋" w:asciiTheme="minorEastAsia" w:hAnsiTheme="minorEastAsia"/>
          <w:color w:val="auto"/>
          <w:sz w:val="24"/>
        </w:rPr>
      </w:pPr>
    </w:p>
    <w:p w14:paraId="643FAB71">
      <w:pPr>
        <w:pStyle w:val="10"/>
        <w:rPr>
          <w:rFonts w:cs="仿宋" w:asciiTheme="minorEastAsia" w:hAnsiTheme="minorEastAsia"/>
          <w:color w:val="auto"/>
          <w:sz w:val="24"/>
          <w:szCs w:val="24"/>
        </w:rPr>
      </w:pPr>
    </w:p>
    <w:p w14:paraId="47E42278">
      <w:pPr>
        <w:pStyle w:val="10"/>
        <w:jc w:val="center"/>
        <w:rPr>
          <w:rFonts w:cs="仿宋" w:asciiTheme="minorEastAsia" w:hAnsiTheme="minorEastAsia"/>
          <w:color w:val="auto"/>
          <w:sz w:val="24"/>
          <w:szCs w:val="24"/>
        </w:rPr>
      </w:pPr>
    </w:p>
    <w:p w14:paraId="15E61C81">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58D5451C">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color w:val="auto"/>
          <w:sz w:val="32"/>
          <w:szCs w:val="32"/>
          <w:lang w:eastAsia="zh-CN"/>
        </w:rPr>
        <w:t>2026年1月14日</w:t>
      </w:r>
    </w:p>
    <w:p w14:paraId="65C49EE8">
      <w:pPr>
        <w:spacing w:line="360" w:lineRule="auto"/>
        <w:ind w:firstLine="602" w:firstLineChars="200"/>
        <w:jc w:val="center"/>
        <w:rPr>
          <w:rFonts w:cs="仿宋" w:asciiTheme="minorEastAsia" w:hAnsiTheme="minorEastAsia"/>
          <w:b/>
          <w:color w:val="auto"/>
          <w:sz w:val="30"/>
          <w:szCs w:val="30"/>
        </w:rPr>
      </w:pPr>
    </w:p>
    <w:p w14:paraId="063E9946">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C9F2E0B">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6718671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F1E043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4AE6435">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44309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4031D4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4A649071">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663C3131">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963D26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1A0EAD04">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rPr>
        <w:t>2025年三固运行中心飞灰中控大屏采购项目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0CEE95">
      <w:pPr>
        <w:pStyle w:val="3"/>
        <w:spacing w:line="240" w:lineRule="auto"/>
        <w:ind w:firstLine="482" w:firstLineChars="200"/>
        <w:rPr>
          <w:rFonts w:cs="仿宋" w:asciiTheme="minorEastAsia" w:hAnsiTheme="minorEastAsia" w:eastAsiaTheme="minorEastAsia"/>
          <w:bCs w:val="0"/>
          <w:color w:val="auto"/>
          <w:sz w:val="24"/>
          <w:szCs w:val="24"/>
        </w:rPr>
      </w:pPr>
      <w:bookmarkStart w:id="516" w:name="_GoBack"/>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C351928">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202512013</w:t>
      </w:r>
    </w:p>
    <w:p w14:paraId="4F611D3E">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rPr>
        <w:t>2025年三固运行中心飞灰中控大屏采购项目</w:t>
      </w:r>
    </w:p>
    <w:p w14:paraId="71B88DAE">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4BA28354">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u w:val="single"/>
          <w:lang w:val="en-US" w:eastAsia="zh-CN"/>
        </w:rPr>
        <w:t>17.8万元</w:t>
      </w:r>
      <w:r>
        <w:rPr>
          <w:rFonts w:hint="eastAsia" w:ascii="宋体" w:hAnsi="宋体" w:eastAsia="宋体" w:cs="宋体"/>
          <w:color w:val="auto"/>
          <w:spacing w:val="1"/>
          <w:u w:val="single"/>
        </w:rPr>
        <w:t>（含税及设备、安装调试等所有费用）</w:t>
      </w:r>
    </w:p>
    <w:p w14:paraId="63553AC3">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18751422">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杭州临江环境能源有限公司因日常生产需要，需采购中控大屏一批（含安装、调试等）。</w:t>
      </w:r>
      <w:r>
        <w:rPr>
          <w:rFonts w:hint="eastAsia" w:cs="仿宋" w:asciiTheme="minorEastAsia" w:hAnsiTheme="minorEastAsia"/>
          <w:color w:val="auto"/>
          <w:sz w:val="24"/>
        </w:rPr>
        <w:t>具体要求以询价通知书第三部分采购需求为准。</w:t>
      </w:r>
    </w:p>
    <w:p w14:paraId="504050A3">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自合同签订后30日内完成安装调试并通过验收。</w:t>
      </w:r>
    </w:p>
    <w:p w14:paraId="37DFAFC7">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本项目不接受联合体响应</w:t>
      </w:r>
      <w:r>
        <w:rPr>
          <w:rFonts w:hint="eastAsia" w:hAnsi="宋体" w:cs="宋体"/>
          <w:color w:val="auto"/>
          <w:kern w:val="0"/>
          <w:sz w:val="24"/>
        </w:rPr>
        <w:t>。</w:t>
      </w:r>
    </w:p>
    <w:p w14:paraId="08797137">
      <w:pPr>
        <w:spacing w:line="360" w:lineRule="auto"/>
        <w:ind w:firstLine="482" w:firstLineChars="200"/>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3CC44A4F">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0766E2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6CCD2C45">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u w:val="single"/>
        </w:rPr>
        <w:t>3.业绩要求： 供应商提供自2023年1月1日</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含</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rPr>
        <w:t>起至少完成过1</w:t>
      </w:r>
      <w:r>
        <w:rPr>
          <w:rFonts w:hint="eastAsia" w:cs="仿宋" w:asciiTheme="minorEastAsia" w:hAnsiTheme="minorEastAsia"/>
          <w:bCs/>
          <w:color w:val="auto"/>
          <w:sz w:val="24"/>
          <w:u w:val="single"/>
          <w:lang w:val="en-US" w:eastAsia="zh-CN"/>
        </w:rPr>
        <w:t>例大屏销售</w:t>
      </w:r>
      <w:r>
        <w:rPr>
          <w:rFonts w:hint="eastAsia" w:cs="仿宋" w:asciiTheme="minorEastAsia" w:hAnsiTheme="minorEastAsia"/>
          <w:bCs/>
          <w:color w:val="auto"/>
          <w:sz w:val="24"/>
          <w:u w:val="single"/>
        </w:rPr>
        <w:t>业绩（同时提供合同复印件，以合同签订时间为准）。</w:t>
      </w:r>
    </w:p>
    <w:p w14:paraId="35C27DEF">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4.供应商不得在杭州市环境集团有限公司不合格供应商名单或者在黑名单之内。（供应商无需提供，并以采购人提供的名单为准）</w:t>
      </w:r>
    </w:p>
    <w:p w14:paraId="792ED861">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17D66C44">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0C8C346A">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本项目其他资格要求：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2BB82485">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5BF2A2D9">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 xml:space="preserve">1.时间：报价截止时间前。   </w:t>
      </w:r>
    </w:p>
    <w:p w14:paraId="787CB805">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13D2C742">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387CDF49">
      <w:pPr>
        <w:spacing w:line="360" w:lineRule="auto"/>
        <w:ind w:firstLine="482" w:firstLineChars="200"/>
        <w:rPr>
          <w:rFonts w:eastAsia="宋体" w:cs="宋体"/>
          <w:b/>
          <w:color w:val="auto"/>
          <w:sz w:val="24"/>
        </w:rPr>
      </w:pPr>
      <w:r>
        <w:rPr>
          <w:rFonts w:hint="eastAsia" w:cs="仿宋" w:asciiTheme="minorEastAsia" w:hAnsiTheme="minorEastAsia"/>
          <w:b/>
          <w:bCs/>
          <w:color w:val="auto"/>
          <w:sz w:val="24"/>
        </w:rPr>
        <w:t>四、询价保证金：</w:t>
      </w:r>
      <w:r>
        <w:rPr>
          <w:rFonts w:hint="eastAsia" w:eastAsia="宋体" w:cs="宋体"/>
          <w:bCs/>
          <w:color w:val="auto"/>
          <w:sz w:val="24"/>
        </w:rPr>
        <w:t>本项目</w:t>
      </w:r>
      <w:r>
        <w:rPr>
          <w:rFonts w:hint="eastAsia" w:cs="宋体"/>
          <w:bCs/>
          <w:color w:val="auto"/>
          <w:sz w:val="24"/>
          <w:u w:val="single"/>
        </w:rPr>
        <w:t>□</w:t>
      </w:r>
      <w:r>
        <w:rPr>
          <w:rFonts w:hint="eastAsia" w:eastAsia="宋体" w:cs="宋体"/>
          <w:bCs/>
          <w:color w:val="auto"/>
          <w:sz w:val="24"/>
          <w:u w:val="single"/>
        </w:rPr>
        <w:t>需要</w:t>
      </w:r>
      <w:r>
        <w:rPr>
          <w:rFonts w:hint="eastAsia" w:cs="宋体"/>
          <w:bCs/>
          <w:color w:val="auto"/>
          <w:sz w:val="24"/>
          <w:u w:val="single"/>
        </w:rPr>
        <w:t>/☑</w:t>
      </w:r>
      <w:r>
        <w:rPr>
          <w:rFonts w:cs="宋体"/>
          <w:bCs/>
          <w:color w:val="auto"/>
          <w:sz w:val="24"/>
          <w:u w:val="single"/>
        </w:rPr>
        <w:t>不需要</w:t>
      </w:r>
      <w:r>
        <w:rPr>
          <w:rFonts w:hint="eastAsia" w:cs="宋体"/>
          <w:bCs/>
          <w:color w:val="auto"/>
          <w:sz w:val="24"/>
        </w:rPr>
        <w:t>交纳询价</w:t>
      </w:r>
      <w:r>
        <w:rPr>
          <w:rFonts w:cs="宋体"/>
          <w:bCs/>
          <w:color w:val="auto"/>
          <w:sz w:val="24"/>
        </w:rPr>
        <w:t>保证</w:t>
      </w:r>
      <w:r>
        <w:rPr>
          <w:rFonts w:hint="eastAsia" w:cs="宋体"/>
          <w:bCs/>
          <w:color w:val="auto"/>
          <w:sz w:val="24"/>
        </w:rPr>
        <w:t>金。交纳投标保证金</w:t>
      </w:r>
      <w:r>
        <w:rPr>
          <w:rFonts w:hint="eastAsia" w:cs="宋体"/>
          <w:color w:val="auto"/>
          <w:sz w:val="24"/>
        </w:rPr>
        <w:t>的具体要求如下：</w:t>
      </w:r>
    </w:p>
    <w:p w14:paraId="4E00AC6F">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1.缴纳金额：</w:t>
      </w:r>
      <w:r>
        <w:rPr>
          <w:rFonts w:hint="eastAsia" w:cs="仿宋" w:asciiTheme="minorEastAsia" w:hAnsiTheme="minorEastAsia" w:eastAsiaTheme="minorEastAsia"/>
          <w:b w:val="0"/>
          <w:color w:val="auto"/>
          <w:sz w:val="24"/>
          <w:szCs w:val="24"/>
          <w:u w:val="single"/>
        </w:rPr>
        <w:t xml:space="preserve">  /   </w:t>
      </w:r>
      <w:r>
        <w:rPr>
          <w:rFonts w:hint="eastAsia" w:cs="仿宋" w:asciiTheme="minorEastAsia" w:hAnsiTheme="minorEastAsia" w:eastAsiaTheme="minorEastAsia"/>
          <w:b w:val="0"/>
          <w:color w:val="auto"/>
          <w:sz w:val="24"/>
          <w:szCs w:val="24"/>
        </w:rPr>
        <w:t>元，同时注明：</w:t>
      </w:r>
      <w:r>
        <w:rPr>
          <w:rFonts w:hint="eastAsia" w:cs="仿宋" w:asciiTheme="minorEastAsia" w:hAnsiTheme="minorEastAsia" w:eastAsiaTheme="minorEastAsia"/>
          <w:b w:val="0"/>
          <w:color w:val="auto"/>
          <w:sz w:val="24"/>
          <w:szCs w:val="24"/>
          <w:u w:val="single"/>
        </w:rPr>
        <w:t>2025年三固运行中心飞灰中控大屏采购项目询价保证金</w:t>
      </w:r>
      <w:r>
        <w:rPr>
          <w:rFonts w:hint="eastAsia" w:cs="仿宋" w:asciiTheme="minorEastAsia" w:hAnsiTheme="minorEastAsia" w:eastAsiaTheme="minorEastAsia"/>
          <w:b w:val="0"/>
          <w:color w:val="auto"/>
          <w:sz w:val="24"/>
          <w:szCs w:val="24"/>
        </w:rPr>
        <w:t>。</w:t>
      </w:r>
    </w:p>
    <w:p w14:paraId="0C9E566D">
      <w:pPr>
        <w:pStyle w:val="3"/>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2.供应商应在响应文件开启截止日之前以电汇或网银转账方式缴纳至指定账户</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u w:val="single"/>
        </w:rPr>
        <w:t>注：必须为企业账户汇出，个人形式递交或现金递交视为未交纳</w:t>
      </w:r>
      <w:r>
        <w:rPr>
          <w:rFonts w:hint="eastAsia" w:ascii="宋体" w:hAnsi="宋体" w:eastAsia="宋体" w:cs="宋体"/>
          <w:bCs w:val="0"/>
          <w:color w:val="auto"/>
          <w:sz w:val="24"/>
          <w:szCs w:val="24"/>
        </w:rPr>
        <w:t>）</w:t>
      </w:r>
      <w:r>
        <w:rPr>
          <w:rFonts w:hint="eastAsia" w:cs="仿宋" w:asciiTheme="minorEastAsia" w:hAnsiTheme="minorEastAsia" w:eastAsiaTheme="minorEastAsia"/>
          <w:b w:val="0"/>
          <w:color w:val="auto"/>
          <w:sz w:val="24"/>
          <w:szCs w:val="24"/>
        </w:rPr>
        <w:t>。</w:t>
      </w:r>
      <w:r>
        <w:rPr>
          <w:rFonts w:hint="eastAsia" w:cs="仿宋" w:asciiTheme="minorEastAsia" w:hAnsiTheme="minorEastAsia" w:eastAsiaTheme="minorEastAsia"/>
          <w:b w:val="0"/>
          <w:color w:val="auto"/>
          <w:sz w:val="24"/>
          <w:szCs w:val="24"/>
          <w:u w:val="single"/>
        </w:rPr>
        <w:t>同时将银行缴款凭证复印件作为响应文件组成部分。</w:t>
      </w:r>
    </w:p>
    <w:p w14:paraId="5446FAD6">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3.交纳账户：</w:t>
      </w:r>
    </w:p>
    <w:p w14:paraId="64C2145E">
      <w:pPr>
        <w:pStyle w:val="3"/>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户    名：</w:t>
      </w:r>
      <w:r>
        <w:rPr>
          <w:rFonts w:hint="eastAsia" w:cs="仿宋" w:asciiTheme="minorEastAsia" w:hAnsiTheme="minorEastAsia" w:eastAsiaTheme="minorEastAsia"/>
          <w:b w:val="0"/>
          <w:color w:val="auto"/>
          <w:sz w:val="24"/>
          <w:szCs w:val="24"/>
          <w:u w:val="single"/>
        </w:rPr>
        <w:t>杭州临江环境能源有限公司</w:t>
      </w:r>
    </w:p>
    <w:p w14:paraId="6834CDD5">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开户银行：</w:t>
      </w:r>
      <w:r>
        <w:rPr>
          <w:rFonts w:hint="eastAsia" w:cs="仿宋" w:asciiTheme="minorEastAsia" w:hAnsiTheme="minorEastAsia" w:eastAsiaTheme="minorEastAsia"/>
          <w:b w:val="0"/>
          <w:color w:val="auto"/>
          <w:sz w:val="24"/>
          <w:szCs w:val="24"/>
          <w:u w:val="single"/>
        </w:rPr>
        <w:t>杭州银行大江东支行</w:t>
      </w:r>
    </w:p>
    <w:p w14:paraId="22AA1F08">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账    号：</w:t>
      </w:r>
      <w:r>
        <w:rPr>
          <w:rFonts w:hint="eastAsia" w:cs="仿宋" w:asciiTheme="minorEastAsia" w:hAnsiTheme="minorEastAsia" w:eastAsiaTheme="minorEastAsia"/>
          <w:b w:val="0"/>
          <w:color w:val="auto"/>
          <w:sz w:val="24"/>
          <w:szCs w:val="24"/>
          <w:u w:val="single"/>
        </w:rPr>
        <w:t>3301040160008775754</w:t>
      </w:r>
    </w:p>
    <w:p w14:paraId="498996C1">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五、响应文件递交及开启</w:t>
      </w:r>
    </w:p>
    <w:p w14:paraId="2376DB2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1.递交截止时间（同响应文件开启时间）：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6</w:t>
      </w:r>
      <w:r>
        <w:rPr>
          <w:rFonts w:hint="eastAsia" w:cs="仿宋" w:asciiTheme="minorEastAsia" w:hAnsiTheme="minorEastAsia"/>
          <w:color w:val="auto"/>
          <w:sz w:val="24"/>
          <w:u w:val="single"/>
        </w:rPr>
        <w:t>年1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 00秒</w:t>
      </w:r>
      <w:r>
        <w:rPr>
          <w:rFonts w:hint="eastAsia" w:cs="仿宋" w:asciiTheme="minorEastAsia" w:hAnsiTheme="minorEastAsia"/>
          <w:color w:val="auto"/>
          <w:sz w:val="24"/>
        </w:rPr>
        <w:t>（北京时间）。</w:t>
      </w:r>
    </w:p>
    <w:p w14:paraId="71A01C6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32C03DC4">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14:paraId="0EFEA3B2">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14:paraId="1F6FB9E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color w:val="auto"/>
          <w:sz w:val="24"/>
          <w:u w:val="single"/>
        </w:rPr>
        <w:t>响应文件开启时间</w:t>
      </w:r>
      <w:r>
        <w:rPr>
          <w:rFonts w:hint="eastAsia" w:cs="仿宋" w:asciiTheme="minorEastAsia" w:hAnsiTheme="minorEastAsia"/>
          <w:color w:val="auto"/>
          <w:sz w:val="24"/>
        </w:rPr>
        <w:t>之前在杭州临江环境能源有限公司网站公示，请各供应商及时关注进入会场。</w:t>
      </w:r>
    </w:p>
    <w:p w14:paraId="01D7502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2.开启过程：</w:t>
      </w:r>
    </w:p>
    <w:p w14:paraId="7945CCA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（1）密封性检查：由本项目采购经办人展示各个响应文件密封性情况；供应商对响应文件密封情况在线进行确认；</w:t>
      </w:r>
      <w:r>
        <w:rPr>
          <w:rFonts w:hint="eastAsia" w:cs="仿宋" w:asciiTheme="minorEastAsia" w:hAnsiTheme="minorEastAsia"/>
          <w:color w:val="auto"/>
          <w:sz w:val="24"/>
          <w:u w:val="single"/>
        </w:rPr>
        <w:t>若供应商长时间未确认的视为无异议，不得再提出异议</w:t>
      </w:r>
      <w:r>
        <w:rPr>
          <w:rFonts w:hint="eastAsia" w:cs="仿宋" w:asciiTheme="minorEastAsia" w:hAnsiTheme="minorEastAsia"/>
          <w:color w:val="auto"/>
          <w:sz w:val="24"/>
        </w:rPr>
        <w:t>。</w:t>
      </w:r>
    </w:p>
    <w:p w14:paraId="72968BB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（2）结果确认：各供应商在线回复确认记录结果完毕后（供应商因故未能确认记录结果的，默认供应商已确认开启结果），采购人打印开启记录，宣布开启会议结束，并负责保存“腾讯会议”录像。</w:t>
      </w:r>
    </w:p>
    <w:p w14:paraId="2E1DFD3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（3）见证要求：开启期间供应商因未参与现场开启或未参加线上会议，视为认可全过程和结果，不得提出异议。</w:t>
      </w:r>
    </w:p>
    <w:p w14:paraId="6546D7FF">
      <w:pPr>
        <w:spacing w:line="360" w:lineRule="auto"/>
        <w:ind w:firstLine="480" w:firstLineChars="200"/>
        <w:rPr>
          <w:color w:val="auto"/>
        </w:rPr>
      </w:pPr>
      <w:r>
        <w:rPr>
          <w:rFonts w:hint="eastAsia" w:cs="仿宋" w:asciiTheme="minorEastAsia" w:hAnsiTheme="minorEastAsia"/>
          <w:color w:val="auto"/>
          <w:sz w:val="24"/>
        </w:rPr>
        <w:t>（4）异议处理：供应商对开启过程有异议的，应在开启会议结束前通过“腾讯会议”在线上提出，采购人应现场予以答复，并做好记录。</w:t>
      </w:r>
    </w:p>
    <w:p w14:paraId="45A1F325">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6D7FE7D7">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63884677">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八、业务联系方式</w:t>
      </w:r>
    </w:p>
    <w:p w14:paraId="622AFC2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联系人：华工 联系电话：0571-81997921 </w:t>
      </w:r>
    </w:p>
    <w:p w14:paraId="2E2DF55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九、邮寄信息及要求</w:t>
      </w:r>
    </w:p>
    <w:p w14:paraId="73826D2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1.邮寄地址：杭州市钱塘区临江街道红十五线与观十五线交叉口杭州临江环境能源有限公司经营管理部   华工 15857174171。</w:t>
      </w:r>
    </w:p>
    <w:p w14:paraId="7E6DE6B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14:paraId="7BCA2A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3.响应文件邮递递交截止时间：以邮寄签收时间为准，因邮寄原因导致响应文件不能如期送达等风险由供应商自行承担。 </w:t>
      </w:r>
    </w:p>
    <w:p w14:paraId="59367E92">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十、监督部门</w:t>
      </w:r>
    </w:p>
    <w:p w14:paraId="0842943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监管单位： 杭州临江环境能源有限公司监察审计部</w:t>
      </w:r>
      <w:r>
        <w:rPr>
          <w:rFonts w:hint="eastAsia" w:cs="仿宋" w:asciiTheme="minorEastAsia" w:hAnsiTheme="minorEastAsia"/>
          <w:color w:val="auto"/>
          <w:sz w:val="24"/>
        </w:rPr>
        <w:tab/>
      </w:r>
    </w:p>
    <w:p w14:paraId="368AD32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地    址：浙江省杭州市钱塘区临江街道红十五路10388-123号</w:t>
      </w:r>
      <w:r>
        <w:rPr>
          <w:rFonts w:hint="eastAsia" w:cs="仿宋" w:asciiTheme="minorEastAsia" w:hAnsiTheme="minorEastAsia"/>
          <w:color w:val="auto"/>
          <w:sz w:val="24"/>
        </w:rPr>
        <w:tab/>
      </w:r>
    </w:p>
    <w:p w14:paraId="17A44AD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 系 人：李工</w:t>
      </w:r>
      <w:r>
        <w:rPr>
          <w:rFonts w:hint="eastAsia" w:cs="仿宋" w:asciiTheme="minorEastAsia" w:hAnsiTheme="minorEastAsia"/>
          <w:color w:val="auto"/>
          <w:sz w:val="24"/>
        </w:rPr>
        <w:tab/>
      </w:r>
    </w:p>
    <w:p w14:paraId="0725815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电    话：0571-81997962</w:t>
      </w:r>
      <w:r>
        <w:rPr>
          <w:rFonts w:hint="eastAsia" w:cs="仿宋" w:asciiTheme="minorEastAsia" w:hAnsiTheme="minorEastAsia"/>
          <w:color w:val="auto"/>
          <w:sz w:val="24"/>
        </w:rPr>
        <w:tab/>
      </w:r>
    </w:p>
    <w:p w14:paraId="6A3E5449">
      <w:pPr>
        <w:spacing w:line="360" w:lineRule="auto"/>
        <w:ind w:firstLine="480" w:firstLineChars="200"/>
        <w:rPr>
          <w:rFonts w:cs="仿宋" w:asciiTheme="minorEastAsia" w:hAnsiTheme="minorEastAsia"/>
          <w:color w:val="auto"/>
          <w:sz w:val="24"/>
        </w:rPr>
      </w:pPr>
    </w:p>
    <w:p w14:paraId="4E861904">
      <w:pPr>
        <w:spacing w:line="360" w:lineRule="auto"/>
        <w:ind w:firstLine="3840" w:firstLineChars="1600"/>
        <w:jc w:val="right"/>
        <w:rPr>
          <w:rFonts w:cs="仿宋" w:asciiTheme="minorEastAsia" w:hAnsiTheme="minorEastAsia"/>
          <w:color w:val="auto"/>
          <w:sz w:val="24"/>
        </w:rPr>
      </w:pPr>
    </w:p>
    <w:p w14:paraId="47009212">
      <w:pPr>
        <w:spacing w:line="360" w:lineRule="auto"/>
        <w:ind w:firstLine="3840" w:firstLineChars="1600"/>
        <w:jc w:val="right"/>
        <w:rPr>
          <w:rFonts w:cs="仿宋" w:asciiTheme="minorEastAsia" w:hAnsiTheme="minorEastAsia"/>
          <w:color w:val="auto"/>
          <w:sz w:val="24"/>
        </w:rPr>
      </w:pPr>
    </w:p>
    <w:p w14:paraId="01DF1D8B">
      <w:pPr>
        <w:spacing w:line="360" w:lineRule="auto"/>
        <w:ind w:firstLine="3840" w:firstLineChars="1600"/>
        <w:jc w:val="righ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1866F5FE">
      <w:pPr>
        <w:spacing w:line="360" w:lineRule="auto"/>
        <w:ind w:firstLine="4320" w:firstLineChars="1800"/>
        <w:jc w:val="right"/>
        <w:rPr>
          <w:rFonts w:hint="eastAsia" w:cs="仿宋" w:asciiTheme="minorEastAsia" w:hAnsiTheme="minorEastAsia" w:eastAsiaTheme="minorEastAsia"/>
          <w:b/>
          <w:bCs/>
          <w:color w:val="auto"/>
          <w:sz w:val="24"/>
          <w:lang w:eastAsia="zh-CN"/>
        </w:rPr>
      </w:pPr>
      <w:r>
        <w:rPr>
          <w:rFonts w:hint="eastAsia" w:cs="仿宋" w:asciiTheme="minorEastAsia" w:hAnsiTheme="minorEastAsia"/>
          <w:color w:val="auto"/>
          <w:sz w:val="24"/>
          <w:lang w:eastAsia="zh-CN"/>
        </w:rPr>
        <w:t>2026年1月14日</w:t>
      </w:r>
    </w:p>
    <w:p w14:paraId="2A20AFB6">
      <w:pPr>
        <w:spacing w:line="460" w:lineRule="exact"/>
        <w:jc w:val="center"/>
        <w:rPr>
          <w:rFonts w:cs="仿宋" w:asciiTheme="minorEastAsia" w:hAnsiTheme="minorEastAsia"/>
          <w:b/>
          <w:bCs/>
          <w:color w:val="auto"/>
          <w:sz w:val="36"/>
          <w:szCs w:val="36"/>
        </w:rPr>
      </w:pPr>
    </w:p>
    <w:p w14:paraId="11DE215A">
      <w:pPr>
        <w:spacing w:line="460" w:lineRule="exact"/>
        <w:jc w:val="center"/>
        <w:rPr>
          <w:rFonts w:cs="仿宋" w:asciiTheme="minorEastAsia" w:hAnsiTheme="minorEastAsia"/>
          <w:b/>
          <w:bCs/>
          <w:color w:val="auto"/>
          <w:sz w:val="36"/>
          <w:szCs w:val="36"/>
        </w:rPr>
      </w:pPr>
    </w:p>
    <w:p w14:paraId="5BDD13BB">
      <w:pPr>
        <w:spacing w:line="460" w:lineRule="exact"/>
        <w:jc w:val="center"/>
        <w:rPr>
          <w:rFonts w:cs="仿宋" w:asciiTheme="minorEastAsia" w:hAnsiTheme="minorEastAsia"/>
          <w:b/>
          <w:bCs/>
          <w:color w:val="auto"/>
          <w:sz w:val="36"/>
          <w:szCs w:val="36"/>
        </w:rPr>
      </w:pPr>
    </w:p>
    <w:bookmarkEnd w:id="516"/>
    <w:p w14:paraId="439078E8">
      <w:pPr>
        <w:spacing w:line="460" w:lineRule="exact"/>
        <w:jc w:val="center"/>
        <w:rPr>
          <w:rFonts w:cs="仿宋" w:asciiTheme="minorEastAsia" w:hAnsiTheme="minorEastAsia"/>
          <w:b/>
          <w:bCs/>
          <w:color w:val="auto"/>
          <w:sz w:val="36"/>
          <w:szCs w:val="36"/>
        </w:rPr>
      </w:pPr>
    </w:p>
    <w:p w14:paraId="18A4C4C4">
      <w:pPr>
        <w:pStyle w:val="17"/>
        <w:rPr>
          <w:rFonts w:cs="仿宋" w:asciiTheme="minorEastAsia" w:hAnsiTheme="minorEastAsia"/>
          <w:b/>
          <w:bCs/>
          <w:color w:val="auto"/>
          <w:sz w:val="36"/>
          <w:szCs w:val="36"/>
        </w:rPr>
      </w:pPr>
    </w:p>
    <w:p w14:paraId="4DE76045">
      <w:pPr>
        <w:rPr>
          <w:rFonts w:cs="仿宋" w:asciiTheme="minorEastAsia" w:hAnsiTheme="minorEastAsia"/>
          <w:b/>
          <w:bCs/>
          <w:color w:val="auto"/>
          <w:sz w:val="36"/>
          <w:szCs w:val="36"/>
        </w:rPr>
      </w:pPr>
    </w:p>
    <w:p w14:paraId="43FC5BCF">
      <w:pPr>
        <w:pStyle w:val="17"/>
        <w:rPr>
          <w:rFonts w:cs="仿宋" w:asciiTheme="minorEastAsia" w:hAnsiTheme="minorEastAsia"/>
          <w:b/>
          <w:bCs/>
          <w:color w:val="auto"/>
          <w:sz w:val="36"/>
          <w:szCs w:val="36"/>
        </w:rPr>
      </w:pPr>
    </w:p>
    <w:p w14:paraId="539A685F">
      <w:pPr>
        <w:rPr>
          <w:rFonts w:cs="仿宋" w:asciiTheme="minorEastAsia" w:hAnsiTheme="minorEastAsia"/>
          <w:b/>
          <w:bCs/>
          <w:color w:val="auto"/>
          <w:sz w:val="36"/>
          <w:szCs w:val="36"/>
        </w:rPr>
      </w:pPr>
    </w:p>
    <w:p w14:paraId="770C9FDE">
      <w:pPr>
        <w:pStyle w:val="17"/>
        <w:rPr>
          <w:rFonts w:cs="仿宋" w:asciiTheme="minorEastAsia" w:hAnsiTheme="minorEastAsia"/>
          <w:b/>
          <w:bCs/>
          <w:color w:val="auto"/>
          <w:sz w:val="36"/>
          <w:szCs w:val="36"/>
        </w:rPr>
      </w:pPr>
    </w:p>
    <w:p w14:paraId="7C437364">
      <w:pPr>
        <w:rPr>
          <w:rFonts w:cs="仿宋" w:asciiTheme="minorEastAsia" w:hAnsiTheme="minorEastAsia"/>
          <w:b/>
          <w:bCs/>
          <w:color w:val="auto"/>
          <w:sz w:val="36"/>
          <w:szCs w:val="36"/>
        </w:rPr>
      </w:pPr>
    </w:p>
    <w:p w14:paraId="036198A8">
      <w:pPr>
        <w:pStyle w:val="17"/>
        <w:rPr>
          <w:rFonts w:cs="仿宋" w:asciiTheme="minorEastAsia" w:hAnsiTheme="minorEastAsia"/>
          <w:b/>
          <w:bCs/>
          <w:color w:val="auto"/>
          <w:sz w:val="36"/>
          <w:szCs w:val="36"/>
        </w:rPr>
      </w:pPr>
    </w:p>
    <w:p w14:paraId="009A25CB">
      <w:pPr>
        <w:rPr>
          <w:rFonts w:cs="仿宋" w:asciiTheme="minorEastAsia" w:hAnsiTheme="minorEastAsia"/>
          <w:b/>
          <w:bCs/>
          <w:color w:val="auto"/>
          <w:sz w:val="36"/>
          <w:szCs w:val="36"/>
        </w:rPr>
      </w:pPr>
    </w:p>
    <w:p w14:paraId="3DE67160">
      <w:pPr>
        <w:pStyle w:val="17"/>
        <w:rPr>
          <w:rFonts w:cs="仿宋" w:asciiTheme="minorEastAsia" w:hAnsiTheme="minorEastAsia"/>
          <w:b/>
          <w:bCs/>
          <w:color w:val="auto"/>
          <w:sz w:val="36"/>
          <w:szCs w:val="36"/>
        </w:rPr>
      </w:pPr>
    </w:p>
    <w:p w14:paraId="03617F78">
      <w:pPr>
        <w:rPr>
          <w:rFonts w:cs="仿宋" w:asciiTheme="minorEastAsia" w:hAnsiTheme="minorEastAsia"/>
          <w:b/>
          <w:bCs/>
          <w:color w:val="auto"/>
          <w:sz w:val="36"/>
          <w:szCs w:val="36"/>
        </w:rPr>
      </w:pPr>
    </w:p>
    <w:p w14:paraId="73490648">
      <w:pPr>
        <w:rPr>
          <w:rFonts w:cs="仿宋" w:asciiTheme="minorEastAsia" w:hAnsiTheme="minorEastAsia"/>
          <w:b/>
          <w:bCs/>
          <w:color w:val="auto"/>
          <w:sz w:val="36"/>
          <w:szCs w:val="36"/>
        </w:rPr>
      </w:pPr>
    </w:p>
    <w:p w14:paraId="66F9B3C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125BD54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9"/>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102A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952F03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167615A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755976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1C0B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F13BB5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A3F0411">
            <w:pPr>
              <w:pStyle w:val="23"/>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49A406">
            <w:pPr>
              <w:pStyle w:val="23"/>
              <w:snapToGrid w:val="0"/>
              <w:spacing w:line="400" w:lineRule="exact"/>
              <w:ind w:right="42" w:rightChars="20"/>
              <w:rPr>
                <w:color w:val="auto"/>
                <w:szCs w:val="21"/>
              </w:rPr>
            </w:pPr>
            <w:r>
              <w:rPr>
                <w:rFonts w:hint="eastAsia"/>
                <w:snapToGrid w:val="0"/>
                <w:color w:val="auto"/>
                <w:szCs w:val="21"/>
              </w:rPr>
              <w:t>详见采购公告</w:t>
            </w:r>
          </w:p>
        </w:tc>
      </w:tr>
      <w:tr w14:paraId="5D4EE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0B60A9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201AFDF4">
            <w:pPr>
              <w:pStyle w:val="23"/>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EF24423">
            <w:pPr>
              <w:pStyle w:val="23"/>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4BBB3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9DA891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D8FF4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315E83">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0E2AF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93172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6E5FE7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EE2DFB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172641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9C1C343">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09D9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8200360">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73BFF50">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3D42CC9">
            <w:pPr>
              <w:jc w:val="center"/>
              <w:rPr>
                <w:rFonts w:ascii="宋体" w:hAnsi="宋体" w:eastAsia="宋体" w:cs="宋体"/>
                <w:color w:val="auto"/>
              </w:rPr>
            </w:pPr>
            <w:r>
              <w:rPr>
                <w:rFonts w:hint="eastAsia" w:ascii="宋体" w:hAnsi="宋体" w:eastAsia="宋体" w:cs="宋体"/>
                <w:color w:val="auto"/>
              </w:rPr>
              <w:t>详见采购公告</w:t>
            </w:r>
          </w:p>
        </w:tc>
      </w:tr>
      <w:tr w14:paraId="6BD4F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069E1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061E63C">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CC8710D">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519F5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72DFB9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CCD1C7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BE4E54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1D1CCF88">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2F6F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72F75D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F98BF7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6674770">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E567087">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7EF9266E">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16B65E51">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747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098CC6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248591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A2E8F57">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1FAC5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E1FC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92E3B8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7824FAF">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65891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EC929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0D639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C3510B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3FE93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374F5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3CCDE81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699BE0A">
            <w:pPr>
              <w:pStyle w:val="25"/>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59558CC6">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F32DE79">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2CEC1CAB">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CBF2994">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1B80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12966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2670B1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34ADA7A">
            <w:pPr>
              <w:pStyle w:val="23"/>
              <w:snapToGrid w:val="0"/>
              <w:spacing w:line="400" w:lineRule="exact"/>
              <w:ind w:right="42" w:rightChars="20"/>
              <w:rPr>
                <w:snapToGrid w:val="0"/>
                <w:color w:val="auto"/>
                <w:szCs w:val="21"/>
              </w:rPr>
            </w:pPr>
            <w:r>
              <w:rPr>
                <w:rFonts w:hint="eastAsia"/>
                <w:snapToGrid w:val="0"/>
                <w:color w:val="auto"/>
                <w:szCs w:val="21"/>
              </w:rPr>
              <w:t>是否分册装订：</w:t>
            </w:r>
          </w:p>
          <w:p w14:paraId="5D70B247">
            <w:pPr>
              <w:pStyle w:val="23"/>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43CEC7EE">
            <w:pPr>
              <w:pStyle w:val="23"/>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1322B66">
            <w:pPr>
              <w:pStyle w:val="23"/>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7A7B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3439AD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0AE270B">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3DBC1F1">
            <w:pPr>
              <w:pStyle w:val="23"/>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69415A0">
      <w:pPr>
        <w:spacing w:line="360" w:lineRule="auto"/>
        <w:jc w:val="center"/>
        <w:outlineLvl w:val="0"/>
        <w:rPr>
          <w:rFonts w:cs="仿宋" w:asciiTheme="minorEastAsia" w:hAnsiTheme="minorEastAsia"/>
          <w:b/>
          <w:color w:val="auto"/>
          <w:sz w:val="32"/>
          <w:szCs w:val="20"/>
        </w:rPr>
      </w:pPr>
    </w:p>
    <w:p w14:paraId="7C03B325">
      <w:pPr>
        <w:spacing w:line="360" w:lineRule="auto"/>
        <w:jc w:val="center"/>
        <w:outlineLvl w:val="0"/>
        <w:rPr>
          <w:rFonts w:cs="仿宋" w:asciiTheme="minorEastAsia" w:hAnsiTheme="minorEastAsia"/>
          <w:b/>
          <w:color w:val="auto"/>
          <w:sz w:val="32"/>
          <w:szCs w:val="20"/>
        </w:rPr>
      </w:pPr>
    </w:p>
    <w:p w14:paraId="7135B942">
      <w:pPr>
        <w:spacing w:line="360" w:lineRule="auto"/>
        <w:jc w:val="center"/>
        <w:outlineLvl w:val="0"/>
        <w:rPr>
          <w:rFonts w:cs="仿宋" w:asciiTheme="minorEastAsia" w:hAnsiTheme="minorEastAsia"/>
          <w:b/>
          <w:color w:val="auto"/>
          <w:sz w:val="32"/>
          <w:szCs w:val="20"/>
        </w:rPr>
      </w:pPr>
    </w:p>
    <w:p w14:paraId="4A5A5D7D">
      <w:pPr>
        <w:pStyle w:val="7"/>
        <w:rPr>
          <w:rFonts w:cs="仿宋" w:asciiTheme="minorEastAsia" w:hAnsiTheme="minorEastAsia"/>
          <w:b/>
          <w:color w:val="auto"/>
          <w:sz w:val="32"/>
          <w:szCs w:val="20"/>
        </w:rPr>
      </w:pPr>
    </w:p>
    <w:p w14:paraId="166EF9FE">
      <w:pPr>
        <w:pStyle w:val="8"/>
        <w:rPr>
          <w:rFonts w:cs="仿宋" w:asciiTheme="minorEastAsia" w:hAnsiTheme="minorEastAsia"/>
          <w:b/>
          <w:color w:val="auto"/>
          <w:sz w:val="32"/>
        </w:rPr>
      </w:pPr>
    </w:p>
    <w:p w14:paraId="048E6988">
      <w:pPr>
        <w:pStyle w:val="15"/>
        <w:rPr>
          <w:rFonts w:cs="仿宋" w:asciiTheme="minorEastAsia" w:hAnsiTheme="minorEastAsia"/>
          <w:b/>
          <w:color w:val="auto"/>
          <w:sz w:val="32"/>
          <w:szCs w:val="20"/>
        </w:rPr>
      </w:pPr>
    </w:p>
    <w:p w14:paraId="435E2216">
      <w:pPr>
        <w:rPr>
          <w:color w:val="auto"/>
        </w:rPr>
      </w:pPr>
    </w:p>
    <w:p w14:paraId="4C0306A3">
      <w:pPr>
        <w:pStyle w:val="17"/>
        <w:rPr>
          <w:color w:val="auto"/>
        </w:rPr>
      </w:pPr>
    </w:p>
    <w:p w14:paraId="1D810183">
      <w:pPr>
        <w:rPr>
          <w:color w:val="auto"/>
        </w:rPr>
      </w:pPr>
    </w:p>
    <w:p w14:paraId="03B4B245">
      <w:pPr>
        <w:pStyle w:val="17"/>
        <w:rPr>
          <w:color w:val="auto"/>
        </w:rPr>
      </w:pPr>
    </w:p>
    <w:p w14:paraId="52E9BD99">
      <w:pPr>
        <w:rPr>
          <w:color w:val="auto"/>
        </w:rPr>
      </w:pPr>
    </w:p>
    <w:p w14:paraId="404D8888">
      <w:pPr>
        <w:pStyle w:val="17"/>
        <w:rPr>
          <w:color w:val="auto"/>
        </w:rPr>
      </w:pPr>
    </w:p>
    <w:p w14:paraId="7028E2D0">
      <w:pPr>
        <w:rPr>
          <w:color w:val="auto"/>
        </w:rPr>
      </w:pPr>
    </w:p>
    <w:p w14:paraId="6C3A9B83">
      <w:pPr>
        <w:pStyle w:val="15"/>
        <w:rPr>
          <w:rFonts w:cs="仿宋" w:asciiTheme="minorEastAsia" w:hAnsiTheme="minorEastAsia"/>
          <w:b/>
          <w:color w:val="auto"/>
          <w:sz w:val="32"/>
          <w:szCs w:val="20"/>
        </w:rPr>
      </w:pPr>
    </w:p>
    <w:p w14:paraId="6CF9CE50">
      <w:pPr>
        <w:rPr>
          <w:rFonts w:cs="仿宋" w:asciiTheme="minorEastAsia" w:hAnsiTheme="minorEastAsia"/>
          <w:b/>
          <w:color w:val="auto"/>
          <w:sz w:val="32"/>
          <w:szCs w:val="20"/>
        </w:rPr>
      </w:pPr>
    </w:p>
    <w:p w14:paraId="002193F5">
      <w:pPr>
        <w:pStyle w:val="17"/>
        <w:rPr>
          <w:rFonts w:cs="仿宋" w:asciiTheme="minorEastAsia" w:hAnsiTheme="minorEastAsia"/>
          <w:b/>
          <w:color w:val="auto"/>
          <w:szCs w:val="20"/>
        </w:rPr>
      </w:pPr>
    </w:p>
    <w:p w14:paraId="383B2226">
      <w:pPr>
        <w:rPr>
          <w:color w:val="auto"/>
        </w:rPr>
      </w:pPr>
    </w:p>
    <w:p w14:paraId="7B368F51">
      <w:pPr>
        <w:rPr>
          <w:color w:val="auto"/>
        </w:rPr>
      </w:pPr>
    </w:p>
    <w:p w14:paraId="4FEC7D57">
      <w:pPr>
        <w:rPr>
          <w:rFonts w:cs="仿宋" w:asciiTheme="minorEastAsia" w:hAnsiTheme="minorEastAsia"/>
          <w:b/>
          <w:color w:val="auto"/>
          <w:sz w:val="32"/>
          <w:szCs w:val="20"/>
        </w:rPr>
      </w:pPr>
    </w:p>
    <w:p w14:paraId="0D9E29B0">
      <w:pPr>
        <w:rPr>
          <w:color w:val="auto"/>
        </w:rPr>
      </w:pPr>
    </w:p>
    <w:p w14:paraId="672D03D5">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1E2DA3DA">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442E877">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4FA460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841306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005D05F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“供应商”系指是指响应询价邀请、参加响应竞争的法人、其他组织、成交单位。</w:t>
      </w:r>
    </w:p>
    <w:p w14:paraId="1E09908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2.3“负责人”系指法人企业的法定负责人，或其他组织为法律、行政法规规定代表单位行使职权的主要负责人。</w:t>
      </w:r>
    </w:p>
    <w:p w14:paraId="2026925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7E20BA4C">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01C9BB39">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0C5540A9">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3FB68FA1">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2AFA6C8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07553063">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5860F24E">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206C09F2">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9649101">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1D9EBC9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1C193C9D">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76B1B047">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617FBE80">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3EF0469F">
      <w:pPr>
        <w:pStyle w:val="7"/>
        <w:rPr>
          <w:rFonts w:cs="仿宋" w:asciiTheme="minorEastAsia" w:hAnsiTheme="minorEastAsia"/>
          <w:color w:val="auto"/>
          <w:sz w:val="18"/>
          <w:szCs w:val="18"/>
          <w:lang w:val="en-US"/>
        </w:rPr>
      </w:pPr>
    </w:p>
    <w:p w14:paraId="4BABE76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0A496B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0F7CF4CC">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详见采购公告中获取询价采购文件的时间期限、地点等</w:t>
      </w:r>
    </w:p>
    <w:p w14:paraId="2F41FAF6">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6.响应截止前答疑会或现场考察</w:t>
      </w:r>
    </w:p>
    <w:p w14:paraId="06AA595F">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2258624C">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4A411D20">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0926ED6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5A18251D">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238CED25">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08E962F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1CC78B5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14:paraId="1283191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14:paraId="5AED54B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9.1.3本项目的其他资格要求</w:t>
      </w:r>
      <w:r>
        <w:rPr>
          <w:rFonts w:hint="eastAsia" w:cs="仿宋" w:asciiTheme="minorEastAsia" w:hAnsiTheme="minorEastAsia"/>
          <w:bCs/>
          <w:color w:val="auto"/>
          <w:sz w:val="24"/>
        </w:rPr>
        <w:t>（未要求的，无需提供）</w:t>
      </w:r>
    </w:p>
    <w:p w14:paraId="6ADDA2F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9.1.4本项目的询价保证金银行电子回单（如果有）。</w:t>
      </w:r>
    </w:p>
    <w:p w14:paraId="77EB197F">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A81846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1386DA9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337F7BB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4BAAA5C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9.2.4商务技术偏离表；</w:t>
      </w:r>
    </w:p>
    <w:p w14:paraId="3253D3D8">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9.2.5</w:t>
      </w:r>
      <w:r>
        <w:rPr>
          <w:rFonts w:hint="eastAsia" w:cs="仿宋" w:asciiTheme="minorEastAsia" w:hAnsiTheme="minorEastAsia"/>
          <w:color w:val="auto"/>
          <w:sz w:val="24"/>
          <w:lang w:val="zh-CN"/>
        </w:rPr>
        <w:t>采购供应商廉洁自律承诺书；</w:t>
      </w:r>
    </w:p>
    <w:p w14:paraId="5E9FBCB1">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9.2.6</w:t>
      </w:r>
      <w:r>
        <w:rPr>
          <w:rFonts w:hint="eastAsia" w:cs="仿宋" w:asciiTheme="minorEastAsia" w:hAnsiTheme="minorEastAsia"/>
          <w:color w:val="auto"/>
          <w:sz w:val="24"/>
          <w:lang w:val="zh-CN"/>
        </w:rPr>
        <w:t>供应商股东信息及出资比例信息表；</w:t>
      </w:r>
    </w:p>
    <w:p w14:paraId="68D9578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9.2.7供应商服务质量保证承诺函。</w:t>
      </w:r>
    </w:p>
    <w:p w14:paraId="4137272E">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3EAA55E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154F5619">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4B2FD2B6">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53C40F07">
      <w:pPr>
        <w:pStyle w:val="26"/>
        <w:snapToGrid w:val="0"/>
        <w:spacing w:before="0"/>
        <w:ind w:firstLine="482"/>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78B4BB8F">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E5F0270">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7B1D9874">
      <w:pPr>
        <w:pStyle w:val="26"/>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185DFC10">
      <w:pPr>
        <w:pStyle w:val="26"/>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04A90D37">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4DEF643">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0AAEAF81">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23C55654">
      <w:pPr>
        <w:pStyle w:val="26"/>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5D67C93F">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60D135CA">
      <w:pPr>
        <w:pStyle w:val="26"/>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6F62D3C4">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23519A91">
      <w:pPr>
        <w:pStyle w:val="26"/>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3E51CB3A">
      <w:pPr>
        <w:pStyle w:val="26"/>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445E04D6">
      <w:pPr>
        <w:pStyle w:val="26"/>
        <w:spacing w:before="0"/>
        <w:ind w:firstLine="0" w:firstLineChars="0"/>
        <w:jc w:val="center"/>
        <w:rPr>
          <w:rFonts w:cs="仿宋" w:asciiTheme="minorEastAsia" w:hAnsiTheme="minorEastAsia"/>
          <w:b/>
          <w:color w:val="auto"/>
          <w:sz w:val="32"/>
        </w:rPr>
      </w:pPr>
    </w:p>
    <w:p w14:paraId="4E754C08">
      <w:pPr>
        <w:pStyle w:val="26"/>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6B550B9F">
      <w:pPr>
        <w:pStyle w:val="27"/>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66989356">
      <w:pPr>
        <w:pStyle w:val="27"/>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15.1采购人按照询价采购文件规定的时间组织响应文件的开启，邀请所有供应商参加开启。供应商不足3家或者缴纳询价保证金少于3家（若有要求）的，不得开启拆封响应文件。</w:t>
      </w:r>
    </w:p>
    <w:p w14:paraId="69D4781E">
      <w:pPr>
        <w:pStyle w:val="27"/>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496C01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法律法规和询价采购文件的规定，对供应商的基本资格条件、其他资格条件进行审查。</w:t>
      </w:r>
    </w:p>
    <w:p w14:paraId="42499C6E">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基本资格条件、其他资格条件相应的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11C3CDBE">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79422768">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1597FC4C">
      <w:pPr>
        <w:pStyle w:val="26"/>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4DE1A373">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F94C5">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613235CF">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F237055">
      <w:pPr>
        <w:pStyle w:val="26"/>
        <w:spacing w:before="0"/>
        <w:ind w:firstLine="495" w:firstLineChars="0"/>
        <w:rPr>
          <w:rFonts w:cs="仿宋" w:asciiTheme="minorEastAsia" w:hAnsiTheme="minorEastAsia"/>
          <w:color w:val="auto"/>
          <w:kern w:val="0"/>
          <w:szCs w:val="24"/>
        </w:rPr>
      </w:pPr>
    </w:p>
    <w:p w14:paraId="730105DB">
      <w:pPr>
        <w:pStyle w:val="26"/>
        <w:spacing w:before="0"/>
        <w:ind w:firstLine="480"/>
        <w:rPr>
          <w:rFonts w:cs="仿宋" w:asciiTheme="minorEastAsia" w:hAnsiTheme="minorEastAsia"/>
          <w:color w:val="auto"/>
          <w:kern w:val="0"/>
          <w:szCs w:val="24"/>
        </w:rPr>
      </w:pPr>
    </w:p>
    <w:p w14:paraId="68E849D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10F09903">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11556391">
      <w:pPr>
        <w:spacing w:line="360" w:lineRule="auto"/>
        <w:rPr>
          <w:rFonts w:cs="仿宋" w:asciiTheme="minorEastAsia" w:hAnsiTheme="minorEastAsia"/>
          <w:b/>
          <w:color w:val="auto"/>
          <w:sz w:val="24"/>
        </w:rPr>
      </w:pPr>
    </w:p>
    <w:p w14:paraId="7A33F49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7A8DF03">
      <w:pPr>
        <w:pStyle w:val="26"/>
        <w:snapToGrid w:val="0"/>
        <w:spacing w:before="0"/>
        <w:ind w:firstLine="482"/>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14792809">
      <w:pPr>
        <w:pStyle w:val="26"/>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569683B4">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240FD2E8">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170A3A33">
      <w:pPr>
        <w:pStyle w:val="26"/>
        <w:snapToGrid w:val="0"/>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27A93B04">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64C46633">
      <w:pPr>
        <w:snapToGrid w:val="0"/>
        <w:spacing w:line="360" w:lineRule="auto"/>
        <w:ind w:left="120" w:leftChars="57" w:firstLine="482" w:firstLineChars="150"/>
        <w:jc w:val="center"/>
        <w:rPr>
          <w:rFonts w:cs="仿宋" w:asciiTheme="minorEastAsia" w:hAnsiTheme="minorEastAsia"/>
          <w:b/>
          <w:color w:val="auto"/>
          <w:sz w:val="32"/>
        </w:rPr>
      </w:pPr>
    </w:p>
    <w:p w14:paraId="3E4DBC00">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84AAA3B">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76971F5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7B465E47">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除不可抗力等特殊情况外，原则上采购人应当在成交通知书发出之日起30日内，与成交供应商按照询价采购文件确定的事项签订采购合同。</w:t>
      </w:r>
    </w:p>
    <w:p w14:paraId="6302AEAD">
      <w:pPr>
        <w:pStyle w:val="26"/>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3F93BCFF">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15E3AF4A">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27654336">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3AC3B3A9">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4A567D2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213A65B3">
      <w:pPr>
        <w:pStyle w:val="7"/>
        <w:ind w:firstLine="480" w:firstLineChars="200"/>
        <w:rPr>
          <w:color w:val="auto"/>
        </w:rPr>
      </w:pPr>
      <w:r>
        <w:rPr>
          <w:rFonts w:hint="eastAsia"/>
          <w:color w:val="auto"/>
        </w:rPr>
        <w:t>本项目无预付款。</w:t>
      </w:r>
    </w:p>
    <w:p w14:paraId="300E7912">
      <w:pPr>
        <w:tabs>
          <w:tab w:val="left" w:pos="0"/>
        </w:tabs>
        <w:spacing w:line="360" w:lineRule="auto"/>
        <w:ind w:firstLine="480"/>
        <w:rPr>
          <w:rFonts w:cs="仿宋" w:asciiTheme="minorEastAsia" w:hAnsiTheme="minorEastAsia"/>
          <w:color w:val="auto"/>
          <w:sz w:val="24"/>
        </w:rPr>
      </w:pPr>
    </w:p>
    <w:p w14:paraId="04FEA02B">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2325E64F">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398DB094">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25.1成交供应商的询价保证金将在签订合同并按要求缴纳履约保证金后全额无息退还。退保证金前，供应商必须提供加盖公章或财务专用章的收款收据。  </w:t>
      </w:r>
    </w:p>
    <w:p w14:paraId="7DA6317D">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25.2未成交供应商的询价保证金将在预成交结果公示无异议后及时全额无息退还。退保证金前，供应商必须提供加盖公章或财务专用章的收款收据。  </w:t>
      </w:r>
    </w:p>
    <w:p w14:paraId="69C392D7">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4B4D3007">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743CC00D">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5B7BD931">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7DBDC5AA">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26.4法律法规规定的其他情形。</w:t>
      </w:r>
    </w:p>
    <w:p w14:paraId="29270FD7">
      <w:pPr>
        <w:snapToGrid w:val="0"/>
        <w:spacing w:line="360" w:lineRule="auto"/>
        <w:ind w:left="120" w:leftChars="57" w:firstLine="482" w:firstLineChars="150"/>
        <w:jc w:val="center"/>
        <w:rPr>
          <w:rFonts w:cs="仿宋" w:asciiTheme="minorEastAsia" w:hAnsiTheme="minorEastAsia"/>
          <w:b/>
          <w:color w:val="auto"/>
          <w:sz w:val="32"/>
        </w:rPr>
      </w:pPr>
    </w:p>
    <w:p w14:paraId="0F6FE4FD">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712C49B9">
      <w:pPr>
        <w:pStyle w:val="9"/>
        <w:spacing w:line="360" w:lineRule="auto"/>
        <w:ind w:firstLine="482"/>
        <w:rPr>
          <w:rFonts w:cs="仿宋" w:asciiTheme="minorEastAsia" w:hAnsiTheme="minorEastAsia"/>
          <w:b/>
          <w:color w:val="auto"/>
        </w:rPr>
      </w:pPr>
      <w:r>
        <w:rPr>
          <w:rFonts w:hint="eastAsia" w:cs="仿宋" w:asciiTheme="minorEastAsia" w:hAnsiTheme="minorEastAsia"/>
          <w:b/>
          <w:color w:val="auto"/>
        </w:rPr>
        <w:t>27.验收</w:t>
      </w:r>
    </w:p>
    <w:p w14:paraId="3A3E4FD6">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334DEEC">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F10BB32">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BE48E4F">
      <w:pPr>
        <w:rPr>
          <w:rFonts w:cs="仿宋" w:asciiTheme="minorEastAsia" w:hAnsiTheme="minorEastAsia"/>
          <w:color w:val="auto"/>
          <w:kern w:val="0"/>
          <w:sz w:val="24"/>
        </w:rPr>
      </w:pPr>
    </w:p>
    <w:p w14:paraId="3A219215">
      <w:pPr>
        <w:pStyle w:val="7"/>
        <w:rPr>
          <w:color w:val="auto"/>
        </w:rPr>
      </w:pPr>
    </w:p>
    <w:p w14:paraId="31DBC2E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096E67D5">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5FFBD32">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1FD2C552">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2FD4EFD6">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7059DD84">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1CCA0040">
      <w:pPr>
        <w:pStyle w:val="7"/>
        <w:ind w:firstLine="480" w:firstLineChars="200"/>
        <w:rPr>
          <w:color w:val="auto"/>
          <w:lang w:val="en-US"/>
        </w:rPr>
      </w:pPr>
      <w:r>
        <w:rPr>
          <w:rFonts w:hint="eastAsia"/>
          <w:color w:val="auto"/>
          <w:lang w:val="en-US"/>
        </w:rPr>
        <w:t>杭州临江环境能源有限公司因日常生产需要，三固运行中心</w:t>
      </w:r>
      <w:r>
        <w:rPr>
          <w:rFonts w:hint="eastAsia"/>
          <w:color w:val="auto"/>
          <w:lang w:val="en-US" w:eastAsia="zh-CN"/>
        </w:rPr>
        <w:t>飞灰资源化利用项目</w:t>
      </w:r>
      <w:r>
        <w:rPr>
          <w:rFonts w:hint="eastAsia"/>
          <w:color w:val="auto"/>
          <w:lang w:val="en-US"/>
        </w:rPr>
        <w:t>需采购中控大屏，具体如下：</w:t>
      </w:r>
    </w:p>
    <w:tbl>
      <w:tblPr>
        <w:tblStyle w:val="19"/>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832"/>
        <w:gridCol w:w="1387"/>
        <w:gridCol w:w="3577"/>
        <w:gridCol w:w="660"/>
        <w:gridCol w:w="855"/>
        <w:gridCol w:w="1270"/>
      </w:tblGrid>
      <w:tr w14:paraId="43E1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0" w:type="pct"/>
            <w:tcBorders>
              <w:tl2br w:val="nil"/>
              <w:tr2bl w:val="nil"/>
            </w:tcBorders>
            <w:shd w:val="clear" w:color="auto" w:fill="auto"/>
            <w:vAlign w:val="center"/>
          </w:tcPr>
          <w:p w14:paraId="064EF33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序号</w:t>
            </w:r>
          </w:p>
        </w:tc>
        <w:tc>
          <w:tcPr>
            <w:tcW w:w="463" w:type="pct"/>
            <w:tcBorders>
              <w:tl2br w:val="nil"/>
              <w:tr2bl w:val="nil"/>
            </w:tcBorders>
            <w:shd w:val="clear" w:color="auto" w:fill="auto"/>
            <w:vAlign w:val="center"/>
          </w:tcPr>
          <w:p w14:paraId="36C3CB0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物资名称</w:t>
            </w:r>
          </w:p>
        </w:tc>
        <w:tc>
          <w:tcPr>
            <w:tcW w:w="772" w:type="pct"/>
            <w:tcBorders>
              <w:tl2br w:val="nil"/>
              <w:tr2bl w:val="nil"/>
            </w:tcBorders>
            <w:shd w:val="clear" w:color="auto" w:fill="auto"/>
            <w:vAlign w:val="center"/>
          </w:tcPr>
          <w:p w14:paraId="78D76FA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品牌</w:t>
            </w:r>
          </w:p>
        </w:tc>
        <w:tc>
          <w:tcPr>
            <w:tcW w:w="1992" w:type="pct"/>
            <w:tcBorders>
              <w:tl2br w:val="nil"/>
              <w:tr2bl w:val="nil"/>
            </w:tcBorders>
            <w:shd w:val="clear" w:color="auto" w:fill="auto"/>
            <w:vAlign w:val="center"/>
          </w:tcPr>
          <w:p w14:paraId="67CB669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规格型号</w:t>
            </w:r>
          </w:p>
        </w:tc>
        <w:tc>
          <w:tcPr>
            <w:tcW w:w="367" w:type="pct"/>
            <w:tcBorders>
              <w:tl2br w:val="nil"/>
              <w:tr2bl w:val="nil"/>
            </w:tcBorders>
            <w:shd w:val="clear" w:color="auto" w:fill="auto"/>
            <w:vAlign w:val="center"/>
          </w:tcPr>
          <w:p w14:paraId="0AA168DC">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单位</w:t>
            </w:r>
          </w:p>
        </w:tc>
        <w:tc>
          <w:tcPr>
            <w:tcW w:w="476" w:type="pct"/>
            <w:tcBorders>
              <w:tl2br w:val="nil"/>
              <w:tr2bl w:val="nil"/>
            </w:tcBorders>
            <w:shd w:val="clear" w:color="auto" w:fill="auto"/>
            <w:vAlign w:val="center"/>
          </w:tcPr>
          <w:p w14:paraId="452E198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数量</w:t>
            </w:r>
          </w:p>
        </w:tc>
        <w:tc>
          <w:tcPr>
            <w:tcW w:w="707" w:type="pct"/>
            <w:tcBorders>
              <w:tl2br w:val="nil"/>
              <w:tr2bl w:val="nil"/>
            </w:tcBorders>
            <w:shd w:val="clear" w:color="auto" w:fill="auto"/>
            <w:vAlign w:val="center"/>
          </w:tcPr>
          <w:p w14:paraId="29574407">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备注</w:t>
            </w:r>
          </w:p>
        </w:tc>
      </w:tr>
      <w:tr w14:paraId="36C4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20" w:type="pct"/>
            <w:tcBorders>
              <w:tl2br w:val="nil"/>
              <w:tr2bl w:val="nil"/>
            </w:tcBorders>
            <w:shd w:val="clear" w:color="auto" w:fill="FFFFFF"/>
            <w:vAlign w:val="center"/>
          </w:tcPr>
          <w:p w14:paraId="3B33EF9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463" w:type="pct"/>
            <w:tcBorders>
              <w:tl2br w:val="nil"/>
              <w:tr2bl w:val="nil"/>
            </w:tcBorders>
            <w:shd w:val="clear" w:color="auto" w:fill="auto"/>
            <w:vAlign w:val="center"/>
          </w:tcPr>
          <w:p w14:paraId="2B1ABB4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55英寸拼接屏</w:t>
            </w:r>
          </w:p>
        </w:tc>
        <w:tc>
          <w:tcPr>
            <w:tcW w:w="772" w:type="pct"/>
            <w:tcBorders>
              <w:tl2br w:val="nil"/>
              <w:tr2bl w:val="nil"/>
            </w:tcBorders>
            <w:shd w:val="clear" w:color="auto" w:fill="auto"/>
            <w:vAlign w:val="center"/>
          </w:tcPr>
          <w:p w14:paraId="643CD251">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三星（中国）投资有限公司</w:t>
            </w:r>
          </w:p>
        </w:tc>
        <w:tc>
          <w:tcPr>
            <w:tcW w:w="1992" w:type="pct"/>
            <w:tcBorders>
              <w:tl2br w:val="nil"/>
              <w:tr2bl w:val="nil"/>
            </w:tcBorders>
            <w:shd w:val="clear" w:color="auto" w:fill="auto"/>
            <w:vAlign w:val="center"/>
          </w:tcPr>
          <w:p w14:paraId="23B188EB">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w:t>
            </w:r>
            <w:r>
              <w:rPr>
                <w:rFonts w:hint="eastAsia" w:ascii="宋体" w:hAnsi="宋体" w:eastAsia="宋体" w:cs="宋体"/>
                <w:color w:val="auto"/>
                <w:kern w:val="0"/>
                <w:sz w:val="18"/>
                <w:szCs w:val="18"/>
                <w:lang w:val="en-US" w:eastAsia="zh-CN"/>
              </w:rPr>
              <w:t>英寸</w:t>
            </w:r>
            <w:r>
              <w:rPr>
                <w:rFonts w:hint="eastAsia" w:ascii="宋体" w:hAnsi="宋体" w:eastAsia="宋体" w:cs="宋体"/>
                <w:color w:val="auto"/>
                <w:kern w:val="0"/>
                <w:sz w:val="18"/>
                <w:szCs w:val="18"/>
              </w:rPr>
              <w:t>“超窄边液晶屏；物理分辨率达到1920×1080，响应时间≤8ms。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LCD显示单元物理拼缝≤0.88mm 亮度达到620cd/㎡</w:t>
            </w:r>
            <w:r>
              <w:rPr>
                <w:rFonts w:hint="eastAsia" w:ascii="宋体" w:hAnsi="宋体" w:eastAsia="宋体" w:cs="宋体"/>
                <w:color w:val="auto"/>
                <w:kern w:val="0"/>
                <w:sz w:val="18"/>
                <w:szCs w:val="18"/>
                <w:lang w:val="en-US" w:eastAsia="zh-CN"/>
              </w:rPr>
              <w:t>及以上</w:t>
            </w:r>
            <w:r>
              <w:rPr>
                <w:rFonts w:hint="eastAsia" w:ascii="宋体" w:hAnsi="宋体" w:eastAsia="宋体" w:cs="宋体"/>
                <w:color w:val="auto"/>
                <w:kern w:val="0"/>
                <w:sz w:val="18"/>
                <w:szCs w:val="18"/>
              </w:rPr>
              <w:t>，对比度达到1200:1，图像显示清晰度≥950TVL，亮度鉴别等级为11级。通过CCC检测认证，并提供CCC认证证书</w:t>
            </w:r>
          </w:p>
        </w:tc>
        <w:tc>
          <w:tcPr>
            <w:tcW w:w="367" w:type="pct"/>
            <w:tcBorders>
              <w:tl2br w:val="nil"/>
              <w:tr2bl w:val="nil"/>
            </w:tcBorders>
            <w:shd w:val="clear" w:color="auto" w:fill="auto"/>
            <w:vAlign w:val="center"/>
          </w:tcPr>
          <w:p w14:paraId="71149374">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块</w:t>
            </w:r>
          </w:p>
        </w:tc>
        <w:tc>
          <w:tcPr>
            <w:tcW w:w="476" w:type="pct"/>
            <w:tcBorders>
              <w:tl2br w:val="nil"/>
              <w:tr2bl w:val="nil"/>
            </w:tcBorders>
            <w:shd w:val="clear" w:color="auto" w:fill="auto"/>
            <w:vAlign w:val="center"/>
          </w:tcPr>
          <w:p w14:paraId="732EE17A">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12</w:t>
            </w:r>
          </w:p>
        </w:tc>
        <w:tc>
          <w:tcPr>
            <w:tcW w:w="707" w:type="pct"/>
            <w:tcBorders>
              <w:tl2br w:val="nil"/>
              <w:tr2bl w:val="nil"/>
            </w:tcBorders>
            <w:shd w:val="clear" w:color="auto" w:fill="auto"/>
            <w:vAlign w:val="center"/>
          </w:tcPr>
          <w:p w14:paraId="46B9BC79">
            <w:pPr>
              <w:widowControl/>
              <w:jc w:val="center"/>
              <w:textAlignment w:val="center"/>
              <w:rPr>
                <w:rFonts w:hint="eastAsia" w:ascii="宋体" w:hAnsi="宋体" w:eastAsia="宋体" w:cs="宋体"/>
                <w:color w:val="auto"/>
                <w:kern w:val="0"/>
                <w:sz w:val="18"/>
                <w:szCs w:val="18"/>
              </w:rPr>
            </w:pPr>
          </w:p>
        </w:tc>
      </w:tr>
      <w:tr w14:paraId="6187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0" w:type="pct"/>
            <w:tcBorders>
              <w:tl2br w:val="nil"/>
              <w:tr2bl w:val="nil"/>
            </w:tcBorders>
            <w:shd w:val="clear" w:color="auto" w:fill="FFFFFF"/>
            <w:vAlign w:val="center"/>
          </w:tcPr>
          <w:p w14:paraId="1881EF3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463" w:type="pct"/>
            <w:tcBorders>
              <w:tl2br w:val="nil"/>
              <w:tr2bl w:val="nil"/>
            </w:tcBorders>
            <w:shd w:val="clear" w:color="auto" w:fill="auto"/>
            <w:vAlign w:val="center"/>
          </w:tcPr>
          <w:p w14:paraId="56BA4D6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落地机柜</w:t>
            </w:r>
          </w:p>
        </w:tc>
        <w:tc>
          <w:tcPr>
            <w:tcW w:w="772" w:type="pct"/>
            <w:tcBorders>
              <w:tl2br w:val="nil"/>
              <w:tr2bl w:val="nil"/>
            </w:tcBorders>
            <w:shd w:val="clear" w:color="auto" w:fill="auto"/>
            <w:vAlign w:val="center"/>
          </w:tcPr>
          <w:p w14:paraId="53D7718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992" w:type="pct"/>
            <w:tcBorders>
              <w:tl2br w:val="nil"/>
              <w:tr2bl w:val="nil"/>
            </w:tcBorders>
            <w:shd w:val="clear" w:color="auto" w:fill="auto"/>
            <w:vAlign w:val="center"/>
          </w:tcPr>
          <w:p w14:paraId="3F27823A">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落地机柜尺寸见示意图文件、材料选用优质冷轧钢板、颜色黑色</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具体见下方图1、2、3</w:t>
            </w:r>
            <w:r>
              <w:rPr>
                <w:rFonts w:hint="eastAsia" w:ascii="宋体" w:hAnsi="宋体" w:eastAsia="宋体" w:cs="宋体"/>
                <w:color w:val="auto"/>
                <w:kern w:val="0"/>
                <w:sz w:val="18"/>
                <w:szCs w:val="18"/>
                <w:lang w:eastAsia="zh-CN"/>
              </w:rPr>
              <w:t>）</w:t>
            </w:r>
          </w:p>
        </w:tc>
        <w:tc>
          <w:tcPr>
            <w:tcW w:w="367" w:type="pct"/>
            <w:tcBorders>
              <w:tl2br w:val="nil"/>
              <w:tr2bl w:val="nil"/>
            </w:tcBorders>
            <w:shd w:val="clear" w:color="auto" w:fill="auto"/>
            <w:vAlign w:val="center"/>
          </w:tcPr>
          <w:p w14:paraId="791BB03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476" w:type="pct"/>
            <w:tcBorders>
              <w:tl2br w:val="nil"/>
              <w:tr2bl w:val="nil"/>
            </w:tcBorders>
            <w:shd w:val="clear" w:color="auto" w:fill="auto"/>
            <w:vAlign w:val="center"/>
          </w:tcPr>
          <w:p w14:paraId="1C81F2C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w:t>
            </w:r>
          </w:p>
        </w:tc>
        <w:tc>
          <w:tcPr>
            <w:tcW w:w="707" w:type="pct"/>
            <w:tcBorders>
              <w:tl2br w:val="nil"/>
              <w:tr2bl w:val="nil"/>
            </w:tcBorders>
            <w:shd w:val="clear" w:color="auto" w:fill="auto"/>
            <w:vAlign w:val="center"/>
          </w:tcPr>
          <w:p w14:paraId="67C0F333">
            <w:pPr>
              <w:widowControl/>
              <w:jc w:val="center"/>
              <w:textAlignment w:val="center"/>
              <w:rPr>
                <w:rFonts w:hint="default" w:ascii="宋体" w:hAnsi="宋体" w:eastAsia="宋体" w:cs="宋体"/>
                <w:color w:val="auto"/>
                <w:kern w:val="0"/>
                <w:sz w:val="18"/>
                <w:szCs w:val="18"/>
                <w:lang w:val="en-US" w:eastAsia="zh-CN"/>
              </w:rPr>
            </w:pPr>
          </w:p>
        </w:tc>
      </w:tr>
      <w:tr w14:paraId="49B8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20" w:type="pct"/>
            <w:tcBorders>
              <w:tl2br w:val="nil"/>
              <w:tr2bl w:val="nil"/>
            </w:tcBorders>
            <w:shd w:val="clear" w:color="auto" w:fill="FFFFFF"/>
            <w:vAlign w:val="center"/>
          </w:tcPr>
          <w:p w14:paraId="0FDFDF92">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463" w:type="pct"/>
            <w:tcBorders>
              <w:tl2br w:val="nil"/>
              <w:tr2bl w:val="nil"/>
            </w:tcBorders>
            <w:shd w:val="clear" w:color="auto" w:fill="auto"/>
            <w:vAlign w:val="center"/>
          </w:tcPr>
          <w:p w14:paraId="67A98303">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视频解码器</w:t>
            </w:r>
          </w:p>
        </w:tc>
        <w:tc>
          <w:tcPr>
            <w:tcW w:w="772" w:type="pct"/>
            <w:tcBorders>
              <w:tl2br w:val="nil"/>
              <w:tr2bl w:val="nil"/>
            </w:tcBorders>
            <w:shd w:val="clear" w:color="auto" w:fill="auto"/>
            <w:vAlign w:val="center"/>
          </w:tcPr>
          <w:p w14:paraId="19557FA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/三星（中国）投资有限公司</w:t>
            </w:r>
          </w:p>
        </w:tc>
        <w:tc>
          <w:tcPr>
            <w:tcW w:w="1992" w:type="pct"/>
            <w:tcBorders>
              <w:tl2br w:val="nil"/>
              <w:tr2bl w:val="nil"/>
            </w:tcBorders>
            <w:shd w:val="clear" w:color="auto" w:fill="auto"/>
            <w:vAlign w:val="center"/>
          </w:tcPr>
          <w:p w14:paraId="37ADD996">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8路HDMI进+</w:t>
            </w:r>
            <w:r>
              <w:rPr>
                <w:rFonts w:hint="eastAsia" w:ascii="宋体" w:hAnsi="宋体" w:eastAsia="宋体" w:cs="宋体"/>
                <w:color w:val="auto"/>
                <w:kern w:val="0"/>
                <w:sz w:val="18"/>
                <w:szCs w:val="18"/>
                <w:lang w:val="en-US" w:eastAsia="zh-CN"/>
              </w:rPr>
              <w:t>16</w:t>
            </w:r>
            <w:r>
              <w:rPr>
                <w:rFonts w:hint="eastAsia" w:ascii="宋体" w:hAnsi="宋体" w:eastAsia="宋体" w:cs="宋体"/>
                <w:color w:val="auto"/>
                <w:kern w:val="0"/>
                <w:sz w:val="18"/>
                <w:szCs w:val="18"/>
              </w:rPr>
              <w:t xml:space="preserve">路HDMI出 </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U标准机箱，满足中小规模的监控需求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标准机架式设计，运营级ATCA机箱系统  </w:t>
            </w:r>
          </w:p>
          <w:p w14:paraId="53444001">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整机解码能力：1</w:t>
            </w:r>
            <w:r>
              <w:rPr>
                <w:rFonts w:hint="eastAsia" w:ascii="宋体" w:hAnsi="宋体" w:eastAsia="宋体" w:cs="宋体"/>
                <w:color w:val="auto"/>
                <w:kern w:val="0"/>
                <w:sz w:val="18"/>
                <w:szCs w:val="18"/>
                <w:lang w:val="en-US" w:eastAsia="zh-CN"/>
              </w:rPr>
              <w:t>28</w:t>
            </w:r>
            <w:r>
              <w:rPr>
                <w:rFonts w:hint="eastAsia" w:ascii="宋体" w:hAnsi="宋体" w:eastAsia="宋体" w:cs="宋体"/>
                <w:color w:val="auto"/>
                <w:kern w:val="0"/>
                <w:sz w:val="18"/>
                <w:szCs w:val="18"/>
              </w:rPr>
              <w:t>路1080P</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整机编码能力：</w:t>
            </w:r>
            <w:r>
              <w:rPr>
                <w:rFonts w:hint="eastAsia" w:ascii="宋体" w:hAnsi="宋体" w:eastAsia="宋体" w:cs="宋体"/>
                <w:color w:val="auto"/>
                <w:kern w:val="0"/>
                <w:sz w:val="18"/>
                <w:szCs w:val="18"/>
                <w:lang w:val="en-US" w:eastAsia="zh-CN"/>
              </w:rPr>
              <w:t>8</w:t>
            </w:r>
            <w:r>
              <w:rPr>
                <w:rFonts w:hint="eastAsia" w:ascii="宋体" w:hAnsi="宋体" w:eastAsia="宋体" w:cs="宋体"/>
                <w:color w:val="auto"/>
                <w:kern w:val="0"/>
                <w:sz w:val="18"/>
                <w:szCs w:val="18"/>
              </w:rPr>
              <w:t>路1080P</w:t>
            </w:r>
          </w:p>
          <w:p w14:paraId="625E4B1E">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整机拼接能力：支持16个显示屏的任意大屏拼接，单输出口支持1/4/6/8/9/16/25画面分割显示解码支持H.265、H.264、MJPEG等主流的编码格式支持HDMI等输出显示</w:t>
            </w:r>
          </w:p>
        </w:tc>
        <w:tc>
          <w:tcPr>
            <w:tcW w:w="367" w:type="pct"/>
            <w:tcBorders>
              <w:tl2br w:val="nil"/>
              <w:tr2bl w:val="nil"/>
            </w:tcBorders>
            <w:shd w:val="clear" w:color="auto" w:fill="auto"/>
            <w:vAlign w:val="center"/>
          </w:tcPr>
          <w:p w14:paraId="2C41CDB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台</w:t>
            </w:r>
          </w:p>
        </w:tc>
        <w:tc>
          <w:tcPr>
            <w:tcW w:w="476" w:type="pct"/>
            <w:tcBorders>
              <w:tl2br w:val="nil"/>
              <w:tr2bl w:val="nil"/>
            </w:tcBorders>
            <w:shd w:val="clear" w:color="auto" w:fill="auto"/>
            <w:vAlign w:val="center"/>
          </w:tcPr>
          <w:p w14:paraId="6D19CF0B">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707" w:type="pct"/>
            <w:tcBorders>
              <w:tl2br w:val="nil"/>
              <w:tr2bl w:val="nil"/>
            </w:tcBorders>
            <w:shd w:val="clear" w:color="auto" w:fill="auto"/>
            <w:vAlign w:val="center"/>
          </w:tcPr>
          <w:p w14:paraId="207D044F">
            <w:pPr>
              <w:widowControl/>
              <w:jc w:val="center"/>
              <w:textAlignment w:val="center"/>
              <w:rPr>
                <w:rFonts w:hint="eastAsia" w:ascii="宋体" w:hAnsi="宋体" w:eastAsia="宋体" w:cs="宋体"/>
                <w:color w:val="auto"/>
                <w:kern w:val="0"/>
                <w:sz w:val="18"/>
                <w:szCs w:val="18"/>
              </w:rPr>
            </w:pPr>
          </w:p>
        </w:tc>
      </w:tr>
      <w:tr w14:paraId="7E15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0" w:type="pct"/>
            <w:tcBorders>
              <w:tl2br w:val="nil"/>
              <w:tr2bl w:val="nil"/>
            </w:tcBorders>
            <w:shd w:val="clear" w:color="auto" w:fill="FFFFFF"/>
            <w:vAlign w:val="center"/>
          </w:tcPr>
          <w:p w14:paraId="4758FF2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463" w:type="pct"/>
            <w:tcBorders>
              <w:tl2br w:val="nil"/>
              <w:tr2bl w:val="nil"/>
            </w:tcBorders>
            <w:shd w:val="clear" w:color="auto" w:fill="auto"/>
            <w:vAlign w:val="center"/>
          </w:tcPr>
          <w:p w14:paraId="5DCBC6BC">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前端汇聚交换机</w:t>
            </w:r>
          </w:p>
        </w:tc>
        <w:tc>
          <w:tcPr>
            <w:tcW w:w="772" w:type="pct"/>
            <w:tcBorders>
              <w:tl2br w:val="nil"/>
              <w:tr2bl w:val="nil"/>
            </w:tcBorders>
            <w:shd w:val="clear" w:color="auto" w:fill="auto"/>
            <w:vAlign w:val="center"/>
          </w:tcPr>
          <w:p w14:paraId="001024E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思科、锐捷、华为或其他同档次及以上品牌</w:t>
            </w:r>
          </w:p>
        </w:tc>
        <w:tc>
          <w:tcPr>
            <w:tcW w:w="1992" w:type="pct"/>
            <w:tcBorders>
              <w:tl2br w:val="nil"/>
              <w:tr2bl w:val="nil"/>
            </w:tcBorders>
            <w:shd w:val="clear" w:color="auto" w:fill="auto"/>
            <w:vAlign w:val="center"/>
          </w:tcPr>
          <w:p w14:paraId="5E445ECC">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24个10/100/1000Mbps自适应电口交换机，固化4个SFP+万兆光口，支持VLAN、ACL、端口镜像、端口聚合等功能</w:t>
            </w:r>
          </w:p>
        </w:tc>
        <w:tc>
          <w:tcPr>
            <w:tcW w:w="367" w:type="pct"/>
            <w:tcBorders>
              <w:tl2br w:val="nil"/>
              <w:tr2bl w:val="nil"/>
            </w:tcBorders>
            <w:shd w:val="clear" w:color="auto" w:fill="auto"/>
            <w:vAlign w:val="center"/>
          </w:tcPr>
          <w:p w14:paraId="67FAF25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台</w:t>
            </w:r>
          </w:p>
        </w:tc>
        <w:tc>
          <w:tcPr>
            <w:tcW w:w="476" w:type="pct"/>
            <w:tcBorders>
              <w:tl2br w:val="nil"/>
              <w:tr2bl w:val="nil"/>
            </w:tcBorders>
            <w:shd w:val="clear" w:color="auto" w:fill="auto"/>
            <w:vAlign w:val="center"/>
          </w:tcPr>
          <w:p w14:paraId="61EBBA46">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p>
        </w:tc>
        <w:tc>
          <w:tcPr>
            <w:tcW w:w="707" w:type="pct"/>
            <w:tcBorders>
              <w:tl2br w:val="nil"/>
              <w:tr2bl w:val="nil"/>
            </w:tcBorders>
            <w:shd w:val="clear" w:color="auto" w:fill="auto"/>
            <w:vAlign w:val="center"/>
          </w:tcPr>
          <w:p w14:paraId="6CA0D306">
            <w:pPr>
              <w:widowControl/>
              <w:jc w:val="center"/>
              <w:textAlignment w:val="center"/>
              <w:rPr>
                <w:rFonts w:hint="eastAsia" w:ascii="宋体" w:hAnsi="宋体" w:eastAsia="宋体" w:cs="宋体"/>
                <w:color w:val="auto"/>
                <w:kern w:val="0"/>
                <w:sz w:val="18"/>
                <w:szCs w:val="18"/>
              </w:rPr>
            </w:pPr>
          </w:p>
        </w:tc>
      </w:tr>
      <w:tr w14:paraId="0DE6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0" w:type="pct"/>
            <w:tcBorders>
              <w:tl2br w:val="nil"/>
              <w:tr2bl w:val="nil"/>
            </w:tcBorders>
            <w:shd w:val="clear" w:color="auto" w:fill="FFFFFF"/>
            <w:vAlign w:val="center"/>
          </w:tcPr>
          <w:p w14:paraId="48AC80B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463" w:type="pct"/>
            <w:tcBorders>
              <w:tl2br w:val="nil"/>
              <w:tr2bl w:val="nil"/>
            </w:tcBorders>
            <w:shd w:val="clear" w:color="auto" w:fill="auto"/>
            <w:vAlign w:val="center"/>
          </w:tcPr>
          <w:p w14:paraId="35FFD3F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光纤 HDMI 高清信号线</w:t>
            </w:r>
          </w:p>
        </w:tc>
        <w:tc>
          <w:tcPr>
            <w:tcW w:w="772" w:type="pct"/>
            <w:tcBorders>
              <w:tl2br w:val="nil"/>
              <w:tr2bl w:val="nil"/>
            </w:tcBorders>
            <w:shd w:val="clear" w:color="auto" w:fill="auto"/>
            <w:vAlign w:val="center"/>
          </w:tcPr>
          <w:p w14:paraId="2E9F311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秋叶原、绿联、飞利浦或其他同档次及以上品牌</w:t>
            </w:r>
          </w:p>
        </w:tc>
        <w:tc>
          <w:tcPr>
            <w:tcW w:w="1992" w:type="pct"/>
            <w:tcBorders>
              <w:tl2br w:val="nil"/>
              <w:tr2bl w:val="nil"/>
            </w:tcBorders>
            <w:shd w:val="clear" w:color="auto" w:fill="auto"/>
            <w:vAlign w:val="center"/>
          </w:tcPr>
          <w:p w14:paraId="7F1F3B4D">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15米长信号线，4K HDMI</w:t>
            </w:r>
          </w:p>
        </w:tc>
        <w:tc>
          <w:tcPr>
            <w:tcW w:w="367" w:type="pct"/>
            <w:tcBorders>
              <w:tl2br w:val="nil"/>
              <w:tr2bl w:val="nil"/>
            </w:tcBorders>
            <w:shd w:val="clear" w:color="auto" w:fill="auto"/>
            <w:vAlign w:val="center"/>
          </w:tcPr>
          <w:p w14:paraId="1FEB126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条</w:t>
            </w:r>
          </w:p>
        </w:tc>
        <w:tc>
          <w:tcPr>
            <w:tcW w:w="476" w:type="pct"/>
            <w:tcBorders>
              <w:tl2br w:val="nil"/>
              <w:tr2bl w:val="nil"/>
            </w:tcBorders>
            <w:shd w:val="clear" w:color="auto" w:fill="auto"/>
            <w:vAlign w:val="center"/>
          </w:tcPr>
          <w:p w14:paraId="6A970DE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rPr>
              <w:t>5</w:t>
            </w:r>
          </w:p>
        </w:tc>
        <w:tc>
          <w:tcPr>
            <w:tcW w:w="707" w:type="pct"/>
            <w:tcBorders>
              <w:tl2br w:val="nil"/>
              <w:tr2bl w:val="nil"/>
            </w:tcBorders>
            <w:shd w:val="clear" w:color="auto" w:fill="auto"/>
            <w:vAlign w:val="center"/>
          </w:tcPr>
          <w:p w14:paraId="257F3902">
            <w:pPr>
              <w:widowControl/>
              <w:jc w:val="center"/>
              <w:textAlignment w:val="center"/>
              <w:rPr>
                <w:rFonts w:hint="eastAsia" w:ascii="宋体" w:hAnsi="宋体" w:eastAsia="宋体" w:cs="宋体"/>
                <w:color w:val="auto"/>
                <w:kern w:val="0"/>
                <w:sz w:val="18"/>
                <w:szCs w:val="18"/>
              </w:rPr>
            </w:pPr>
          </w:p>
        </w:tc>
      </w:tr>
      <w:tr w14:paraId="292E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tcBorders>
              <w:tl2br w:val="nil"/>
              <w:tr2bl w:val="nil"/>
            </w:tcBorders>
            <w:shd w:val="clear" w:color="auto" w:fill="FFFFFF"/>
            <w:vAlign w:val="center"/>
          </w:tcPr>
          <w:p w14:paraId="23086BB4">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463" w:type="pct"/>
            <w:tcBorders>
              <w:tl2br w:val="nil"/>
              <w:tr2bl w:val="nil"/>
            </w:tcBorders>
            <w:shd w:val="clear" w:color="auto" w:fill="auto"/>
            <w:vAlign w:val="center"/>
          </w:tcPr>
          <w:p w14:paraId="36A6F7BD">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LED条屏</w:t>
            </w:r>
          </w:p>
        </w:tc>
        <w:tc>
          <w:tcPr>
            <w:tcW w:w="772" w:type="pct"/>
            <w:tcBorders>
              <w:tl2br w:val="nil"/>
              <w:tr2bl w:val="nil"/>
            </w:tcBorders>
            <w:shd w:val="clear" w:color="auto" w:fill="auto"/>
            <w:vAlign w:val="center"/>
          </w:tcPr>
          <w:p w14:paraId="019E4CC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大华/海康/利亚德</w:t>
            </w:r>
          </w:p>
        </w:tc>
        <w:tc>
          <w:tcPr>
            <w:tcW w:w="1992" w:type="pct"/>
            <w:tcBorders>
              <w:tl2br w:val="nil"/>
              <w:tr2bl w:val="nil"/>
            </w:tcBorders>
            <w:shd w:val="clear" w:color="auto" w:fill="auto"/>
            <w:vAlign w:val="center"/>
          </w:tcPr>
          <w:p w14:paraId="3119DDCB">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P2.0全彩LED屏,模组尺寸320mm*160mm，条屏尺寸4800mm*320mm，含接收卡，视频处理器及播放软件等（高度0.3米）</w:t>
            </w:r>
          </w:p>
        </w:tc>
        <w:tc>
          <w:tcPr>
            <w:tcW w:w="367" w:type="pct"/>
            <w:tcBorders>
              <w:tl2br w:val="nil"/>
              <w:tr2bl w:val="nil"/>
            </w:tcBorders>
            <w:shd w:val="clear" w:color="auto" w:fill="auto"/>
            <w:vAlign w:val="center"/>
          </w:tcPr>
          <w:p w14:paraId="3F97B2E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平方米</w:t>
            </w:r>
          </w:p>
        </w:tc>
        <w:tc>
          <w:tcPr>
            <w:tcW w:w="476" w:type="pct"/>
            <w:tcBorders>
              <w:tl2br w:val="nil"/>
              <w:tr2bl w:val="nil"/>
            </w:tcBorders>
            <w:shd w:val="clear" w:color="auto" w:fill="auto"/>
            <w:vAlign w:val="center"/>
          </w:tcPr>
          <w:p w14:paraId="16661042">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1.536</w:t>
            </w:r>
          </w:p>
        </w:tc>
        <w:tc>
          <w:tcPr>
            <w:tcW w:w="707" w:type="pct"/>
            <w:tcBorders>
              <w:tl2br w:val="nil"/>
              <w:tr2bl w:val="nil"/>
            </w:tcBorders>
            <w:shd w:val="clear" w:color="auto" w:fill="auto"/>
            <w:vAlign w:val="center"/>
          </w:tcPr>
          <w:p w14:paraId="79895390">
            <w:pPr>
              <w:widowControl/>
              <w:jc w:val="center"/>
              <w:textAlignment w:val="center"/>
              <w:rPr>
                <w:rFonts w:hint="eastAsia" w:ascii="宋体" w:hAnsi="宋体" w:eastAsia="宋体" w:cs="宋体"/>
                <w:color w:val="auto"/>
                <w:kern w:val="0"/>
                <w:sz w:val="18"/>
                <w:szCs w:val="18"/>
              </w:rPr>
            </w:pPr>
          </w:p>
        </w:tc>
      </w:tr>
      <w:tr w14:paraId="455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0" w:type="pct"/>
            <w:tcBorders>
              <w:tl2br w:val="nil"/>
              <w:tr2bl w:val="nil"/>
            </w:tcBorders>
            <w:shd w:val="clear" w:color="auto" w:fill="FFFFFF"/>
            <w:vAlign w:val="center"/>
          </w:tcPr>
          <w:p w14:paraId="10337B7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463" w:type="pct"/>
            <w:tcBorders>
              <w:tl2br w:val="nil"/>
              <w:tr2bl w:val="nil"/>
            </w:tcBorders>
            <w:shd w:val="clear" w:color="auto" w:fill="auto"/>
            <w:vAlign w:val="center"/>
          </w:tcPr>
          <w:p w14:paraId="2639782D">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配套附件，配套中控室安装辅材</w:t>
            </w:r>
          </w:p>
        </w:tc>
        <w:tc>
          <w:tcPr>
            <w:tcW w:w="772" w:type="pct"/>
            <w:tcBorders>
              <w:tl2br w:val="nil"/>
              <w:tr2bl w:val="nil"/>
            </w:tcBorders>
            <w:shd w:val="clear" w:color="auto" w:fill="auto"/>
            <w:vAlign w:val="center"/>
          </w:tcPr>
          <w:p w14:paraId="21308F3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国标</w:t>
            </w:r>
          </w:p>
        </w:tc>
        <w:tc>
          <w:tcPr>
            <w:tcW w:w="1992" w:type="pct"/>
            <w:tcBorders>
              <w:tl2br w:val="nil"/>
              <w:tr2bl w:val="nil"/>
            </w:tcBorders>
            <w:shd w:val="clear" w:color="auto" w:fill="auto"/>
            <w:vAlign w:val="center"/>
          </w:tcPr>
          <w:p w14:paraId="51142FB9">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配套辅件，包括但不限于螺丝、电源线、光纤跳线、3米无氧铜网络跳线、RJ45-RS232转接头、遥控器、24口金属理线架、机打线束标签、水晶头，PDU插座、光模块（千兆单模）等</w:t>
            </w:r>
          </w:p>
        </w:tc>
        <w:tc>
          <w:tcPr>
            <w:tcW w:w="367" w:type="pct"/>
            <w:tcBorders>
              <w:tl2br w:val="nil"/>
              <w:tr2bl w:val="nil"/>
            </w:tcBorders>
            <w:shd w:val="clear" w:color="auto" w:fill="auto"/>
            <w:vAlign w:val="center"/>
          </w:tcPr>
          <w:p w14:paraId="5D137B76">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若干</w:t>
            </w:r>
          </w:p>
        </w:tc>
        <w:tc>
          <w:tcPr>
            <w:tcW w:w="476" w:type="pct"/>
            <w:tcBorders>
              <w:tl2br w:val="nil"/>
              <w:tr2bl w:val="nil"/>
            </w:tcBorders>
            <w:shd w:val="clear" w:color="auto" w:fill="auto"/>
            <w:vAlign w:val="center"/>
          </w:tcPr>
          <w:p w14:paraId="3B0E0369">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满足需求，自行配置</w:t>
            </w:r>
          </w:p>
        </w:tc>
        <w:tc>
          <w:tcPr>
            <w:tcW w:w="707" w:type="pct"/>
            <w:tcBorders>
              <w:tl2br w:val="nil"/>
              <w:tr2bl w:val="nil"/>
            </w:tcBorders>
            <w:shd w:val="clear" w:color="auto" w:fill="auto"/>
            <w:vAlign w:val="center"/>
          </w:tcPr>
          <w:p w14:paraId="5E24301C">
            <w:pPr>
              <w:widowControl/>
              <w:jc w:val="center"/>
              <w:textAlignment w:val="center"/>
              <w:rPr>
                <w:rFonts w:hint="eastAsia" w:ascii="宋体" w:hAnsi="宋体" w:eastAsia="宋体" w:cs="宋体"/>
                <w:color w:val="auto"/>
                <w:kern w:val="0"/>
                <w:sz w:val="18"/>
                <w:szCs w:val="18"/>
              </w:rPr>
            </w:pPr>
          </w:p>
        </w:tc>
      </w:tr>
    </w:tbl>
    <w:p w14:paraId="75F4AF8E">
      <w:pPr>
        <w:spacing w:beforeLines="50" w:line="360" w:lineRule="auto"/>
        <w:ind w:firstLine="420" w:firstLineChars="200"/>
        <w:rPr>
          <w:rFonts w:hint="eastAsia" w:cs="仿宋" w:asciiTheme="minorEastAsia" w:hAnsiTheme="minorEastAsia"/>
          <w:b/>
          <w:bCs/>
          <w:color w:val="auto"/>
          <w:sz w:val="24"/>
        </w:rPr>
      </w:pPr>
      <w:r>
        <w:rPr>
          <w:rFonts w:hint="eastAsia" w:eastAsiaTheme="minorEastAsia"/>
          <w:color w:val="000000" w:themeColor="text1"/>
          <w:lang w:eastAsia="zh-CN"/>
          <w14:textFill>
            <w14:solidFill>
              <w14:schemeClr w14:val="tx1"/>
            </w14:solidFill>
          </w14:textFill>
        </w:rPr>
        <w:drawing>
          <wp:inline distT="0" distB="0" distL="114300" distR="114300">
            <wp:extent cx="5232400" cy="2947035"/>
            <wp:effectExtent l="0" t="0" r="6350" b="5715"/>
            <wp:docPr id="8" name="图片 8" descr="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正面"/>
                    <pic:cNvPicPr>
                      <a:picLocks noChangeAspect="1"/>
                    </pic:cNvPicPr>
                  </pic:nvPicPr>
                  <pic:blipFill>
                    <a:blip r:embed="rId21"/>
                    <a:stretch>
                      <a:fillRect/>
                    </a:stretch>
                  </pic:blipFill>
                  <pic:spPr>
                    <a:xfrm>
                      <a:off x="0" y="0"/>
                      <a:ext cx="5232400" cy="2947035"/>
                    </a:xfrm>
                    <a:prstGeom prst="rect">
                      <a:avLst/>
                    </a:prstGeom>
                  </pic:spPr>
                </pic:pic>
              </a:graphicData>
            </a:graphic>
          </wp:inline>
        </w:drawing>
      </w:r>
    </w:p>
    <w:p w14:paraId="730AB2FA">
      <w:pPr>
        <w:jc w:val="center"/>
        <w:rPr>
          <w:rFonts w:hint="eastAsia" w:eastAsiaTheme="minorEastAsia"/>
          <w:color w:val="auto"/>
          <w:lang w:eastAsia="zh-CN"/>
        </w:rPr>
      </w:pPr>
      <w:r>
        <w:rPr>
          <w:rFonts w:hint="eastAsia" w:asciiTheme="minorHAnsi" w:eastAsiaTheme="minorEastAsia"/>
          <w:color w:val="auto"/>
          <w:lang w:val="en-US" w:eastAsia="zh-CN"/>
        </w:rPr>
        <w:t>图1：效果示意图</w:t>
      </w:r>
    </w:p>
    <w:p w14:paraId="0C0CC70F">
      <w:pPr>
        <w:spacing w:beforeLines="50" w:line="360" w:lineRule="auto"/>
        <w:ind w:firstLine="420" w:firstLineChars="200"/>
        <w:rPr>
          <w:rFonts w:hint="eastAsia" w:cs="仿宋" w:asciiTheme="minorEastAsia" w:hAnsiTheme="minorEastAsia"/>
          <w:b/>
          <w:bCs/>
          <w:color w:val="auto"/>
          <w:sz w:val="24"/>
        </w:rPr>
      </w:pPr>
      <w:r>
        <w:drawing>
          <wp:inline distT="0" distB="0" distL="114300" distR="114300">
            <wp:extent cx="5273675" cy="4292600"/>
            <wp:effectExtent l="0" t="0" r="3175"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2"/>
                    <a:stretch>
                      <a:fillRect/>
                    </a:stretch>
                  </pic:blipFill>
                  <pic:spPr>
                    <a:xfrm>
                      <a:off x="0" y="0"/>
                      <a:ext cx="5273675" cy="4292600"/>
                    </a:xfrm>
                    <a:prstGeom prst="rect">
                      <a:avLst/>
                    </a:prstGeom>
                    <a:noFill/>
                    <a:ln>
                      <a:noFill/>
                    </a:ln>
                  </pic:spPr>
                </pic:pic>
              </a:graphicData>
            </a:graphic>
          </wp:inline>
        </w:drawing>
      </w:r>
    </w:p>
    <w:p w14:paraId="3484A118">
      <w:pPr>
        <w:jc w:val="center"/>
        <w:rPr>
          <w:rFonts w:hint="default" w:eastAsiaTheme="minorEastAsia"/>
          <w:color w:val="auto"/>
          <w:lang w:val="en-US" w:eastAsia="zh-CN"/>
        </w:rPr>
      </w:pPr>
      <w:r>
        <w:rPr>
          <w:rFonts w:hint="eastAsia" w:asciiTheme="minorHAnsi" w:eastAsiaTheme="minorEastAsia"/>
          <w:color w:val="auto"/>
          <w:lang w:val="en-US" w:eastAsia="zh-CN"/>
        </w:rPr>
        <w:t>图2：电视墙尺寸示意图</w:t>
      </w:r>
    </w:p>
    <w:p w14:paraId="637629D1">
      <w:pPr>
        <w:spacing w:beforeLines="50" w:line="360" w:lineRule="auto"/>
        <w:ind w:firstLine="420" w:firstLineChars="200"/>
        <w:rPr>
          <w:rFonts w:hint="eastAsia" w:cs="仿宋" w:asciiTheme="minorEastAsia" w:hAnsiTheme="minorEastAsia"/>
          <w:b/>
          <w:bCs/>
          <w:color w:val="auto"/>
          <w:sz w:val="24"/>
        </w:rPr>
      </w:pPr>
      <w:r>
        <w:drawing>
          <wp:inline distT="0" distB="0" distL="114300" distR="114300">
            <wp:extent cx="5273675" cy="3911600"/>
            <wp:effectExtent l="0" t="0" r="31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3"/>
                    <a:stretch>
                      <a:fillRect/>
                    </a:stretch>
                  </pic:blipFill>
                  <pic:spPr>
                    <a:xfrm>
                      <a:off x="0" y="0"/>
                      <a:ext cx="5273675" cy="3911600"/>
                    </a:xfrm>
                    <a:prstGeom prst="rect">
                      <a:avLst/>
                    </a:prstGeom>
                    <a:noFill/>
                    <a:ln>
                      <a:noFill/>
                    </a:ln>
                  </pic:spPr>
                </pic:pic>
              </a:graphicData>
            </a:graphic>
          </wp:inline>
        </w:drawing>
      </w:r>
    </w:p>
    <w:p w14:paraId="1674A63B">
      <w:pPr>
        <w:jc w:val="center"/>
        <w:rPr>
          <w:rFonts w:hint="default" w:eastAsiaTheme="minorEastAsia"/>
          <w:color w:val="auto"/>
          <w:lang w:val="en-US" w:eastAsia="zh-CN"/>
        </w:rPr>
      </w:pPr>
      <w:r>
        <w:rPr>
          <w:rFonts w:hint="eastAsia" w:asciiTheme="minorHAnsi" w:eastAsiaTheme="minorEastAsia"/>
          <w:color w:val="auto"/>
          <w:lang w:val="en-US" w:eastAsia="zh-CN"/>
        </w:rPr>
        <w:t>图3：飞灰资源化中控室平面示意图</w:t>
      </w:r>
    </w:p>
    <w:p w14:paraId="346802EB">
      <w:pPr>
        <w:rPr>
          <w:rFonts w:hint="eastAsia" w:cs="仿宋" w:asciiTheme="minorEastAsia" w:hAnsiTheme="minorEastAsia"/>
          <w:b/>
          <w:bCs/>
          <w:color w:val="auto"/>
          <w:sz w:val="24"/>
        </w:rPr>
      </w:pPr>
    </w:p>
    <w:p w14:paraId="7AB59FCD">
      <w:pPr>
        <w:spacing w:beforeLines="50"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▲二、技术要求</w:t>
      </w:r>
    </w:p>
    <w:p w14:paraId="766E4948">
      <w:pPr>
        <w:pStyle w:val="22"/>
        <w:adjustRightInd/>
        <w:spacing w:line="360" w:lineRule="auto"/>
        <w:ind w:firstLine="428"/>
        <w:rPr>
          <w:rFonts w:ascii="宋体" w:hAnsi="宋体" w:eastAsia="宋体" w:cs="宋体"/>
          <w:b w:val="0"/>
          <w:bCs w:val="0"/>
          <w:color w:val="auto"/>
          <w:sz w:val="21"/>
        </w:rPr>
      </w:pPr>
      <w:r>
        <w:rPr>
          <w:rFonts w:hint="eastAsia" w:ascii="宋体" w:hAnsi="宋体" w:eastAsia="宋体" w:cs="仿宋"/>
          <w:b w:val="0"/>
          <w:bCs w:val="0"/>
          <w:color w:val="auto"/>
          <w:sz w:val="21"/>
        </w:rPr>
        <w:t>1.</w:t>
      </w:r>
      <w:r>
        <w:rPr>
          <w:rFonts w:hint="eastAsia" w:ascii="宋体" w:hAnsi="宋体" w:eastAsia="宋体" w:cs="宋体"/>
          <w:b w:val="0"/>
          <w:bCs w:val="0"/>
          <w:color w:val="auto"/>
          <w:sz w:val="21"/>
        </w:rPr>
        <w:t>拼接屏技术要求</w:t>
      </w:r>
    </w:p>
    <w:p w14:paraId="61C391FC">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1.1技术参数要求： LCD显示单元为55英寸超窄边液晶屏；物理分辨率达到1920×1080，响应时间≤8ms。LCD显示单元物理拼缝≤0.88mm，亮度达到620cd/㎡，对比度达到1200:1，图像显示清晰度≥950TVL，亮度鉴别等级为11级。测试频率范围80MHz~2.7GHz； 频率为1KHz，80%调制的正弦波； 测试场强10V/m; 无闪屏、花屏现象。</w:t>
      </w:r>
    </w:p>
    <w:p w14:paraId="02C2C939">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1.2液晶拼接屏支持遥控器一键给所有屏幕分配不同ID编号，同时支持在所有屏幕拥有不同ID时遥控器可以任意选中1块屏幕或多块屏幕进行操作。</w:t>
      </w:r>
    </w:p>
    <w:p w14:paraId="71F7C9E1">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1.3液晶显示单元支持HDMI环通拼接功能，接入4K 60Hz信号时，自环通能力达到35级，且最后一级正常显示无噪点。</w:t>
      </w:r>
    </w:p>
    <w:p w14:paraId="114AC0C5">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1.4拼接屏具有将输入的4K信号源旋转90度、180度和270度的功能，且不损失分辨率，无需额外配置拼控设备处理信号源。</w:t>
      </w:r>
    </w:p>
    <w:p w14:paraId="59A6D220">
      <w:pPr>
        <w:pStyle w:val="14"/>
        <w:spacing w:line="360" w:lineRule="auto"/>
        <w:ind w:firstLine="420" w:firstLineChars="200"/>
        <w:rPr>
          <w:rFonts w:hint="eastAsia"/>
          <w:b w:val="0"/>
          <w:bCs w:val="0"/>
          <w:color w:val="auto"/>
          <w:lang w:eastAsia="zh-CN"/>
        </w:rPr>
      </w:pPr>
      <w:r>
        <w:rPr>
          <w:rFonts w:hint="eastAsia" w:ascii="宋体" w:hAnsi="宋体" w:eastAsia="宋体" w:cs="仿宋"/>
          <w:b w:val="0"/>
          <w:bCs w:val="0"/>
          <w:color w:val="auto"/>
          <w:sz w:val="21"/>
          <w:szCs w:val="21"/>
        </w:rPr>
        <w:t>1.5通过CCC检测认证，并提供CCC认证证书。</w:t>
      </w:r>
    </w:p>
    <w:p w14:paraId="2E24D19D">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2.底座及框架技术要求：</w:t>
      </w:r>
    </w:p>
    <w:p w14:paraId="78F19C4A">
      <w:pPr>
        <w:pStyle w:val="14"/>
        <w:spacing w:line="360" w:lineRule="auto"/>
        <w:ind w:firstLine="422" w:firstLineChars="200"/>
        <w:rPr>
          <w:rFonts w:hint="eastAsia" w:ascii="宋体" w:hAnsi="宋体" w:eastAsia="宋体" w:cs="仿宋"/>
          <w:b/>
          <w:bCs/>
          <w:color w:val="auto"/>
          <w:sz w:val="21"/>
          <w:szCs w:val="21"/>
          <w:lang w:val="en-US" w:eastAsia="zh-CN"/>
        </w:rPr>
      </w:pPr>
      <w:r>
        <w:rPr>
          <w:rFonts w:hint="eastAsia" w:ascii="宋体" w:hAnsi="宋体" w:eastAsia="宋体" w:cs="仿宋"/>
          <w:b/>
          <w:bCs/>
          <w:color w:val="auto"/>
          <w:sz w:val="21"/>
          <w:szCs w:val="21"/>
        </w:rPr>
        <w:t>2.1 材质为优质冷轧钢板(SPCC),厚度不低于400mm，表面处理：静电喷塑，涂层厚度不小于60微米；四周包边1.0MM。</w:t>
      </w:r>
    </w:p>
    <w:p w14:paraId="7240049A">
      <w:pPr>
        <w:pStyle w:val="14"/>
        <w:spacing w:line="360" w:lineRule="auto"/>
        <w:ind w:firstLine="422" w:firstLineChars="200"/>
        <w:rPr>
          <w:rFonts w:ascii="宋体" w:hAnsi="宋体" w:eastAsia="宋体" w:cs="仿宋"/>
          <w:b/>
          <w:bCs/>
          <w:color w:val="auto"/>
          <w:sz w:val="21"/>
          <w:szCs w:val="21"/>
        </w:rPr>
      </w:pPr>
      <w:r>
        <w:rPr>
          <w:rFonts w:hint="eastAsia" w:ascii="宋体" w:hAnsi="宋体" w:eastAsia="宋体" w:cs="仿宋"/>
          <w:b/>
          <w:bCs/>
          <w:color w:val="auto"/>
          <w:sz w:val="21"/>
          <w:szCs w:val="21"/>
        </w:rPr>
        <w:t>2.2印刷杭州市环境集团有限公司LOGO（彩色）；</w:t>
      </w:r>
    </w:p>
    <w:p w14:paraId="2CA45BCC">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2.3后封板/后开门，前封板/前开门；下面储物隔板，左右上封板；前开门/前封板，后留空。</w:t>
      </w:r>
    </w:p>
    <w:p w14:paraId="21B930A1">
      <w:pPr>
        <w:pStyle w:val="14"/>
        <w:spacing w:line="360" w:lineRule="auto"/>
        <w:ind w:firstLine="420" w:firstLineChars="200"/>
        <w:rPr>
          <w:rFonts w:hint="eastAsia" w:ascii="宋体" w:hAnsi="宋体" w:eastAsia="宋体" w:cs="仿宋"/>
          <w:b w:val="0"/>
          <w:bCs w:val="0"/>
          <w:color w:val="auto"/>
          <w:sz w:val="21"/>
          <w:szCs w:val="21"/>
          <w:lang w:eastAsia="zh-CN"/>
        </w:rPr>
      </w:pPr>
      <w:r>
        <w:rPr>
          <w:rFonts w:hint="eastAsia" w:ascii="宋体" w:hAnsi="宋体" w:eastAsia="宋体" w:cs="仿宋"/>
          <w:b w:val="0"/>
          <w:bCs w:val="0"/>
          <w:color w:val="auto"/>
          <w:sz w:val="21"/>
          <w:szCs w:val="21"/>
        </w:rPr>
        <w:t>2.4底座及框架整体需要美观整洁，与拼接屏尺寸匹配。</w:t>
      </w:r>
      <w:r>
        <w:rPr>
          <w:rFonts w:hint="eastAsia" w:ascii="宋体" w:hAnsi="宋体" w:eastAsia="宋体" w:cs="仿宋"/>
          <w:b/>
          <w:bCs/>
          <w:color w:val="auto"/>
          <w:sz w:val="21"/>
          <w:szCs w:val="21"/>
        </w:rPr>
        <w:t>表面采用静电喷涂工艺,喷涂固化温度180-210度，涂层厚度80-100微米，防腐耐锈</w:t>
      </w:r>
      <w:r>
        <w:rPr>
          <w:rFonts w:hint="eastAsia" w:ascii="宋体" w:hAnsi="宋体" w:eastAsia="宋体" w:cs="仿宋"/>
          <w:b w:val="0"/>
          <w:bCs w:val="0"/>
          <w:color w:val="auto"/>
          <w:sz w:val="21"/>
          <w:szCs w:val="21"/>
        </w:rPr>
        <w:t>。</w:t>
      </w:r>
      <w:r>
        <w:rPr>
          <w:rFonts w:hint="eastAsia" w:ascii="宋体" w:hAnsi="宋体" w:eastAsia="宋体" w:cs="仿宋"/>
          <w:b/>
          <w:bCs/>
          <w:color w:val="auto"/>
          <w:sz w:val="21"/>
          <w:szCs w:val="21"/>
        </w:rPr>
        <w:t>颜色黑色</w:t>
      </w:r>
      <w:r>
        <w:rPr>
          <w:rFonts w:hint="eastAsia" w:ascii="宋体" w:hAnsi="宋体" w:eastAsia="宋体" w:cs="仿宋"/>
          <w:b/>
          <w:bCs/>
          <w:color w:val="auto"/>
          <w:sz w:val="21"/>
          <w:szCs w:val="21"/>
          <w:lang w:eastAsia="zh-CN"/>
        </w:rPr>
        <w:t>。</w:t>
      </w:r>
    </w:p>
    <w:p w14:paraId="2A02B82B">
      <w:pPr>
        <w:pStyle w:val="14"/>
        <w:spacing w:line="360" w:lineRule="auto"/>
        <w:ind w:firstLine="422" w:firstLineChars="200"/>
        <w:rPr>
          <w:rFonts w:hint="eastAsia" w:ascii="宋体" w:hAnsi="宋体" w:eastAsia="宋体" w:cs="仿宋"/>
          <w:b/>
          <w:bCs/>
          <w:color w:val="auto"/>
          <w:sz w:val="21"/>
          <w:szCs w:val="21"/>
          <w:lang w:val="en-US" w:eastAsia="zh-CN"/>
        </w:rPr>
      </w:pPr>
      <w:r>
        <w:rPr>
          <w:rFonts w:hint="eastAsia" w:ascii="宋体" w:hAnsi="宋体" w:eastAsia="宋体" w:cs="仿宋"/>
          <w:b/>
          <w:bCs/>
          <w:color w:val="auto"/>
          <w:sz w:val="21"/>
          <w:szCs w:val="21"/>
        </w:rPr>
        <w:t>2.</w:t>
      </w:r>
      <w:r>
        <w:rPr>
          <w:rFonts w:hint="eastAsia" w:ascii="宋体" w:hAnsi="宋体" w:eastAsia="宋体" w:cs="仿宋"/>
          <w:b/>
          <w:bCs/>
          <w:color w:val="auto"/>
          <w:sz w:val="21"/>
          <w:szCs w:val="21"/>
          <w:lang w:val="en-US" w:eastAsia="zh-CN"/>
        </w:rPr>
        <w:t>5屏幕高度要求：基于承重考虑，屏幕墙放置于地面（不放置于静电地板上）；建议采用焊接25厘米支撑架或采用105厘米底柜的方式，保障屏幕高度距离地面总高度为3.5米，距离静电地板为3.25米。</w:t>
      </w:r>
    </w:p>
    <w:p w14:paraId="5BE50564">
      <w:pPr>
        <w:pStyle w:val="14"/>
        <w:spacing w:line="360" w:lineRule="auto"/>
        <w:ind w:firstLine="422" w:firstLineChars="200"/>
        <w:rPr>
          <w:rFonts w:hint="eastAsia" w:ascii="宋体" w:hAnsi="宋体" w:eastAsia="宋体" w:cs="仿宋"/>
          <w:b/>
          <w:bCs/>
          <w:color w:val="auto"/>
          <w:sz w:val="21"/>
          <w:szCs w:val="21"/>
          <w:lang w:val="en-US" w:eastAsia="zh-CN"/>
        </w:rPr>
      </w:pPr>
      <w:r>
        <w:rPr>
          <w:rFonts w:hint="eastAsia" w:ascii="宋体" w:hAnsi="宋体" w:eastAsia="宋体" w:cs="仿宋"/>
          <w:b/>
          <w:bCs/>
          <w:color w:val="auto"/>
          <w:sz w:val="21"/>
          <w:szCs w:val="21"/>
        </w:rPr>
        <w:t>2.</w:t>
      </w:r>
      <w:r>
        <w:rPr>
          <w:rFonts w:hint="eastAsia" w:ascii="宋体" w:hAnsi="宋体" w:eastAsia="宋体" w:cs="仿宋"/>
          <w:b/>
          <w:bCs/>
          <w:color w:val="auto"/>
          <w:sz w:val="21"/>
          <w:szCs w:val="21"/>
          <w:lang w:val="en-US" w:eastAsia="zh-CN"/>
        </w:rPr>
        <w:t>6静电地板需要切割，机柜宽40厘米，静电地板宽60厘米，对该区域静电地板进行切割加工，确保设备安装洞口被静电地板完整覆盖。</w:t>
      </w:r>
    </w:p>
    <w:p w14:paraId="54DC3D8A">
      <w:pPr>
        <w:pStyle w:val="14"/>
        <w:spacing w:line="360" w:lineRule="auto"/>
        <w:ind w:firstLine="422" w:firstLineChars="200"/>
        <w:rPr>
          <w:rFonts w:hint="eastAsia" w:ascii="宋体" w:hAnsi="宋体" w:eastAsia="宋体" w:cs="仿宋"/>
          <w:b/>
          <w:bCs/>
          <w:color w:val="auto"/>
          <w:sz w:val="21"/>
          <w:szCs w:val="21"/>
          <w:lang w:val="en-US" w:eastAsia="zh-CN"/>
        </w:rPr>
      </w:pPr>
      <w:r>
        <w:rPr>
          <w:rFonts w:hint="eastAsia" w:ascii="宋体" w:hAnsi="宋体" w:eastAsia="宋体" w:cs="仿宋"/>
          <w:b/>
          <w:bCs/>
          <w:color w:val="auto"/>
          <w:sz w:val="21"/>
          <w:szCs w:val="21"/>
        </w:rPr>
        <w:t>2.</w:t>
      </w:r>
      <w:r>
        <w:rPr>
          <w:rFonts w:hint="eastAsia" w:ascii="宋体" w:hAnsi="宋体" w:eastAsia="宋体" w:cs="仿宋"/>
          <w:b/>
          <w:bCs/>
          <w:color w:val="auto"/>
          <w:sz w:val="21"/>
          <w:szCs w:val="21"/>
          <w:lang w:val="en-US" w:eastAsia="zh-CN"/>
        </w:rPr>
        <w:t>7屏幕需预留两组4平方电源线为大屏供电。</w:t>
      </w:r>
    </w:p>
    <w:p w14:paraId="100367A7">
      <w:pPr>
        <w:pStyle w:val="14"/>
        <w:spacing w:line="360" w:lineRule="auto"/>
        <w:ind w:firstLine="422" w:firstLineChars="200"/>
        <w:rPr>
          <w:rFonts w:hint="eastAsia"/>
          <w:b/>
          <w:bCs/>
          <w:color w:val="auto"/>
        </w:rPr>
      </w:pPr>
      <w:r>
        <w:rPr>
          <w:rFonts w:hint="eastAsia" w:ascii="宋体" w:hAnsi="宋体" w:eastAsia="宋体" w:cs="仿宋"/>
          <w:b/>
          <w:bCs/>
          <w:color w:val="auto"/>
          <w:sz w:val="21"/>
          <w:szCs w:val="21"/>
        </w:rPr>
        <w:t>2.</w:t>
      </w:r>
      <w:r>
        <w:rPr>
          <w:rFonts w:hint="eastAsia" w:ascii="宋体" w:hAnsi="宋体" w:eastAsia="宋体" w:cs="仿宋"/>
          <w:b/>
          <w:bCs/>
          <w:color w:val="auto"/>
          <w:sz w:val="21"/>
          <w:szCs w:val="21"/>
          <w:lang w:val="en-US" w:eastAsia="zh-CN"/>
        </w:rPr>
        <w:t>8屏幕包边效果采用白色石膏板进行隔断，踢脚线一并包覆（由招标人安排实施，示意图见图3）。</w:t>
      </w:r>
    </w:p>
    <w:p w14:paraId="682D283D">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lang w:val="en-US" w:eastAsia="zh-CN"/>
        </w:rPr>
        <w:t>3</w:t>
      </w:r>
      <w:r>
        <w:rPr>
          <w:rFonts w:hint="eastAsia" w:ascii="宋体" w:hAnsi="宋体" w:eastAsia="宋体" w:cs="仿宋"/>
          <w:b w:val="0"/>
          <w:bCs w:val="0"/>
          <w:color w:val="auto"/>
          <w:sz w:val="21"/>
          <w:szCs w:val="21"/>
        </w:rPr>
        <w:t>.视频解码器技术要求：</w:t>
      </w:r>
    </w:p>
    <w:p w14:paraId="1D0DEE74">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 xml:space="preserve">3.1 </w:t>
      </w:r>
      <w:r>
        <w:rPr>
          <w:rFonts w:hint="eastAsia" w:ascii="宋体" w:hAnsi="宋体" w:eastAsia="宋体" w:cs="仿宋"/>
          <w:b w:val="0"/>
          <w:bCs w:val="0"/>
          <w:color w:val="auto"/>
          <w:sz w:val="21"/>
          <w:szCs w:val="21"/>
          <w:lang w:val="en-US" w:eastAsia="zh-CN"/>
        </w:rPr>
        <w:t>8</w:t>
      </w:r>
      <w:r>
        <w:rPr>
          <w:rFonts w:hint="eastAsia" w:ascii="宋体" w:hAnsi="宋体" w:eastAsia="宋体" w:cs="仿宋"/>
          <w:b w:val="0"/>
          <w:bCs w:val="0"/>
          <w:color w:val="auto"/>
          <w:sz w:val="21"/>
          <w:szCs w:val="21"/>
        </w:rPr>
        <w:t>路</w:t>
      </w:r>
      <w:r>
        <w:rPr>
          <w:rFonts w:hint="eastAsia" w:ascii="宋体" w:hAnsi="宋体" w:eastAsia="宋体" w:cs="仿宋"/>
          <w:b w:val="0"/>
          <w:bCs w:val="0"/>
          <w:color w:val="auto"/>
          <w:sz w:val="21"/>
          <w:szCs w:val="21"/>
          <w:lang w:val="en-US" w:eastAsia="zh-CN"/>
        </w:rPr>
        <w:t>HDMI</w:t>
      </w:r>
      <w:r>
        <w:rPr>
          <w:rFonts w:hint="eastAsia" w:ascii="宋体" w:hAnsi="宋体" w:eastAsia="宋体" w:cs="仿宋"/>
          <w:b w:val="0"/>
          <w:bCs w:val="0"/>
          <w:color w:val="auto"/>
          <w:sz w:val="21"/>
          <w:szCs w:val="21"/>
        </w:rPr>
        <w:t>进+</w:t>
      </w:r>
      <w:r>
        <w:rPr>
          <w:rFonts w:hint="eastAsia" w:ascii="宋体" w:hAnsi="宋体" w:eastAsia="宋体" w:cs="仿宋"/>
          <w:b w:val="0"/>
          <w:bCs w:val="0"/>
          <w:color w:val="auto"/>
          <w:sz w:val="21"/>
          <w:szCs w:val="21"/>
          <w:lang w:val="en-US" w:eastAsia="zh-CN"/>
        </w:rPr>
        <w:t>16</w:t>
      </w:r>
      <w:r>
        <w:rPr>
          <w:rFonts w:hint="eastAsia" w:ascii="宋体" w:hAnsi="宋体" w:eastAsia="宋体" w:cs="仿宋"/>
          <w:b w:val="0"/>
          <w:bCs w:val="0"/>
          <w:color w:val="auto"/>
          <w:sz w:val="21"/>
          <w:szCs w:val="21"/>
        </w:rPr>
        <w:t>路HDMI出；</w:t>
      </w:r>
      <w:r>
        <w:rPr>
          <w:rFonts w:hint="eastAsia" w:ascii="宋体" w:hAnsi="宋体" w:eastAsia="宋体" w:cs="仿宋"/>
          <w:b w:val="0"/>
          <w:bCs w:val="0"/>
          <w:color w:val="auto"/>
          <w:sz w:val="21"/>
          <w:szCs w:val="21"/>
          <w:lang w:val="en-US" w:eastAsia="zh-CN"/>
        </w:rPr>
        <w:t>3</w:t>
      </w:r>
      <w:r>
        <w:rPr>
          <w:rFonts w:hint="eastAsia" w:ascii="宋体" w:hAnsi="宋体" w:eastAsia="宋体" w:cs="仿宋"/>
          <w:b w:val="0"/>
          <w:bCs w:val="0"/>
          <w:color w:val="auto"/>
          <w:sz w:val="21"/>
          <w:szCs w:val="21"/>
        </w:rPr>
        <w:t>U标准机箱，标准机架式设计，运营级ATCA机箱系统；插拔式模块化设计，可根据需求灵活选择机型。业务模块支持热插拔、智能风扇自动调温；采用H.26</w:t>
      </w:r>
      <w:r>
        <w:rPr>
          <w:rFonts w:hint="eastAsia" w:ascii="宋体" w:hAnsi="宋体" w:eastAsia="宋体" w:cs="仿宋"/>
          <w:b w:val="0"/>
          <w:bCs w:val="0"/>
          <w:color w:val="auto"/>
          <w:sz w:val="21"/>
          <w:szCs w:val="21"/>
          <w:lang w:val="en-US" w:eastAsia="zh-CN"/>
        </w:rPr>
        <w:t>5</w:t>
      </w:r>
      <w:r>
        <w:rPr>
          <w:rFonts w:hint="eastAsia" w:ascii="宋体" w:hAnsi="宋体" w:eastAsia="宋体" w:cs="仿宋"/>
          <w:b w:val="0"/>
          <w:bCs w:val="0"/>
          <w:color w:val="auto"/>
          <w:sz w:val="21"/>
          <w:szCs w:val="21"/>
        </w:rPr>
        <w:t>视频压缩标准；支持DVI/HDMI/DP/VGA/TVI/3G-SDI/HD-SDI/BNC视频信号接入编码；支持DVI、HDMI输出显示；单输出口支持1/4/6/8/9/16画面分割显示；支持H.265、H.264、MPEG4、MJPEG等主流的编码。</w:t>
      </w:r>
    </w:p>
    <w:p w14:paraId="653711EA">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3.2支持视频图像的水平、垂直手动调校及自动微调。</w:t>
      </w:r>
    </w:p>
    <w:p w14:paraId="745E680D">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3.3提供封面具有CNAS认证标识的公安部报告复印件并加盖原厂公章证明。</w:t>
      </w:r>
    </w:p>
    <w:p w14:paraId="6567AA65">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3.4可设置视频码率128Kbps~16384Kbps。窗口支持1/4/6/8/9/16画面分割；最大支持64个预设场景，用户可以自定义每个场景电视墙布局。</w:t>
      </w:r>
    </w:p>
    <w:p w14:paraId="7F511A17">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3.5网络前端信号解码输出延时时间应≤650ms；</w:t>
      </w:r>
    </w:p>
    <w:p w14:paraId="0B5447CE">
      <w:pPr>
        <w:pStyle w:val="14"/>
        <w:spacing w:line="360" w:lineRule="auto"/>
        <w:ind w:firstLine="420" w:firstLineChars="200"/>
        <w:rPr>
          <w:rFonts w:ascii="宋体" w:hAnsi="宋体" w:eastAsia="宋体" w:cs="仿宋"/>
          <w:b w:val="0"/>
          <w:bCs w:val="0"/>
          <w:color w:val="auto"/>
          <w:sz w:val="21"/>
          <w:szCs w:val="21"/>
        </w:rPr>
      </w:pPr>
      <w:r>
        <w:rPr>
          <w:rFonts w:hint="eastAsia" w:ascii="宋体" w:hAnsi="宋体" w:eastAsia="宋体" w:cs="仿宋"/>
          <w:b w:val="0"/>
          <w:bCs w:val="0"/>
          <w:color w:val="auto"/>
          <w:sz w:val="21"/>
          <w:szCs w:val="21"/>
        </w:rPr>
        <w:t>3.6总线类型：PCIE；信号采样质量：YUV420；配置主控板数量：1；配置电源数量：1；整机解码能力：</w:t>
      </w:r>
      <w:r>
        <w:rPr>
          <w:rFonts w:hint="eastAsia" w:ascii="宋体" w:hAnsi="宋体" w:eastAsia="宋体" w:cs="仿宋"/>
          <w:b w:val="0"/>
          <w:bCs w:val="0"/>
          <w:color w:val="auto"/>
          <w:sz w:val="21"/>
          <w:szCs w:val="21"/>
          <w:lang w:val="en-US" w:eastAsia="zh-CN"/>
        </w:rPr>
        <w:t>128</w:t>
      </w:r>
      <w:r>
        <w:rPr>
          <w:rFonts w:hint="eastAsia" w:ascii="宋体" w:hAnsi="宋体" w:eastAsia="宋体" w:cs="仿宋"/>
          <w:b w:val="0"/>
          <w:bCs w:val="0"/>
          <w:color w:val="auto"/>
          <w:sz w:val="21"/>
          <w:szCs w:val="21"/>
        </w:rPr>
        <w:t>路1080P；整机编码能力：</w:t>
      </w:r>
      <w:r>
        <w:rPr>
          <w:rFonts w:hint="eastAsia" w:ascii="宋体" w:hAnsi="宋体" w:eastAsia="宋体" w:cs="仿宋"/>
          <w:b w:val="0"/>
          <w:bCs w:val="0"/>
          <w:color w:val="auto"/>
          <w:sz w:val="21"/>
          <w:szCs w:val="21"/>
          <w:lang w:val="en-US" w:eastAsia="zh-CN"/>
        </w:rPr>
        <w:t>8</w:t>
      </w:r>
      <w:r>
        <w:rPr>
          <w:rFonts w:hint="eastAsia" w:ascii="宋体" w:hAnsi="宋体" w:eastAsia="宋体" w:cs="仿宋"/>
          <w:b w:val="0"/>
          <w:bCs w:val="0"/>
          <w:color w:val="auto"/>
          <w:sz w:val="21"/>
          <w:szCs w:val="21"/>
        </w:rPr>
        <w:t>路1080P；电视墙规模：； 虚拟分屏：支持；开窗数量：16；单口画面分割数：1/4/6/8/9/16/25/36/49/64 ； 视频输入接口类型：</w:t>
      </w:r>
      <w:r>
        <w:rPr>
          <w:rFonts w:hint="eastAsia" w:ascii="宋体" w:hAnsi="宋体" w:eastAsia="宋体" w:cs="仿宋"/>
          <w:b w:val="0"/>
          <w:bCs w:val="0"/>
          <w:color w:val="auto"/>
          <w:sz w:val="21"/>
          <w:szCs w:val="21"/>
          <w:lang w:val="en-US" w:eastAsia="zh-CN"/>
        </w:rPr>
        <w:t>HDMI</w:t>
      </w:r>
      <w:r>
        <w:rPr>
          <w:rFonts w:hint="eastAsia" w:ascii="宋体" w:hAnsi="宋体" w:eastAsia="宋体" w:cs="仿宋"/>
          <w:b w:val="0"/>
          <w:bCs w:val="0"/>
          <w:color w:val="auto"/>
          <w:sz w:val="21"/>
          <w:szCs w:val="21"/>
        </w:rPr>
        <w:t>，视频输入接口数：</w:t>
      </w:r>
      <w:r>
        <w:rPr>
          <w:rFonts w:hint="eastAsia" w:ascii="宋体" w:hAnsi="宋体" w:eastAsia="宋体" w:cs="仿宋"/>
          <w:b w:val="0"/>
          <w:bCs w:val="0"/>
          <w:color w:val="auto"/>
          <w:sz w:val="21"/>
          <w:szCs w:val="21"/>
          <w:lang w:val="en-US" w:eastAsia="zh-CN"/>
        </w:rPr>
        <w:t>8</w:t>
      </w:r>
      <w:r>
        <w:rPr>
          <w:rFonts w:hint="eastAsia" w:ascii="宋体" w:hAnsi="宋体" w:eastAsia="宋体" w:cs="仿宋"/>
          <w:b w:val="0"/>
          <w:bCs w:val="0"/>
          <w:color w:val="auto"/>
          <w:sz w:val="21"/>
          <w:szCs w:val="21"/>
        </w:rPr>
        <w:t>，视频输入分辨率：</w:t>
      </w:r>
      <w:r>
        <w:rPr>
          <w:rFonts w:hint="eastAsia" w:ascii="宋体" w:hAnsi="宋体" w:eastAsia="宋体" w:cs="仿宋"/>
          <w:b w:val="0"/>
          <w:bCs w:val="0"/>
          <w:color w:val="auto"/>
          <w:sz w:val="21"/>
          <w:szCs w:val="21"/>
          <w:lang w:val="en-US" w:eastAsia="zh-CN"/>
        </w:rPr>
        <w:t>HDMI</w:t>
      </w:r>
      <w:r>
        <w:rPr>
          <w:rFonts w:hint="eastAsia" w:ascii="宋体" w:hAnsi="宋体" w:eastAsia="宋体" w:cs="仿宋"/>
          <w:b w:val="0"/>
          <w:bCs w:val="0"/>
          <w:color w:val="auto"/>
          <w:sz w:val="21"/>
          <w:szCs w:val="21"/>
        </w:rPr>
        <w:t xml:space="preserve">：1280 × 720P@60Hz、1280 × 960@60Hz、1680 × 1050@60Hz、1440 × 900@60Hz、1366 × 768@60Hz、 1280 × 1024@60Hz、1024 × 768@60Hz、1600 × 1200@60Hz、1920 ×1080P@60Hz ，视频编码格式：H264/smart 264， 视频编码通道数：4，视频编码能力：4路1080P@30Hz，视频编码分辨率：4路1080P@30Hz ，视频输出接口数：20， 视频输出分辨率：3840x2160@30Hz、1600*1200@60Hz、1920×1080@60Hz、1680×1050@60Hz、1280×720@60Hz、1280×1024@60Hz、1024×768@60Hz ；视频解码格式：H.264、H.265；视频解码通道：160个；视频解码能力：160路1080P；视频解码分辨率：支持176*120 - 4096*4096分辨率解码 ； </w:t>
      </w:r>
    </w:p>
    <w:p w14:paraId="7B54F99E">
      <w:pPr>
        <w:spacing w:line="360" w:lineRule="auto"/>
        <w:ind w:firstLine="480" w:firstLineChars="200"/>
        <w:rPr>
          <w:rFonts w:ascii="宋体" w:hAnsi="Arial" w:cs="Arial"/>
          <w:snapToGrid w:val="0"/>
          <w:color w:val="auto"/>
          <w:sz w:val="24"/>
          <w:szCs w:val="21"/>
        </w:rPr>
      </w:pPr>
      <w:r>
        <w:rPr>
          <w:rFonts w:hint="eastAsia" w:ascii="宋体" w:hAnsi="Arial" w:cs="Arial"/>
          <w:snapToGrid w:val="0"/>
          <w:color w:val="auto"/>
          <w:sz w:val="24"/>
          <w:szCs w:val="21"/>
        </w:rPr>
        <w:t>4.供应商所供货物应满足</w:t>
      </w:r>
      <w:r>
        <w:rPr>
          <w:rFonts w:hint="eastAsia" w:ascii="宋体" w:hAnsi="Arial" w:cs="Arial"/>
          <w:snapToGrid w:val="0"/>
          <w:color w:val="auto"/>
          <w:sz w:val="24"/>
          <w:szCs w:val="21"/>
          <w:lang w:val="en-US" w:eastAsia="zh-CN"/>
        </w:rPr>
        <w:t>采购文件</w:t>
      </w:r>
      <w:r>
        <w:rPr>
          <w:rFonts w:hint="eastAsia" w:ascii="宋体" w:hAnsi="Arial" w:cs="Arial"/>
          <w:snapToGrid w:val="0"/>
          <w:color w:val="auto"/>
          <w:sz w:val="24"/>
          <w:szCs w:val="21"/>
        </w:rPr>
        <w:t>要求，若为非标件的货物应以满足供应商要求为基本质量标准。如有国家、地方、行业标准、规范（含强制适用标准、规范和推荐适用标准、规范）的，按相应标准、规范执行（不同标准、规范之间要求不一的，按要求较高者执行。</w:t>
      </w:r>
    </w:p>
    <w:p w14:paraId="1EAE5615">
      <w:pPr>
        <w:spacing w:line="360" w:lineRule="auto"/>
        <w:ind w:firstLine="482" w:firstLineChars="200"/>
        <w:rPr>
          <w:rFonts w:cs="宋体" w:asciiTheme="minorEastAsia" w:hAnsiTheme="minorEastAsia"/>
          <w:color w:val="auto"/>
          <w:sz w:val="24"/>
        </w:rPr>
      </w:pPr>
      <w:r>
        <w:rPr>
          <w:rFonts w:hint="eastAsia" w:asciiTheme="minorEastAsia" w:hAnsiTheme="minorEastAsia"/>
          <w:b/>
          <w:bCs/>
          <w:color w:val="auto"/>
          <w:sz w:val="24"/>
        </w:rPr>
        <w:t>三、合同期限</w:t>
      </w:r>
      <w:r>
        <w:rPr>
          <w:rFonts w:hint="eastAsia" w:asciiTheme="minorEastAsia" w:hAnsiTheme="minorEastAsia"/>
          <w:color w:val="auto"/>
          <w:sz w:val="24"/>
        </w:rPr>
        <w:t>：</w:t>
      </w:r>
      <w:r>
        <w:rPr>
          <w:rFonts w:hint="eastAsia" w:cs="宋体" w:asciiTheme="minorEastAsia" w:hAnsiTheme="minorEastAsia"/>
          <w:color w:val="auto"/>
          <w:sz w:val="24"/>
          <w:u w:val="single"/>
        </w:rPr>
        <w:t>自</w:t>
      </w:r>
      <w:r>
        <w:rPr>
          <w:rFonts w:hint="eastAsia" w:cs="宋体" w:asciiTheme="minorEastAsia" w:hAnsiTheme="minorEastAsia"/>
          <w:color w:val="auto"/>
          <w:sz w:val="24"/>
          <w:u w:val="single"/>
          <w:lang w:val="en-US" w:eastAsia="zh-CN"/>
        </w:rPr>
        <w:t>收到采购人通知后</w:t>
      </w:r>
      <w:r>
        <w:rPr>
          <w:rFonts w:hint="eastAsia" w:cs="宋体" w:asciiTheme="minorEastAsia" w:hAnsiTheme="minorEastAsia"/>
          <w:color w:val="auto"/>
          <w:sz w:val="24"/>
          <w:u w:val="single"/>
        </w:rPr>
        <w:t>30日内</w:t>
      </w:r>
      <w:r>
        <w:rPr>
          <w:rFonts w:hint="eastAsia" w:cs="宋体" w:asciiTheme="minorEastAsia" w:hAnsiTheme="minorEastAsia"/>
          <w:color w:val="auto"/>
          <w:sz w:val="24"/>
          <w:u w:val="single"/>
          <w:lang w:val="en-US" w:eastAsia="zh-CN"/>
        </w:rPr>
        <w:t>一次性</w:t>
      </w:r>
      <w:r>
        <w:rPr>
          <w:rFonts w:hint="eastAsia" w:cs="宋体" w:asciiTheme="minorEastAsia" w:hAnsiTheme="minorEastAsia"/>
          <w:color w:val="auto"/>
          <w:sz w:val="24"/>
          <w:u w:val="single"/>
        </w:rPr>
        <w:t>完成安装调试并通过验收；</w:t>
      </w:r>
    </w:p>
    <w:p w14:paraId="3F783266">
      <w:pPr>
        <w:pStyle w:val="7"/>
        <w:ind w:firstLine="482" w:firstLineChars="200"/>
        <w:rPr>
          <w:rFonts w:asciiTheme="minorEastAsia" w:hAnsiTheme="minorEastAsia"/>
          <w:b/>
          <w:bCs/>
          <w:color w:val="auto"/>
          <w:szCs w:val="24"/>
          <w:lang w:val="en-US"/>
        </w:rPr>
      </w:pPr>
      <w:r>
        <w:rPr>
          <w:rFonts w:hint="eastAsia" w:asciiTheme="minorEastAsia" w:hAnsiTheme="minorEastAsia"/>
          <w:b/>
          <w:bCs/>
          <w:color w:val="auto"/>
          <w:szCs w:val="24"/>
          <w:lang w:val="en-US"/>
        </w:rPr>
        <w:t>四、质量要求</w:t>
      </w:r>
    </w:p>
    <w:p w14:paraId="375210A2">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1.供应商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0DA64735">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2.采购人有品牌推荐的，供应商必须满足品牌要求，没有推荐品牌的，供应商自行选择品牌，但所报产品须符合国家标准，不得为假冒伪劣或翻新的合格产品，不得为假冒伪劣的产品。</w:t>
      </w:r>
    </w:p>
    <w:p w14:paraId="49E431F1">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3.供应商所供货物必须与采购人现有的设备相适配，满足采购人现有设备要求，若不满足的，供应商必须予以更换至满足现场要求为止。</w:t>
      </w:r>
    </w:p>
    <w:p w14:paraId="264FD6C1">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4.</w:t>
      </w:r>
      <w:r>
        <w:rPr>
          <w:rFonts w:hint="eastAsia" w:asciiTheme="minorEastAsia" w:hAnsiTheme="minorEastAsia"/>
          <w:color w:val="auto"/>
          <w:szCs w:val="24"/>
          <w:lang w:val="en-US" w:eastAsia="zh-CN"/>
        </w:rPr>
        <w:t>质保期限为自验收合格后三年。若在验收合格后</w:t>
      </w:r>
      <w:r>
        <w:rPr>
          <w:rFonts w:hint="eastAsia" w:asciiTheme="minorEastAsia" w:hAnsiTheme="minorEastAsia"/>
          <w:color w:val="auto"/>
          <w:szCs w:val="24"/>
          <w:lang w:val="en-US"/>
        </w:rPr>
        <w:t>30日内出现性能故障，</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须免费更换新件；</w:t>
      </w:r>
      <w:r>
        <w:rPr>
          <w:rFonts w:hint="eastAsia" w:asciiTheme="minorEastAsia" w:hAnsiTheme="minorEastAsia"/>
          <w:color w:val="auto"/>
          <w:szCs w:val="24"/>
          <w:lang w:val="en-US" w:eastAsia="zh-CN"/>
        </w:rPr>
        <w:t>若</w:t>
      </w:r>
      <w:r>
        <w:rPr>
          <w:rFonts w:hint="eastAsia" w:asciiTheme="minorEastAsia" w:hAnsiTheme="minorEastAsia"/>
          <w:color w:val="auto"/>
          <w:szCs w:val="24"/>
          <w:lang w:val="en-US"/>
        </w:rPr>
        <w:t>超过</w:t>
      </w:r>
      <w:r>
        <w:rPr>
          <w:rFonts w:hint="eastAsia" w:asciiTheme="minorEastAsia" w:hAnsiTheme="minorEastAsia"/>
          <w:color w:val="auto"/>
          <w:szCs w:val="24"/>
          <w:lang w:val="en-US" w:eastAsia="zh-CN"/>
        </w:rPr>
        <w:t>在验收合格后</w:t>
      </w:r>
      <w:r>
        <w:rPr>
          <w:rFonts w:hint="eastAsia" w:asciiTheme="minorEastAsia" w:hAnsiTheme="minorEastAsia"/>
          <w:color w:val="auto"/>
          <w:szCs w:val="24"/>
          <w:lang w:val="en-US"/>
        </w:rPr>
        <w:t>30日出现性能故障的，提供免费维修服务，同时须提供备用件满足现场使用。质保期内，若同一设备或者备件因同样的问题出现超2次性能故障，须免费更换新设备。</w:t>
      </w:r>
    </w:p>
    <w:p w14:paraId="175EB183">
      <w:pPr>
        <w:pStyle w:val="7"/>
        <w:ind w:firstLine="723" w:firstLineChars="300"/>
        <w:rPr>
          <w:rFonts w:asciiTheme="minorEastAsia" w:hAnsiTheme="minorEastAsia"/>
          <w:b/>
          <w:bCs/>
          <w:color w:val="auto"/>
          <w:szCs w:val="24"/>
          <w:lang w:val="en-US"/>
        </w:rPr>
      </w:pPr>
      <w:r>
        <w:rPr>
          <w:rFonts w:hint="eastAsia" w:asciiTheme="minorEastAsia" w:hAnsiTheme="minorEastAsia"/>
          <w:b/>
          <w:bCs/>
          <w:color w:val="auto"/>
          <w:szCs w:val="24"/>
          <w:lang w:val="en-US"/>
        </w:rPr>
        <w:t>五、验收方式及要求</w:t>
      </w:r>
    </w:p>
    <w:p w14:paraId="006FE918">
      <w:pPr>
        <w:pStyle w:val="7"/>
        <w:ind w:firstLine="480" w:firstLineChars="200"/>
        <w:rPr>
          <w:rFonts w:cs="宋体" w:asciiTheme="minorEastAsia" w:hAnsiTheme="minorEastAsia"/>
          <w:strike/>
          <w:color w:val="auto"/>
          <w:sz w:val="24"/>
        </w:rPr>
      </w:pPr>
      <w:r>
        <w:rPr>
          <w:rFonts w:hint="eastAsia" w:cs="宋体" w:asciiTheme="minorEastAsia" w:hAnsiTheme="minorEastAsia"/>
          <w:color w:val="auto"/>
          <w:szCs w:val="24"/>
        </w:rPr>
        <w:t>1.货物交付前，供应商应对货物的质量、数量等方面进行详细、全面的检验，</w:t>
      </w:r>
      <w:r>
        <w:rPr>
          <w:rFonts w:hint="eastAsia" w:cs="宋体" w:asciiTheme="minorEastAsia" w:hAnsiTheme="minorEastAsia"/>
          <w:color w:val="auto"/>
          <w:szCs w:val="24"/>
          <w:lang w:val="en-US"/>
        </w:rPr>
        <w:t>并填制送货清单</w:t>
      </w:r>
      <w:r>
        <w:rPr>
          <w:rFonts w:hint="eastAsia" w:cs="宋体" w:asciiTheme="minorEastAsia" w:hAnsiTheme="minorEastAsia"/>
          <w:color w:val="auto"/>
          <w:szCs w:val="24"/>
          <w:lang w:val="en-US" w:eastAsia="zh-CN"/>
        </w:rPr>
        <w:t>，</w:t>
      </w:r>
      <w:r>
        <w:rPr>
          <w:rFonts w:hint="eastAsia" w:cs="宋体" w:asciiTheme="minorEastAsia" w:hAnsiTheme="minorEastAsia"/>
          <w:color w:val="auto"/>
          <w:szCs w:val="24"/>
        </w:rPr>
        <w:t>并</w:t>
      </w:r>
      <w:r>
        <w:rPr>
          <w:rFonts w:hint="eastAsia" w:cs="宋体" w:asciiTheme="minorEastAsia" w:hAnsiTheme="minorEastAsia"/>
          <w:color w:val="auto"/>
          <w:szCs w:val="24"/>
          <w:lang w:val="en-US"/>
        </w:rPr>
        <w:t>随货</w:t>
      </w:r>
      <w:r>
        <w:rPr>
          <w:rFonts w:hint="eastAsia" w:cs="宋体" w:asciiTheme="minorEastAsia" w:hAnsiTheme="minorEastAsia"/>
          <w:color w:val="auto"/>
          <w:szCs w:val="24"/>
        </w:rPr>
        <w:t>向采购人</w:t>
      </w:r>
      <w:r>
        <w:rPr>
          <w:rFonts w:hint="eastAsia" w:cs="宋体" w:asciiTheme="minorEastAsia" w:hAnsiTheme="minorEastAsia"/>
          <w:color w:val="auto"/>
          <w:szCs w:val="24"/>
          <w:lang w:val="en-US"/>
        </w:rPr>
        <w:t>验收人员</w:t>
      </w:r>
      <w:r>
        <w:rPr>
          <w:rFonts w:hint="eastAsia" w:cs="宋体" w:asciiTheme="minorEastAsia" w:hAnsiTheme="minorEastAsia"/>
          <w:b/>
          <w:bCs/>
          <w:color w:val="auto"/>
          <w:szCs w:val="24"/>
          <w:u w:val="single"/>
        </w:rPr>
        <w:t>出具证明货物符合合同约定的文件</w:t>
      </w:r>
      <w:r>
        <w:rPr>
          <w:rFonts w:hint="eastAsia" w:cs="宋体" w:asciiTheme="minorEastAsia" w:hAnsiTheme="minorEastAsia"/>
          <w:color w:val="auto"/>
          <w:szCs w:val="24"/>
        </w:rPr>
        <w:t>，</w:t>
      </w:r>
      <w:r>
        <w:rPr>
          <w:rFonts w:hint="eastAsia" w:asciiTheme="minorEastAsia" w:hAnsiTheme="minorEastAsia"/>
          <w:b/>
          <w:bCs/>
          <w:color w:val="auto"/>
          <w:szCs w:val="24"/>
          <w:lang w:val="en-US"/>
        </w:rPr>
        <w:t>并加盖公章或者销售章</w:t>
      </w:r>
      <w:r>
        <w:rPr>
          <w:rFonts w:hint="eastAsia" w:asciiTheme="minorEastAsia" w:hAnsiTheme="minorEastAsia"/>
          <w:color w:val="auto"/>
          <w:szCs w:val="24"/>
          <w:lang w:val="en-US"/>
        </w:rPr>
        <w:t>。</w:t>
      </w:r>
      <w:r>
        <w:rPr>
          <w:rFonts w:hint="eastAsia" w:cs="宋体" w:asciiTheme="minorEastAsia" w:hAnsiTheme="minorEastAsia"/>
          <w:color w:val="auto"/>
          <w:sz w:val="24"/>
        </w:rPr>
        <w:t>证明货物符合合同约定的文件是指包括但不限于合格证、检测报告（制造厂家或者第三方机构）等证明材料。</w:t>
      </w:r>
    </w:p>
    <w:p w14:paraId="3B7D6F95">
      <w:pPr>
        <w:tabs>
          <w:tab w:val="left" w:pos="360"/>
          <w:tab w:val="left" w:pos="540"/>
          <w:tab w:val="left" w:pos="1080"/>
        </w:tabs>
        <w:spacing w:line="360" w:lineRule="auto"/>
        <w:ind w:firstLine="480" w:firstLineChars="200"/>
        <w:rPr>
          <w:rFonts w:cs="宋体" w:asciiTheme="minorEastAsia" w:hAnsiTheme="minorEastAsia"/>
          <w:b/>
          <w:bCs/>
          <w:color w:val="auto"/>
          <w:sz w:val="24"/>
        </w:rPr>
      </w:pPr>
      <w:r>
        <w:rPr>
          <w:rFonts w:hint="eastAsia" w:cs="宋体" w:asciiTheme="minorEastAsia" w:hAnsiTheme="minorEastAsia"/>
          <w:color w:val="auto"/>
          <w:sz w:val="24"/>
        </w:rPr>
        <w:t>2.货物交付时，采购人在</w:t>
      </w:r>
      <w:r>
        <w:rPr>
          <w:rFonts w:hint="eastAsia" w:cs="宋体" w:asciiTheme="minorEastAsia" w:hAnsiTheme="minorEastAsia"/>
          <w:b/>
          <w:color w:val="auto"/>
          <w:sz w:val="24"/>
          <w:u w:val="single"/>
        </w:rPr>
        <w:t>3个工作日</w:t>
      </w:r>
      <w:r>
        <w:rPr>
          <w:rFonts w:hint="eastAsia" w:cs="宋体" w:asciiTheme="minorEastAsia" w:hAnsiTheme="minorEastAsia"/>
          <w:color w:val="auto"/>
          <w:sz w:val="24"/>
        </w:rPr>
        <w:t>内组织验收（</w:t>
      </w:r>
      <w:r>
        <w:rPr>
          <w:rFonts w:hint="eastAsia" w:cs="宋体" w:asciiTheme="minorEastAsia" w:hAnsiTheme="minorEastAsia"/>
          <w:b/>
          <w:bCs/>
          <w:color w:val="auto"/>
          <w:sz w:val="24"/>
        </w:rPr>
        <w:t>若有验收特别约定的，按特别约定条款执行</w:t>
      </w:r>
      <w:r>
        <w:rPr>
          <w:rFonts w:hint="eastAsia" w:cs="宋体" w:asciiTheme="minorEastAsia" w:hAnsiTheme="minorEastAsia"/>
          <w:color w:val="auto"/>
          <w:sz w:val="24"/>
        </w:rPr>
        <w:t>），验收应出具</w:t>
      </w:r>
      <w:r>
        <w:rPr>
          <w:rFonts w:hint="eastAsia" w:cs="宋体" w:asciiTheme="minorEastAsia" w:hAnsiTheme="minorEastAsia"/>
          <w:b/>
          <w:bCs/>
          <w:color w:val="auto"/>
          <w:sz w:val="24"/>
          <w:u w:val="single"/>
        </w:rPr>
        <w:t>验收单</w:t>
      </w:r>
      <w:r>
        <w:rPr>
          <w:rFonts w:hint="eastAsia" w:cs="宋体" w:asciiTheme="minorEastAsia" w:hAnsiTheme="minorEastAsia"/>
          <w:color w:val="auto"/>
          <w:sz w:val="24"/>
          <w:u w:val="single"/>
        </w:rPr>
        <w:t>（</w:t>
      </w:r>
      <w:r>
        <w:rPr>
          <w:rFonts w:hint="eastAsia" w:cs="宋体" w:asciiTheme="minorEastAsia" w:hAnsiTheme="minorEastAsia"/>
          <w:color w:val="auto"/>
          <w:sz w:val="24"/>
        </w:rPr>
        <w:t>如因货物检测需要更长时间的，组织验收时间为自货物交付之日起至采购人收到检测报告后3个工作日内）</w:t>
      </w:r>
      <w:r>
        <w:rPr>
          <w:rFonts w:hint="eastAsia" w:cs="宋体" w:asciiTheme="minorEastAsia" w:hAnsiTheme="minorEastAsia"/>
          <w:b/>
          <w:bCs/>
          <w:color w:val="auto"/>
          <w:sz w:val="24"/>
        </w:rPr>
        <w:t>。</w:t>
      </w:r>
      <w:r>
        <w:rPr>
          <w:rFonts w:hint="eastAsia" w:cs="宋体" w:asciiTheme="minorEastAsia" w:hAnsiTheme="minorEastAsia"/>
          <w:color w:val="auto"/>
          <w:sz w:val="24"/>
        </w:rPr>
        <w:t>若采购人认为有必要可邀请相关方参加。</w:t>
      </w:r>
    </w:p>
    <w:p w14:paraId="4429EC44">
      <w:pPr>
        <w:pStyle w:val="8"/>
        <w:ind w:firstLine="480" w:firstLineChars="200"/>
        <w:rPr>
          <w:rFonts w:cs="Arial" w:asciiTheme="minorEastAsia" w:hAnsiTheme="minorEastAsia"/>
          <w:snapToGrid w:val="0"/>
          <w:color w:val="auto"/>
          <w:szCs w:val="24"/>
          <w:lang w:val="en-US"/>
        </w:rPr>
      </w:pPr>
      <w:r>
        <w:rPr>
          <w:rFonts w:hint="eastAsia" w:asciiTheme="minorEastAsia" w:hAnsiTheme="minorEastAsia"/>
          <w:color w:val="auto"/>
          <w:szCs w:val="24"/>
          <w:lang w:val="en-US"/>
        </w:rPr>
        <w:t>3.对验收不合格的货物，需在</w:t>
      </w:r>
      <w:r>
        <w:rPr>
          <w:rFonts w:hint="eastAsia" w:asciiTheme="minorEastAsia" w:hAnsiTheme="minorEastAsia"/>
          <w:color w:val="auto"/>
          <w:szCs w:val="24"/>
          <w:u w:val="single"/>
          <w:lang w:val="en-US"/>
        </w:rPr>
        <w:t>5个工作日内</w:t>
      </w:r>
      <w:r>
        <w:rPr>
          <w:rFonts w:hint="eastAsia" w:asciiTheme="minorEastAsia" w:hAnsiTheme="minorEastAsia"/>
          <w:color w:val="auto"/>
          <w:szCs w:val="24"/>
          <w:lang w:val="en-US"/>
        </w:rPr>
        <w:t>完成退换货（特殊情况的须及时更换），超过时间期限未及时取回货物的，采购人有权将按</w:t>
      </w:r>
      <w:r>
        <w:rPr>
          <w:rFonts w:hint="eastAsia" w:asciiTheme="minorEastAsia" w:hAnsiTheme="minorEastAsia"/>
          <w:color w:val="auto"/>
          <w:szCs w:val="24"/>
          <w:u w:val="single"/>
          <w:lang w:val="en-US"/>
        </w:rPr>
        <w:t>200元/天</w:t>
      </w:r>
      <w:r>
        <w:rPr>
          <w:rFonts w:hint="eastAsia" w:asciiTheme="minorEastAsia" w:hAnsiTheme="minorEastAsia"/>
          <w:color w:val="auto"/>
          <w:szCs w:val="24"/>
          <w:lang w:val="en-US"/>
        </w:rPr>
        <w:t>收取场地费，从应付货款或者履约保证金扣除。</w:t>
      </w:r>
    </w:p>
    <w:p w14:paraId="607044C2">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4.供应商提供本项目系统、设备的所有纸质技术资料。</w:t>
      </w:r>
    </w:p>
    <w:p w14:paraId="633CD4A6">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rPr>
        <w:t>5.</w:t>
      </w:r>
      <w:r>
        <w:rPr>
          <w:rFonts w:hint="eastAsia" w:cs="宋体" w:asciiTheme="minorEastAsia" w:hAnsiTheme="minorEastAsia"/>
          <w:color w:val="auto"/>
          <w:szCs w:val="24"/>
          <w:lang w:val="en-US"/>
        </w:rPr>
        <w:t>供应商</w:t>
      </w:r>
      <w:r>
        <w:rPr>
          <w:rFonts w:hint="eastAsia" w:cs="宋体" w:asciiTheme="minorEastAsia" w:hAnsiTheme="minorEastAsia"/>
          <w:color w:val="auto"/>
          <w:szCs w:val="24"/>
          <w:lang w:val="en-US" w:eastAsia="zh-CN"/>
        </w:rPr>
        <w:t>在</w:t>
      </w:r>
      <w:r>
        <w:rPr>
          <w:rFonts w:hint="eastAsia" w:cs="宋体" w:asciiTheme="minorEastAsia" w:hAnsiTheme="minorEastAsia"/>
          <w:color w:val="auto"/>
          <w:szCs w:val="24"/>
          <w:lang w:val="en-US"/>
        </w:rPr>
        <w:t>安装调试完成</w:t>
      </w:r>
      <w:r>
        <w:rPr>
          <w:rFonts w:hint="eastAsia" w:cs="宋体" w:asciiTheme="minorEastAsia" w:hAnsiTheme="minorEastAsia"/>
          <w:color w:val="auto"/>
          <w:szCs w:val="24"/>
          <w:lang w:val="en-US" w:eastAsia="zh-CN"/>
        </w:rPr>
        <w:t>后</w:t>
      </w:r>
      <w:r>
        <w:rPr>
          <w:rFonts w:hint="eastAsia" w:cs="宋体" w:asciiTheme="minorEastAsia" w:hAnsiTheme="minorEastAsia"/>
          <w:color w:val="auto"/>
          <w:szCs w:val="24"/>
          <w:lang w:val="en-US"/>
        </w:rPr>
        <w:t>，</w:t>
      </w:r>
      <w:r>
        <w:rPr>
          <w:rFonts w:hint="eastAsia" w:asciiTheme="minorEastAsia" w:hAnsiTheme="minorEastAsia"/>
          <w:color w:val="auto"/>
          <w:szCs w:val="24"/>
          <w:lang w:val="en-US"/>
        </w:rPr>
        <w:t>中控大屏系统</w:t>
      </w:r>
      <w:r>
        <w:rPr>
          <w:rFonts w:hint="eastAsia" w:asciiTheme="minorEastAsia" w:hAnsiTheme="minorEastAsia"/>
          <w:color w:val="auto"/>
          <w:szCs w:val="24"/>
          <w:lang w:val="en-US" w:eastAsia="zh-CN"/>
        </w:rPr>
        <w:t>需</w:t>
      </w:r>
      <w:r>
        <w:rPr>
          <w:rFonts w:hint="eastAsia" w:asciiTheme="minorEastAsia" w:hAnsiTheme="minorEastAsia"/>
          <w:color w:val="auto"/>
          <w:szCs w:val="24"/>
          <w:lang w:val="en-US"/>
        </w:rPr>
        <w:t>进行“72+24”小时试运行，</w:t>
      </w:r>
      <w:r>
        <w:rPr>
          <w:rFonts w:hint="eastAsia" w:asciiTheme="minorEastAsia" w:hAnsiTheme="minorEastAsia"/>
          <w:color w:val="auto"/>
          <w:szCs w:val="24"/>
          <w:lang w:val="en-US" w:eastAsia="zh-CN"/>
        </w:rPr>
        <w:t>若试运行期间设备运行正常、显示正常</w:t>
      </w:r>
      <w:r>
        <w:rPr>
          <w:rFonts w:hint="eastAsia" w:asciiTheme="minorEastAsia" w:hAnsiTheme="minorEastAsia"/>
          <w:color w:val="auto"/>
          <w:szCs w:val="24"/>
          <w:lang w:val="en-US"/>
        </w:rPr>
        <w:t>视为验收合格。</w:t>
      </w:r>
    </w:p>
    <w:p w14:paraId="4D8C476C">
      <w:pPr>
        <w:pStyle w:val="8"/>
        <w:rPr>
          <w:rFonts w:hint="default" w:eastAsiaTheme="minorEastAsia"/>
          <w:color w:val="FF0000"/>
          <w:lang w:val="en-US" w:eastAsia="zh-CN"/>
        </w:rPr>
      </w:pPr>
      <w:r>
        <w:rPr>
          <w:rFonts w:hint="eastAsia" w:asciiTheme="minorEastAsia" w:hAnsiTheme="minorEastAsia"/>
          <w:color w:val="FF0000"/>
          <w:szCs w:val="24"/>
          <w:lang w:val="en-US" w:eastAsia="zh-CN"/>
        </w:rPr>
        <w:t>6.</w:t>
      </w:r>
      <w:r>
        <w:rPr>
          <w:rFonts w:hint="eastAsia" w:cs="Arial" w:asciiTheme="minorEastAsia" w:hAnsiTheme="minorEastAsia" w:eastAsiaTheme="minorEastAsia"/>
          <w:snapToGrid w:val="0"/>
          <w:color w:val="auto"/>
          <w:kern w:val="2"/>
          <w:sz w:val="24"/>
          <w:szCs w:val="24"/>
          <w:lang w:val="en-US" w:eastAsia="zh-CN" w:bidi="ar-SA"/>
        </w:rPr>
        <w:t>供应商应按照设计方案制作，最终完成的效果应与设计方案一致。</w:t>
      </w:r>
    </w:p>
    <w:p w14:paraId="76DEC3FA">
      <w:pPr>
        <w:pStyle w:val="7"/>
        <w:ind w:firstLine="480" w:firstLineChars="200"/>
        <w:rPr>
          <w:rFonts w:asciiTheme="minorEastAsia" w:hAnsiTheme="minorEastAsia"/>
          <w:b/>
          <w:bCs/>
          <w:color w:val="auto"/>
          <w:szCs w:val="24"/>
          <w:lang w:val="en-US"/>
        </w:rPr>
      </w:pPr>
      <w:r>
        <w:rPr>
          <w:rFonts w:hint="eastAsia" w:cs="仿宋" w:asciiTheme="minorEastAsia" w:hAnsiTheme="minorEastAsia"/>
          <w:color w:val="auto"/>
          <w:kern w:val="0"/>
          <w:szCs w:val="24"/>
          <w:lang w:val="en-US"/>
        </w:rPr>
        <w:t>六</w:t>
      </w:r>
      <w:r>
        <w:rPr>
          <w:rFonts w:hint="eastAsia" w:asciiTheme="minorEastAsia" w:hAnsiTheme="minorEastAsia"/>
          <w:b/>
          <w:bCs/>
          <w:color w:val="auto"/>
          <w:szCs w:val="24"/>
          <w:lang w:val="en-US"/>
        </w:rPr>
        <w:t>、服务要求</w:t>
      </w:r>
    </w:p>
    <w:p w14:paraId="129BC5A2">
      <w:pPr>
        <w:pStyle w:val="7"/>
        <w:ind w:firstLine="480" w:firstLineChars="200"/>
        <w:rPr>
          <w:rFonts w:hint="eastAsia" w:cs="Arial" w:asciiTheme="minorEastAsia" w:hAnsiTheme="minorEastAsia"/>
          <w:color w:val="auto"/>
          <w:szCs w:val="24"/>
          <w:lang w:val="en-US" w:eastAsia="zh-CN"/>
        </w:rPr>
      </w:pPr>
      <w:r>
        <w:rPr>
          <w:rFonts w:hint="eastAsia" w:cs="Arial" w:asciiTheme="minorEastAsia" w:hAnsiTheme="minorEastAsia"/>
          <w:color w:val="auto"/>
          <w:szCs w:val="24"/>
          <w:lang w:val="en-US" w:eastAsia="zh-CN"/>
        </w:rPr>
        <w:t>1.供应商在确定成交后，需对现场进行查看并制定作业方案，采购人审核通过方可实施。</w:t>
      </w:r>
    </w:p>
    <w:p w14:paraId="4F4E7627">
      <w:pPr>
        <w:pStyle w:val="7"/>
        <w:ind w:firstLine="480" w:firstLineChars="200"/>
        <w:rPr>
          <w:rFonts w:hint="eastAsia" w:cs="Arial" w:asciiTheme="minorEastAsia" w:hAnsiTheme="minorEastAsia"/>
          <w:color w:val="auto"/>
          <w:szCs w:val="24"/>
          <w:lang w:val="en-US" w:eastAsia="zh-CN"/>
        </w:rPr>
      </w:pPr>
      <w:r>
        <w:rPr>
          <w:rFonts w:hint="eastAsia" w:cs="Arial" w:asciiTheme="minorEastAsia" w:hAnsiTheme="minorEastAsia"/>
          <w:color w:val="auto"/>
          <w:szCs w:val="24"/>
          <w:lang w:val="en-US" w:eastAsia="zh-CN"/>
        </w:rPr>
        <w:t>2.由采购人提供2根监控视频信号线输入，供应商负责信号输出。</w:t>
      </w:r>
    </w:p>
    <w:p w14:paraId="5E071C4D">
      <w:pPr>
        <w:pStyle w:val="7"/>
        <w:ind w:firstLine="480" w:firstLineChars="200"/>
        <w:rPr>
          <w:rFonts w:hint="default" w:cs="Arial" w:asciiTheme="minorEastAsia" w:hAnsiTheme="minorEastAsia"/>
          <w:color w:val="auto"/>
          <w:szCs w:val="24"/>
          <w:lang w:val="en-US" w:eastAsia="zh-CN"/>
        </w:rPr>
      </w:pPr>
      <w:r>
        <w:rPr>
          <w:rFonts w:hint="eastAsia" w:cs="Arial" w:asciiTheme="minorEastAsia" w:hAnsiTheme="minorEastAsia"/>
          <w:color w:val="auto"/>
          <w:szCs w:val="24"/>
          <w:lang w:val="en-US" w:eastAsia="zh-CN"/>
        </w:rPr>
        <w:t>3.供应商本项目的运输、大屏安装和调试、光纤铺设、光纤熔接、打孔、现场恢复等内容，均含在本次采购范围内，采购人不额外支付费用。若因采购人另外增加需求，双方另行协商。</w:t>
      </w:r>
    </w:p>
    <w:p w14:paraId="441A6AFB">
      <w:pPr>
        <w:pStyle w:val="7"/>
        <w:ind w:firstLine="480" w:firstLineChars="200"/>
        <w:rPr>
          <w:rFonts w:hint="eastAsia" w:cs="Arial" w:asciiTheme="minorEastAsia" w:hAnsiTheme="minorEastAsia"/>
          <w:color w:val="auto"/>
          <w:szCs w:val="24"/>
          <w:lang w:val="en-US"/>
        </w:rPr>
      </w:pPr>
      <w:r>
        <w:rPr>
          <w:rFonts w:hint="eastAsia" w:cs="Arial" w:asciiTheme="minorEastAsia" w:hAnsiTheme="minorEastAsia"/>
          <w:color w:val="auto"/>
          <w:szCs w:val="24"/>
          <w:lang w:val="en-US" w:eastAsia="zh-CN"/>
        </w:rPr>
        <w:t>4</w:t>
      </w:r>
      <w:r>
        <w:rPr>
          <w:rFonts w:hint="eastAsia" w:cs="Arial" w:asciiTheme="minorEastAsia" w:hAnsiTheme="minorEastAsia"/>
          <w:color w:val="auto"/>
          <w:szCs w:val="24"/>
          <w:lang w:val="en-US"/>
        </w:rPr>
        <w:t>.供应商负责在接到采购人电话或书面通知后在30天内完成安装调试。</w:t>
      </w:r>
    </w:p>
    <w:p w14:paraId="56605B16">
      <w:pPr>
        <w:pStyle w:val="7"/>
        <w:ind w:firstLine="480" w:firstLineChars="200"/>
        <w:rPr>
          <w:rFonts w:hint="eastAsia" w:cs="Arial" w:asciiTheme="minorEastAsia" w:hAnsiTheme="minorEastAsia"/>
          <w:color w:val="auto"/>
          <w:szCs w:val="24"/>
          <w:lang w:val="en-US"/>
        </w:rPr>
      </w:pPr>
      <w:r>
        <w:rPr>
          <w:rFonts w:hint="eastAsia" w:cs="Arial" w:asciiTheme="minorEastAsia" w:hAnsiTheme="minorEastAsia"/>
          <w:color w:val="auto"/>
          <w:szCs w:val="24"/>
          <w:lang w:val="en-US" w:eastAsia="zh-CN"/>
        </w:rPr>
        <w:t>5</w:t>
      </w:r>
      <w:r>
        <w:rPr>
          <w:rFonts w:hint="eastAsia" w:cs="Arial" w:asciiTheme="minorEastAsia" w:hAnsiTheme="minorEastAsia"/>
          <w:color w:val="auto"/>
          <w:szCs w:val="24"/>
          <w:lang w:val="en-US"/>
        </w:rPr>
        <w:t>.供应商应满足采购人的现场管理制度要求，遵守国家、行业、地方法律法规，不得违章作业，出现任何人员安全事故由供应商自行承担。</w:t>
      </w:r>
    </w:p>
    <w:p w14:paraId="0F63E233">
      <w:pPr>
        <w:pStyle w:val="7"/>
        <w:ind w:firstLine="480" w:firstLineChars="200"/>
        <w:rPr>
          <w:rFonts w:asciiTheme="minorEastAsia" w:hAnsiTheme="minorEastAsia"/>
          <w:color w:val="auto"/>
          <w:szCs w:val="24"/>
          <w:lang w:val="en-US"/>
        </w:rPr>
      </w:pPr>
      <w:r>
        <w:rPr>
          <w:rFonts w:hint="eastAsia" w:cs="Arial" w:asciiTheme="minorEastAsia" w:hAnsiTheme="minorEastAsia"/>
          <w:color w:val="auto"/>
          <w:szCs w:val="24"/>
          <w:lang w:val="en-US" w:eastAsia="zh-CN"/>
        </w:rPr>
        <w:t>5</w:t>
      </w:r>
      <w:r>
        <w:rPr>
          <w:rFonts w:hint="eastAsia" w:cs="Arial" w:asciiTheme="minorEastAsia" w:hAnsiTheme="minorEastAsia"/>
          <w:color w:val="auto"/>
          <w:szCs w:val="24"/>
          <w:lang w:val="en-US"/>
        </w:rPr>
        <w:t>.供应商在服务期间自备安装设备专</w:t>
      </w:r>
      <w:r>
        <w:rPr>
          <w:rFonts w:hint="eastAsia" w:asciiTheme="minorEastAsia" w:hAnsiTheme="minorEastAsia"/>
          <w:color w:val="auto"/>
          <w:szCs w:val="24"/>
          <w:lang w:val="en-US"/>
        </w:rPr>
        <w:t>用工具和服务人员的所有劳防用品。</w:t>
      </w:r>
    </w:p>
    <w:p w14:paraId="2E7E9201">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6</w:t>
      </w:r>
      <w:r>
        <w:rPr>
          <w:rFonts w:hint="eastAsia" w:asciiTheme="minorEastAsia" w:hAnsiTheme="minorEastAsia"/>
          <w:color w:val="auto"/>
          <w:szCs w:val="24"/>
          <w:lang w:val="en-US"/>
        </w:rPr>
        <w:t>.供应商在</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过程中应负责对采购人生产场地的保护，与</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区域无关进行必要隔离，若造成损坏应负责修复或赔偿。对</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区域必须做到工完料尽场地清。</w:t>
      </w:r>
    </w:p>
    <w:p w14:paraId="4A5404FF">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eastAsia="zh-CN"/>
        </w:rPr>
        <w:t>7</w:t>
      </w:r>
      <w:r>
        <w:rPr>
          <w:rFonts w:hint="eastAsia" w:asciiTheme="minorEastAsia" w:hAnsiTheme="minorEastAsia"/>
          <w:color w:val="auto"/>
          <w:szCs w:val="24"/>
          <w:lang w:val="en-US"/>
        </w:rPr>
        <w:t>.保密服务要求：</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对采购人提供的所有业务技术资料、文档，有责任对第三方保密；供应商在供货过程中涉及第三方产品（供应商提供的），若出现技术、经济或法律上的纠纷，应由供应商全面承担并解决，确保不影响项目的进度。</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应严格遵守采购人关于保密方面的规定，自觉保守采购人的商业秘密。采购人为方便项目实施所提供给</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的工作流程、管理模式、规程、程序等相关文档资料、文档、数据均属于采购人所有。未经采购人授权同意，</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不得另作他用。因</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原因导致上述资料、文档、数据或采购人商业秘密泄露的，采购人有权要求</w:t>
      </w:r>
      <w:r>
        <w:rPr>
          <w:rFonts w:hint="eastAsia" w:asciiTheme="minorEastAsia" w:hAnsiTheme="minorEastAsia"/>
          <w:color w:val="auto"/>
          <w:szCs w:val="24"/>
          <w:lang w:val="en-US" w:eastAsia="zh-CN"/>
        </w:rPr>
        <w:t>供应商</w:t>
      </w:r>
      <w:r>
        <w:rPr>
          <w:rFonts w:hint="eastAsia" w:asciiTheme="minorEastAsia" w:hAnsiTheme="minorEastAsia"/>
          <w:color w:val="auto"/>
          <w:szCs w:val="24"/>
          <w:lang w:val="en-US"/>
        </w:rPr>
        <w:t>采取措施消除影响并赔偿采购人损失。</w:t>
      </w:r>
    </w:p>
    <w:p w14:paraId="0A178289">
      <w:pPr>
        <w:pStyle w:val="7"/>
        <w:ind w:firstLine="480" w:firstLineChars="200"/>
        <w:rPr>
          <w:rFonts w:cs="仿宋" w:asciiTheme="minorEastAsia" w:hAnsiTheme="minorEastAsia"/>
          <w:color w:val="auto"/>
          <w:kern w:val="0"/>
          <w:szCs w:val="24"/>
          <w:lang w:val="en-US"/>
        </w:rPr>
      </w:pPr>
      <w:r>
        <w:rPr>
          <w:rFonts w:hint="eastAsia" w:cs="仿宋" w:asciiTheme="minorEastAsia" w:hAnsiTheme="minorEastAsia"/>
          <w:color w:val="auto"/>
          <w:kern w:val="0"/>
          <w:szCs w:val="24"/>
          <w:lang w:val="en-US"/>
        </w:rPr>
        <w:t>七、结算方式</w:t>
      </w:r>
    </w:p>
    <w:p w14:paraId="6D0AE617">
      <w:pPr>
        <w:pStyle w:val="8"/>
        <w:ind w:firstLine="480" w:firstLineChars="200"/>
        <w:rPr>
          <w:color w:val="auto"/>
          <w:lang w:val="en-US"/>
        </w:rPr>
      </w:pPr>
      <w:r>
        <w:rPr>
          <w:rFonts w:hint="eastAsia"/>
          <w:color w:val="auto"/>
          <w:lang w:val="en-US"/>
        </w:rPr>
        <w:t>以本询价采购文件中的合同条款为准。</w:t>
      </w:r>
    </w:p>
    <w:p w14:paraId="456F50EA">
      <w:pPr>
        <w:pStyle w:val="7"/>
        <w:ind w:firstLine="480" w:firstLineChars="200"/>
        <w:rPr>
          <w:b/>
          <w:bCs/>
          <w:color w:val="auto"/>
          <w:lang w:val="en-US"/>
        </w:rPr>
      </w:pPr>
      <w:r>
        <w:rPr>
          <w:rFonts w:hint="eastAsia" w:cs="仿宋" w:asciiTheme="minorEastAsia" w:hAnsiTheme="minorEastAsia"/>
          <w:color w:val="auto"/>
          <w:kern w:val="0"/>
          <w:lang w:val="en-US"/>
        </w:rPr>
        <w:t>八</w:t>
      </w:r>
      <w:r>
        <w:rPr>
          <w:rFonts w:hint="eastAsia"/>
          <w:b/>
          <w:bCs/>
          <w:color w:val="auto"/>
          <w:lang w:val="en-US"/>
        </w:rPr>
        <w:t>、售后要求</w:t>
      </w:r>
    </w:p>
    <w:p w14:paraId="4870BBB4">
      <w:pPr>
        <w:pStyle w:val="7"/>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15723C12">
      <w:pPr>
        <w:pStyle w:val="7"/>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27C37C59">
      <w:pPr>
        <w:pStyle w:val="7"/>
        <w:ind w:firstLine="480" w:firstLineChars="200"/>
        <w:rPr>
          <w:rFonts w:hint="eastAsia"/>
          <w:color w:val="auto"/>
          <w:lang w:val="en-US"/>
        </w:rPr>
      </w:pPr>
      <w:r>
        <w:rPr>
          <w:rFonts w:hint="eastAsia"/>
          <w:color w:val="auto"/>
          <w:lang w:val="en-US"/>
        </w:rPr>
        <w:t>3.供应商提供的货物或者服务在使用过程中，因质量问题给机械设备造成故障或货物损坏，由供应商承担采购人的一切损失，包括直接和间接损失。</w:t>
      </w:r>
    </w:p>
    <w:p w14:paraId="0095E4A1">
      <w:pPr>
        <w:pStyle w:val="7"/>
        <w:ind w:firstLine="482" w:firstLineChars="200"/>
        <w:rPr>
          <w:rFonts w:cs="仿宋" w:asciiTheme="minorEastAsia" w:hAnsiTheme="minorEastAsia"/>
          <w:b/>
          <w:color w:val="auto"/>
          <w:sz w:val="36"/>
          <w:szCs w:val="36"/>
        </w:rPr>
      </w:pPr>
      <w:r>
        <w:rPr>
          <w:rFonts w:hint="eastAsia"/>
          <w:b/>
          <w:bCs/>
          <w:color w:val="auto"/>
          <w:lang w:val="en-US"/>
        </w:rPr>
        <w:t>注：采购文件中打▲内容为实质性要求，不允许有负偏离，否则按无效报价处理。供应商在响应文件中应根据以上要求在商务、技术偏离表中响应，供应商未提出偏离的，视为全部实质性响应。</w:t>
      </w:r>
    </w:p>
    <w:p w14:paraId="264851A1">
      <w:pPr>
        <w:rPr>
          <w:rFonts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62561DE6">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04"/>
      <w:bookmarkEnd w:id="19"/>
      <w:bookmarkStart w:id="20" w:name="_Toc184312075"/>
      <w:bookmarkEnd w:id="20"/>
      <w:bookmarkStart w:id="21" w:name="_Toc184310336"/>
      <w:bookmarkEnd w:id="21"/>
      <w:bookmarkStart w:id="22" w:name="_Toc184314481"/>
      <w:bookmarkEnd w:id="22"/>
      <w:bookmarkStart w:id="23" w:name="_Toc184313245"/>
      <w:bookmarkEnd w:id="23"/>
      <w:bookmarkStart w:id="24" w:name="_Toc184308050"/>
      <w:bookmarkEnd w:id="24"/>
      <w:bookmarkStart w:id="25" w:name="_Toc184313286"/>
      <w:bookmarkEnd w:id="25"/>
      <w:bookmarkStart w:id="26" w:name="_Toc184314422"/>
      <w:bookmarkEnd w:id="26"/>
      <w:bookmarkStart w:id="27" w:name="_Toc184310324"/>
      <w:bookmarkEnd w:id="27"/>
      <w:bookmarkStart w:id="28" w:name="_Toc184310333"/>
      <w:bookmarkEnd w:id="28"/>
      <w:bookmarkStart w:id="29" w:name="_Toc184314411"/>
      <w:bookmarkEnd w:id="29"/>
      <w:bookmarkStart w:id="30" w:name="_Toc184308062"/>
      <w:bookmarkEnd w:id="30"/>
      <w:bookmarkStart w:id="31" w:name="_Toc184308104"/>
      <w:bookmarkEnd w:id="31"/>
      <w:bookmarkStart w:id="32" w:name="_Toc184313266"/>
      <w:bookmarkEnd w:id="32"/>
      <w:bookmarkStart w:id="33" w:name="_Toc184308080"/>
      <w:bookmarkEnd w:id="33"/>
      <w:bookmarkStart w:id="34" w:name="_Toc184312089"/>
      <w:bookmarkEnd w:id="34"/>
      <w:bookmarkStart w:id="35" w:name="_Toc184308053"/>
      <w:bookmarkEnd w:id="35"/>
      <w:bookmarkStart w:id="36" w:name="_Toc184308074"/>
      <w:bookmarkEnd w:id="36"/>
      <w:bookmarkStart w:id="37" w:name="_Toc184312083"/>
      <w:bookmarkEnd w:id="37"/>
      <w:bookmarkStart w:id="38" w:name="_Toc184313248"/>
      <w:bookmarkEnd w:id="38"/>
      <w:bookmarkStart w:id="39" w:name="_Toc184310299"/>
      <w:bookmarkEnd w:id="39"/>
      <w:bookmarkStart w:id="40" w:name="_Toc184310287"/>
      <w:bookmarkEnd w:id="40"/>
      <w:bookmarkStart w:id="41" w:name="_Toc184308047"/>
      <w:bookmarkEnd w:id="41"/>
      <w:bookmarkStart w:id="42" w:name="_Toc184308044"/>
      <w:bookmarkEnd w:id="42"/>
      <w:bookmarkStart w:id="43" w:name="_Toc184312102"/>
      <w:bookmarkEnd w:id="43"/>
      <w:bookmarkStart w:id="44" w:name="_Toc184310292"/>
      <w:bookmarkEnd w:id="44"/>
      <w:bookmarkStart w:id="45" w:name="_Toc184314465"/>
      <w:bookmarkEnd w:id="45"/>
      <w:bookmarkStart w:id="46" w:name="_Toc184313239"/>
      <w:bookmarkEnd w:id="46"/>
      <w:bookmarkStart w:id="47" w:name="_Toc184314468"/>
      <w:bookmarkEnd w:id="47"/>
      <w:bookmarkStart w:id="48" w:name="_Toc184312085"/>
      <w:bookmarkEnd w:id="48"/>
      <w:bookmarkStart w:id="49" w:name="_Toc184314474"/>
      <w:bookmarkEnd w:id="49"/>
      <w:bookmarkStart w:id="50" w:name="_Toc184310278"/>
      <w:bookmarkEnd w:id="50"/>
      <w:bookmarkStart w:id="51" w:name="_Toc184313256"/>
      <w:bookmarkEnd w:id="51"/>
      <w:bookmarkStart w:id="52" w:name="_Toc184312131"/>
      <w:bookmarkEnd w:id="52"/>
      <w:bookmarkStart w:id="53" w:name="_Toc184313299"/>
      <w:bookmarkEnd w:id="53"/>
      <w:bookmarkStart w:id="54" w:name="_Toc184313295"/>
      <w:bookmarkEnd w:id="54"/>
      <w:bookmarkStart w:id="55" w:name="_Toc184310327"/>
      <w:bookmarkEnd w:id="55"/>
      <w:bookmarkStart w:id="56" w:name="_Toc184313257"/>
      <w:bookmarkEnd w:id="56"/>
      <w:bookmarkStart w:id="57" w:name="_Toc184314425"/>
      <w:bookmarkEnd w:id="57"/>
      <w:bookmarkStart w:id="58" w:name="_Toc184308082"/>
      <w:bookmarkEnd w:id="58"/>
      <w:bookmarkStart w:id="59" w:name="_Toc184313267"/>
      <w:bookmarkEnd w:id="59"/>
      <w:bookmarkStart w:id="60" w:name="_Toc184308079"/>
      <w:bookmarkEnd w:id="60"/>
      <w:bookmarkStart w:id="61" w:name="_Toc184312120"/>
      <w:bookmarkEnd w:id="61"/>
      <w:bookmarkStart w:id="62" w:name="_Toc184312099"/>
      <w:bookmarkEnd w:id="62"/>
      <w:bookmarkStart w:id="63" w:name="_Toc184308092"/>
      <w:bookmarkEnd w:id="63"/>
      <w:bookmarkStart w:id="64" w:name="_Toc184312119"/>
      <w:bookmarkEnd w:id="64"/>
      <w:bookmarkStart w:id="65" w:name="_Toc184310274"/>
      <w:bookmarkEnd w:id="65"/>
      <w:bookmarkStart w:id="66" w:name="_Toc184310337"/>
      <w:bookmarkEnd w:id="66"/>
      <w:bookmarkStart w:id="67" w:name="_Toc184308061"/>
      <w:bookmarkEnd w:id="67"/>
      <w:bookmarkStart w:id="68" w:name="_Toc184308068"/>
      <w:bookmarkEnd w:id="68"/>
      <w:bookmarkStart w:id="69" w:name="_Toc184314438"/>
      <w:bookmarkEnd w:id="69"/>
      <w:bookmarkStart w:id="70" w:name="_Toc184308048"/>
      <w:bookmarkEnd w:id="70"/>
      <w:bookmarkStart w:id="71" w:name="_Toc184312095"/>
      <w:bookmarkEnd w:id="71"/>
      <w:bookmarkStart w:id="72" w:name="_Toc184308038"/>
      <w:bookmarkEnd w:id="72"/>
      <w:bookmarkStart w:id="73" w:name="_Toc184314419"/>
      <w:bookmarkEnd w:id="73"/>
      <w:bookmarkStart w:id="74" w:name="_Toc184308052"/>
      <w:bookmarkEnd w:id="74"/>
      <w:bookmarkStart w:id="75" w:name="_Toc184312138"/>
      <w:bookmarkEnd w:id="75"/>
      <w:bookmarkStart w:id="76" w:name="_Toc184314435"/>
      <w:bookmarkEnd w:id="76"/>
      <w:bookmarkStart w:id="77" w:name="_Toc184310321"/>
      <w:bookmarkEnd w:id="77"/>
      <w:bookmarkStart w:id="78" w:name="_Toc184308067"/>
      <w:bookmarkEnd w:id="78"/>
      <w:bookmarkStart w:id="79" w:name="_Toc184314461"/>
      <w:bookmarkEnd w:id="79"/>
      <w:bookmarkStart w:id="80" w:name="_Toc184310285"/>
      <w:bookmarkEnd w:id="80"/>
      <w:bookmarkStart w:id="81" w:name="_Toc184308051"/>
      <w:bookmarkEnd w:id="81"/>
      <w:bookmarkStart w:id="82" w:name="_Toc184310317"/>
      <w:bookmarkEnd w:id="82"/>
      <w:bookmarkStart w:id="83" w:name="_Toc184313297"/>
      <w:bookmarkEnd w:id="83"/>
      <w:bookmarkStart w:id="84" w:name="_Toc184308084"/>
      <w:bookmarkEnd w:id="84"/>
      <w:bookmarkStart w:id="85" w:name="_Toc184308100"/>
      <w:bookmarkEnd w:id="85"/>
      <w:bookmarkStart w:id="86" w:name="_Toc184308056"/>
      <w:bookmarkEnd w:id="86"/>
      <w:bookmarkStart w:id="87" w:name="_Toc184310289"/>
      <w:bookmarkEnd w:id="87"/>
      <w:bookmarkStart w:id="88" w:name="_Toc184314436"/>
      <w:bookmarkEnd w:id="88"/>
      <w:bookmarkStart w:id="89" w:name="_Toc184312129"/>
      <w:bookmarkEnd w:id="89"/>
      <w:bookmarkStart w:id="90" w:name="_Toc184312133"/>
      <w:bookmarkEnd w:id="90"/>
      <w:bookmarkStart w:id="91" w:name="_Toc184310310"/>
      <w:bookmarkEnd w:id="91"/>
      <w:bookmarkStart w:id="92" w:name="_Toc184312080"/>
      <w:bookmarkEnd w:id="92"/>
      <w:bookmarkStart w:id="93" w:name="_Toc184310344"/>
      <w:bookmarkEnd w:id="93"/>
      <w:bookmarkStart w:id="94" w:name="_Toc184314470"/>
      <w:bookmarkEnd w:id="94"/>
      <w:bookmarkStart w:id="95" w:name="_Toc184313282"/>
      <w:bookmarkEnd w:id="95"/>
      <w:bookmarkStart w:id="96" w:name="_Toc184310279"/>
      <w:bookmarkEnd w:id="96"/>
      <w:bookmarkStart w:id="97" w:name="_Toc184312123"/>
      <w:bookmarkEnd w:id="97"/>
      <w:bookmarkStart w:id="98" w:name="_Toc184310306"/>
      <w:bookmarkEnd w:id="98"/>
      <w:bookmarkStart w:id="99" w:name="_Toc184312122"/>
      <w:bookmarkEnd w:id="99"/>
      <w:bookmarkStart w:id="100" w:name="_Toc184314446"/>
      <w:bookmarkEnd w:id="100"/>
      <w:bookmarkStart w:id="101" w:name="_Toc184308107"/>
      <w:bookmarkEnd w:id="101"/>
      <w:bookmarkStart w:id="102" w:name="_Toc184308046"/>
      <w:bookmarkEnd w:id="102"/>
      <w:bookmarkStart w:id="103" w:name="_Toc184310273"/>
      <w:bookmarkEnd w:id="103"/>
      <w:bookmarkStart w:id="104" w:name="_Toc184314413"/>
      <w:bookmarkEnd w:id="104"/>
      <w:bookmarkStart w:id="105" w:name="_Toc184313264"/>
      <w:bookmarkEnd w:id="105"/>
      <w:bookmarkStart w:id="106" w:name="_Toc184314444"/>
      <w:bookmarkEnd w:id="106"/>
      <w:bookmarkStart w:id="107" w:name="_Toc184313262"/>
      <w:bookmarkEnd w:id="107"/>
      <w:bookmarkStart w:id="108" w:name="_Toc184314452"/>
      <w:bookmarkEnd w:id="108"/>
      <w:bookmarkStart w:id="109" w:name="_Toc184313253"/>
      <w:bookmarkEnd w:id="109"/>
      <w:bookmarkStart w:id="110" w:name="_Toc184314418"/>
      <w:bookmarkEnd w:id="110"/>
      <w:bookmarkStart w:id="111" w:name="_Toc184310340"/>
      <w:bookmarkEnd w:id="111"/>
      <w:bookmarkStart w:id="112" w:name="_Toc184312088"/>
      <w:bookmarkEnd w:id="112"/>
      <w:bookmarkStart w:id="113" w:name="_Toc184313275"/>
      <w:bookmarkEnd w:id="113"/>
      <w:bookmarkStart w:id="114" w:name="_Toc184308090"/>
      <w:bookmarkEnd w:id="114"/>
      <w:bookmarkStart w:id="115" w:name="_Toc184313241"/>
      <w:bookmarkEnd w:id="115"/>
      <w:bookmarkStart w:id="116" w:name="_Toc184308040"/>
      <w:bookmarkEnd w:id="116"/>
      <w:bookmarkStart w:id="117" w:name="_Toc184312067"/>
      <w:bookmarkEnd w:id="117"/>
      <w:bookmarkStart w:id="118" w:name="_Toc184313249"/>
      <w:bookmarkEnd w:id="118"/>
      <w:bookmarkStart w:id="119" w:name="_Toc184308083"/>
      <w:bookmarkEnd w:id="119"/>
      <w:bookmarkStart w:id="120" w:name="_Toc184313277"/>
      <w:bookmarkEnd w:id="120"/>
      <w:bookmarkStart w:id="121" w:name="_Toc184314414"/>
      <w:bookmarkEnd w:id="121"/>
      <w:bookmarkStart w:id="122" w:name="_Toc184314445"/>
      <w:bookmarkEnd w:id="122"/>
      <w:bookmarkStart w:id="123" w:name="_Toc184310286"/>
      <w:bookmarkEnd w:id="123"/>
      <w:bookmarkStart w:id="124" w:name="_Toc184314451"/>
      <w:bookmarkEnd w:id="124"/>
      <w:bookmarkStart w:id="125" w:name="_Toc184310276"/>
      <w:bookmarkEnd w:id="125"/>
      <w:bookmarkStart w:id="126" w:name="_Toc184310272"/>
      <w:bookmarkEnd w:id="126"/>
      <w:bookmarkStart w:id="127" w:name="_Toc184312127"/>
      <w:bookmarkEnd w:id="127"/>
      <w:bookmarkStart w:id="128" w:name="_Toc184310275"/>
      <w:bookmarkEnd w:id="128"/>
      <w:bookmarkStart w:id="129" w:name="_Toc184314464"/>
      <w:bookmarkEnd w:id="129"/>
      <w:bookmarkStart w:id="130" w:name="_Toc184314442"/>
      <w:bookmarkEnd w:id="130"/>
      <w:bookmarkStart w:id="131" w:name="_Toc184314458"/>
      <w:bookmarkEnd w:id="131"/>
      <w:bookmarkStart w:id="132" w:name="_Toc184314460"/>
      <w:bookmarkEnd w:id="132"/>
      <w:bookmarkStart w:id="133" w:name="_Toc184308078"/>
      <w:bookmarkEnd w:id="133"/>
      <w:bookmarkStart w:id="134" w:name="_Toc184313251"/>
      <w:bookmarkEnd w:id="134"/>
      <w:bookmarkStart w:id="135" w:name="_Toc184310302"/>
      <w:bookmarkEnd w:id="135"/>
      <w:bookmarkStart w:id="136" w:name="_Toc184308057"/>
      <w:bookmarkEnd w:id="136"/>
      <w:bookmarkStart w:id="137" w:name="_Toc184310304"/>
      <w:bookmarkEnd w:id="137"/>
      <w:bookmarkStart w:id="138" w:name="_Toc184313294"/>
      <w:bookmarkEnd w:id="138"/>
      <w:bookmarkStart w:id="139" w:name="_Toc184308108"/>
      <w:bookmarkEnd w:id="139"/>
      <w:bookmarkStart w:id="140" w:name="_Toc184314427"/>
      <w:bookmarkEnd w:id="140"/>
      <w:bookmarkStart w:id="141" w:name="_Toc184310288"/>
      <w:bookmarkEnd w:id="141"/>
      <w:bookmarkStart w:id="142" w:name="_Toc184308060"/>
      <w:bookmarkEnd w:id="142"/>
      <w:bookmarkStart w:id="143" w:name="_Toc184313309"/>
      <w:bookmarkEnd w:id="143"/>
      <w:bookmarkStart w:id="144" w:name="_Toc184314471"/>
      <w:bookmarkEnd w:id="144"/>
      <w:bookmarkStart w:id="145" w:name="_Toc184312114"/>
      <w:bookmarkEnd w:id="145"/>
      <w:bookmarkStart w:id="146" w:name="_Toc184312097"/>
      <w:bookmarkEnd w:id="146"/>
      <w:bookmarkStart w:id="147" w:name="_Toc184314450"/>
      <w:bookmarkEnd w:id="147"/>
      <w:bookmarkStart w:id="148" w:name="_Toc184310301"/>
      <w:bookmarkEnd w:id="148"/>
      <w:bookmarkStart w:id="149" w:name="_Toc184313238"/>
      <w:bookmarkEnd w:id="149"/>
      <w:bookmarkStart w:id="150" w:name="_Toc184308041"/>
      <w:bookmarkEnd w:id="150"/>
      <w:bookmarkStart w:id="151" w:name="_Toc184314420"/>
      <w:bookmarkEnd w:id="151"/>
      <w:bookmarkStart w:id="152" w:name="_Toc184310335"/>
      <w:bookmarkEnd w:id="152"/>
      <w:bookmarkStart w:id="153" w:name="_Toc184312077"/>
      <w:bookmarkEnd w:id="153"/>
      <w:bookmarkStart w:id="154" w:name="_Toc184308043"/>
      <w:bookmarkEnd w:id="154"/>
      <w:bookmarkStart w:id="155" w:name="_Toc184313292"/>
      <w:bookmarkEnd w:id="155"/>
      <w:bookmarkStart w:id="156" w:name="_Toc184313268"/>
      <w:bookmarkEnd w:id="156"/>
      <w:bookmarkStart w:id="157" w:name="_Toc184308071"/>
      <w:bookmarkEnd w:id="157"/>
      <w:bookmarkStart w:id="158" w:name="_Toc184308091"/>
      <w:bookmarkEnd w:id="158"/>
      <w:bookmarkStart w:id="159" w:name="_Toc184313300"/>
      <w:bookmarkEnd w:id="159"/>
      <w:bookmarkStart w:id="160" w:name="_Toc184312121"/>
      <w:bookmarkEnd w:id="160"/>
      <w:bookmarkStart w:id="161" w:name="_Toc184312070"/>
      <w:bookmarkEnd w:id="161"/>
      <w:bookmarkStart w:id="162" w:name="_Toc184313271"/>
      <w:bookmarkEnd w:id="162"/>
      <w:bookmarkStart w:id="163" w:name="_Toc184312068"/>
      <w:bookmarkEnd w:id="163"/>
      <w:bookmarkStart w:id="164" w:name="_Toc184313270"/>
      <w:bookmarkEnd w:id="164"/>
      <w:bookmarkStart w:id="165" w:name="_Toc184314423"/>
      <w:bookmarkEnd w:id="165"/>
      <w:bookmarkStart w:id="166" w:name="_Toc184310305"/>
      <w:bookmarkEnd w:id="166"/>
      <w:bookmarkStart w:id="167" w:name="_Toc184312139"/>
      <w:bookmarkEnd w:id="167"/>
      <w:bookmarkStart w:id="168" w:name="_Toc184313290"/>
      <w:bookmarkEnd w:id="168"/>
      <w:bookmarkStart w:id="169" w:name="_Toc184312112"/>
      <w:bookmarkEnd w:id="169"/>
      <w:bookmarkStart w:id="170" w:name="_Toc184308076"/>
      <w:bookmarkEnd w:id="170"/>
      <w:bookmarkStart w:id="171" w:name="_Toc184308064"/>
      <w:bookmarkEnd w:id="171"/>
      <w:bookmarkStart w:id="172" w:name="_Toc184308075"/>
      <w:bookmarkEnd w:id="172"/>
      <w:bookmarkStart w:id="173" w:name="_Toc184308042"/>
      <w:bookmarkEnd w:id="173"/>
      <w:bookmarkStart w:id="174" w:name="_Toc184314426"/>
      <w:bookmarkEnd w:id="174"/>
      <w:bookmarkStart w:id="175" w:name="_Toc184312069"/>
      <w:bookmarkEnd w:id="175"/>
      <w:bookmarkStart w:id="176" w:name="_Toc184310325"/>
      <w:bookmarkEnd w:id="176"/>
      <w:bookmarkStart w:id="177" w:name="_Toc184313302"/>
      <w:bookmarkEnd w:id="177"/>
      <w:bookmarkStart w:id="178" w:name="_Toc184310291"/>
      <w:bookmarkEnd w:id="178"/>
      <w:bookmarkStart w:id="179" w:name="_Toc184313279"/>
      <w:bookmarkEnd w:id="179"/>
      <w:bookmarkStart w:id="180" w:name="_Toc184312072"/>
      <w:bookmarkEnd w:id="180"/>
      <w:bookmarkStart w:id="181" w:name="_Toc184313305"/>
      <w:bookmarkEnd w:id="181"/>
      <w:bookmarkStart w:id="182" w:name="_Toc184314454"/>
      <w:bookmarkEnd w:id="182"/>
      <w:bookmarkStart w:id="183" w:name="_Toc184310290"/>
      <w:bookmarkEnd w:id="183"/>
      <w:bookmarkStart w:id="184" w:name="_Toc184314453"/>
      <w:bookmarkEnd w:id="184"/>
      <w:bookmarkStart w:id="185" w:name="_Toc184313263"/>
      <w:bookmarkEnd w:id="185"/>
      <w:bookmarkStart w:id="186" w:name="_Toc184314441"/>
      <w:bookmarkEnd w:id="186"/>
      <w:bookmarkStart w:id="187" w:name="_Toc184314472"/>
      <w:bookmarkEnd w:id="187"/>
      <w:bookmarkStart w:id="188" w:name="_Toc184308049"/>
      <w:bookmarkEnd w:id="188"/>
      <w:bookmarkStart w:id="189" w:name="_Toc184310323"/>
      <w:bookmarkEnd w:id="189"/>
      <w:bookmarkStart w:id="190" w:name="_Toc184310296"/>
      <w:bookmarkEnd w:id="190"/>
      <w:bookmarkStart w:id="191" w:name="_Toc184313278"/>
      <w:bookmarkEnd w:id="191"/>
      <w:bookmarkStart w:id="192" w:name="_Toc184313265"/>
      <w:bookmarkEnd w:id="192"/>
      <w:bookmarkStart w:id="193" w:name="_Toc184314463"/>
      <w:bookmarkEnd w:id="193"/>
      <w:bookmarkStart w:id="194" w:name="_Toc184314434"/>
      <w:bookmarkEnd w:id="194"/>
      <w:bookmarkStart w:id="195" w:name="_Toc184310282"/>
      <w:bookmarkEnd w:id="195"/>
      <w:bookmarkStart w:id="196" w:name="_Toc184312103"/>
      <w:bookmarkEnd w:id="196"/>
      <w:bookmarkStart w:id="197" w:name="_Toc184314416"/>
      <w:bookmarkEnd w:id="197"/>
      <w:bookmarkStart w:id="198" w:name="_Toc184314432"/>
      <w:bookmarkEnd w:id="198"/>
      <w:bookmarkStart w:id="199" w:name="_Toc184314448"/>
      <w:bookmarkEnd w:id="199"/>
      <w:bookmarkStart w:id="200" w:name="_Toc184310332"/>
      <w:bookmarkEnd w:id="200"/>
      <w:bookmarkStart w:id="201" w:name="_Toc184314467"/>
      <w:bookmarkEnd w:id="201"/>
      <w:bookmarkStart w:id="202" w:name="_Toc184314417"/>
      <w:bookmarkEnd w:id="202"/>
      <w:bookmarkStart w:id="203" w:name="_Toc184310303"/>
      <w:bookmarkEnd w:id="203"/>
      <w:bookmarkStart w:id="204" w:name="_Toc184314440"/>
      <w:bookmarkEnd w:id="204"/>
      <w:bookmarkStart w:id="205" w:name="_Toc184310338"/>
      <w:bookmarkEnd w:id="205"/>
      <w:bookmarkStart w:id="206" w:name="_Toc184312111"/>
      <w:bookmarkEnd w:id="206"/>
      <w:bookmarkStart w:id="207" w:name="_Toc184312073"/>
      <w:bookmarkEnd w:id="207"/>
      <w:bookmarkStart w:id="208" w:name="_Toc184308037"/>
      <w:bookmarkEnd w:id="208"/>
      <w:bookmarkStart w:id="209" w:name="_Toc184310300"/>
      <w:bookmarkEnd w:id="209"/>
      <w:bookmarkStart w:id="210" w:name="_Toc184308073"/>
      <w:bookmarkEnd w:id="210"/>
      <w:bookmarkStart w:id="211" w:name="_Toc184313293"/>
      <w:bookmarkEnd w:id="211"/>
      <w:bookmarkStart w:id="212" w:name="_Toc184310312"/>
      <w:bookmarkEnd w:id="212"/>
      <w:bookmarkStart w:id="213" w:name="_Toc184313276"/>
      <w:bookmarkEnd w:id="213"/>
      <w:bookmarkStart w:id="214" w:name="_Toc184308045"/>
      <w:bookmarkEnd w:id="214"/>
      <w:bookmarkStart w:id="215" w:name="_Toc184313240"/>
      <w:bookmarkEnd w:id="215"/>
      <w:bookmarkStart w:id="216" w:name="_Toc184313307"/>
      <w:bookmarkEnd w:id="216"/>
      <w:bookmarkStart w:id="217" w:name="_Toc184313306"/>
      <w:bookmarkEnd w:id="217"/>
      <w:bookmarkStart w:id="218" w:name="_Toc184308081"/>
      <w:bookmarkEnd w:id="218"/>
      <w:bookmarkStart w:id="219" w:name="_Toc184312134"/>
      <w:bookmarkEnd w:id="219"/>
      <w:bookmarkStart w:id="220" w:name="_Toc184312109"/>
      <w:bookmarkEnd w:id="220"/>
      <w:bookmarkStart w:id="221" w:name="_Toc184314415"/>
      <w:bookmarkEnd w:id="221"/>
      <w:bookmarkStart w:id="222" w:name="_Toc184314410"/>
      <w:bookmarkEnd w:id="222"/>
      <w:bookmarkStart w:id="223" w:name="_Toc184310293"/>
      <w:bookmarkEnd w:id="223"/>
      <w:bookmarkStart w:id="224" w:name="_Toc184308069"/>
      <w:bookmarkEnd w:id="224"/>
      <w:bookmarkStart w:id="225" w:name="_Toc184308070"/>
      <w:bookmarkEnd w:id="225"/>
      <w:bookmarkStart w:id="226" w:name="_Toc184308088"/>
      <w:bookmarkEnd w:id="226"/>
      <w:bookmarkStart w:id="227" w:name="_Toc184310280"/>
      <w:bookmarkEnd w:id="227"/>
      <w:bookmarkStart w:id="228" w:name="_Toc184314439"/>
      <w:bookmarkEnd w:id="228"/>
      <w:bookmarkStart w:id="229" w:name="_Toc184308066"/>
      <w:bookmarkEnd w:id="229"/>
      <w:bookmarkStart w:id="230" w:name="_Toc184314429"/>
      <w:bookmarkEnd w:id="230"/>
      <w:bookmarkStart w:id="231" w:name="_Toc184312101"/>
      <w:bookmarkEnd w:id="231"/>
      <w:bookmarkStart w:id="232" w:name="_Toc184314424"/>
      <w:bookmarkEnd w:id="232"/>
      <w:bookmarkStart w:id="233" w:name="_Toc184312076"/>
      <w:bookmarkEnd w:id="233"/>
      <w:bookmarkStart w:id="234" w:name="_Toc184312105"/>
      <w:bookmarkEnd w:id="234"/>
      <w:bookmarkStart w:id="235" w:name="_Toc184310284"/>
      <w:bookmarkEnd w:id="235"/>
      <w:bookmarkStart w:id="236" w:name="_Toc184314480"/>
      <w:bookmarkEnd w:id="236"/>
      <w:bookmarkStart w:id="237" w:name="_Toc184312104"/>
      <w:bookmarkEnd w:id="237"/>
      <w:bookmarkStart w:id="238" w:name="_Toc184313303"/>
      <w:bookmarkEnd w:id="238"/>
      <w:bookmarkStart w:id="239" w:name="_Toc184310331"/>
      <w:bookmarkEnd w:id="239"/>
      <w:bookmarkStart w:id="240" w:name="_Toc184312132"/>
      <w:bookmarkEnd w:id="240"/>
      <w:bookmarkStart w:id="241" w:name="_Toc184310318"/>
      <w:bookmarkEnd w:id="241"/>
      <w:bookmarkStart w:id="242" w:name="_Toc184313246"/>
      <w:bookmarkEnd w:id="242"/>
      <w:bookmarkStart w:id="243" w:name="_Toc184310281"/>
      <w:bookmarkEnd w:id="243"/>
      <w:bookmarkStart w:id="244" w:name="_Toc184313289"/>
      <w:bookmarkEnd w:id="244"/>
      <w:bookmarkStart w:id="245" w:name="_Toc184313244"/>
      <w:bookmarkEnd w:id="245"/>
      <w:bookmarkStart w:id="246" w:name="_Toc184308058"/>
      <w:bookmarkEnd w:id="246"/>
      <w:bookmarkStart w:id="247" w:name="_Toc184310329"/>
      <w:bookmarkEnd w:id="247"/>
      <w:bookmarkStart w:id="248" w:name="_Toc184312086"/>
      <w:bookmarkEnd w:id="248"/>
      <w:bookmarkStart w:id="249" w:name="_Toc184312082"/>
      <w:bookmarkEnd w:id="249"/>
      <w:bookmarkStart w:id="250" w:name="_Toc184310320"/>
      <w:bookmarkEnd w:id="250"/>
      <w:bookmarkStart w:id="251" w:name="_Toc184313247"/>
      <w:bookmarkEnd w:id="251"/>
      <w:bookmarkStart w:id="252" w:name="_Toc184310330"/>
      <w:bookmarkEnd w:id="252"/>
      <w:bookmarkStart w:id="253" w:name="_Toc184312092"/>
      <w:bookmarkEnd w:id="253"/>
      <w:bookmarkStart w:id="254" w:name="_Toc184312087"/>
      <w:bookmarkEnd w:id="254"/>
      <w:bookmarkStart w:id="255" w:name="_Toc184312100"/>
      <w:bookmarkEnd w:id="255"/>
      <w:bookmarkStart w:id="256" w:name="_Toc184312107"/>
      <w:bookmarkEnd w:id="256"/>
      <w:bookmarkStart w:id="257" w:name="_Toc184312091"/>
      <w:bookmarkEnd w:id="257"/>
      <w:bookmarkStart w:id="258" w:name="_Toc184312124"/>
      <w:bookmarkEnd w:id="258"/>
      <w:bookmarkStart w:id="259" w:name="_Toc184312117"/>
      <w:bookmarkEnd w:id="259"/>
      <w:bookmarkStart w:id="260" w:name="_Toc184313252"/>
      <w:bookmarkEnd w:id="260"/>
      <w:bookmarkStart w:id="261" w:name="_Toc184312078"/>
      <w:bookmarkEnd w:id="261"/>
      <w:bookmarkStart w:id="262" w:name="_Toc184312093"/>
      <w:bookmarkEnd w:id="262"/>
      <w:bookmarkStart w:id="263" w:name="_Toc184313291"/>
      <w:bookmarkEnd w:id="263"/>
      <w:bookmarkStart w:id="264" w:name="_Toc184308063"/>
      <w:bookmarkEnd w:id="264"/>
      <w:bookmarkStart w:id="265" w:name="_Toc184313283"/>
      <w:bookmarkEnd w:id="265"/>
      <w:bookmarkStart w:id="266" w:name="_Toc184312084"/>
      <w:bookmarkEnd w:id="266"/>
      <w:bookmarkStart w:id="267" w:name="_Toc184310314"/>
      <w:bookmarkEnd w:id="267"/>
      <w:bookmarkStart w:id="268" w:name="_Toc184310326"/>
      <w:bookmarkEnd w:id="268"/>
      <w:bookmarkStart w:id="269" w:name="_Toc184314476"/>
      <w:bookmarkEnd w:id="269"/>
      <w:bookmarkStart w:id="270" w:name="_Toc184310309"/>
      <w:bookmarkEnd w:id="270"/>
      <w:bookmarkStart w:id="271" w:name="_Toc184308096"/>
      <w:bookmarkEnd w:id="271"/>
      <w:bookmarkStart w:id="272" w:name="_Toc184314479"/>
      <w:bookmarkEnd w:id="272"/>
      <w:bookmarkStart w:id="273" w:name="_Toc184314466"/>
      <w:bookmarkEnd w:id="273"/>
      <w:bookmarkStart w:id="274" w:name="_Toc184313288"/>
      <w:bookmarkEnd w:id="274"/>
      <w:bookmarkStart w:id="275" w:name="_Toc184314455"/>
      <w:bookmarkEnd w:id="275"/>
      <w:bookmarkStart w:id="276" w:name="_Toc184312130"/>
      <w:bookmarkEnd w:id="276"/>
      <w:bookmarkStart w:id="277" w:name="_Toc184312094"/>
      <w:bookmarkEnd w:id="277"/>
      <w:bookmarkStart w:id="278" w:name="_Toc184312106"/>
      <w:bookmarkEnd w:id="278"/>
      <w:bookmarkStart w:id="279" w:name="_Toc184310298"/>
      <w:bookmarkEnd w:id="279"/>
      <w:bookmarkStart w:id="280" w:name="_Toc184314437"/>
      <w:bookmarkEnd w:id="280"/>
      <w:bookmarkStart w:id="281" w:name="_Toc184313280"/>
      <w:bookmarkEnd w:id="281"/>
      <w:bookmarkStart w:id="282" w:name="_Toc184308101"/>
      <w:bookmarkEnd w:id="282"/>
      <w:bookmarkStart w:id="283" w:name="_Toc184314447"/>
      <w:bookmarkEnd w:id="283"/>
      <w:bookmarkStart w:id="284" w:name="_Toc184310339"/>
      <w:bookmarkEnd w:id="284"/>
      <w:bookmarkStart w:id="285" w:name="_Toc184313296"/>
      <w:bookmarkEnd w:id="285"/>
      <w:bookmarkStart w:id="286" w:name="_Toc184313254"/>
      <w:bookmarkEnd w:id="286"/>
      <w:bookmarkStart w:id="287" w:name="_Toc184313260"/>
      <w:bookmarkEnd w:id="287"/>
      <w:bookmarkStart w:id="288" w:name="_Toc184308087"/>
      <w:bookmarkEnd w:id="288"/>
      <w:bookmarkStart w:id="289" w:name="_Toc184314478"/>
      <w:bookmarkEnd w:id="289"/>
      <w:bookmarkStart w:id="290" w:name="_Toc184312071"/>
      <w:bookmarkEnd w:id="290"/>
      <w:bookmarkStart w:id="291" w:name="_Toc184310319"/>
      <w:bookmarkEnd w:id="291"/>
      <w:bookmarkStart w:id="292" w:name="_Toc184314482"/>
      <w:bookmarkEnd w:id="292"/>
      <w:bookmarkStart w:id="293" w:name="_Toc184308055"/>
      <w:bookmarkEnd w:id="293"/>
      <w:bookmarkStart w:id="294" w:name="_Toc184308086"/>
      <w:bookmarkEnd w:id="294"/>
      <w:bookmarkStart w:id="295" w:name="_Toc184310277"/>
      <w:bookmarkEnd w:id="295"/>
      <w:bookmarkStart w:id="296" w:name="_Toc184312098"/>
      <w:bookmarkEnd w:id="296"/>
      <w:bookmarkStart w:id="297" w:name="_Toc184313281"/>
      <w:bookmarkEnd w:id="297"/>
      <w:bookmarkStart w:id="298" w:name="_Toc184314457"/>
      <w:bookmarkEnd w:id="298"/>
      <w:bookmarkStart w:id="299" w:name="_Toc184310322"/>
      <w:bookmarkEnd w:id="299"/>
      <w:bookmarkStart w:id="300" w:name="_Toc184313272"/>
      <w:bookmarkEnd w:id="300"/>
      <w:bookmarkStart w:id="301" w:name="_Toc184312116"/>
      <w:bookmarkEnd w:id="301"/>
      <w:bookmarkStart w:id="302" w:name="_Toc184312110"/>
      <w:bookmarkEnd w:id="302"/>
      <w:bookmarkStart w:id="303" w:name="_Toc184313273"/>
      <w:bookmarkEnd w:id="303"/>
      <w:bookmarkStart w:id="304" w:name="_Toc184313287"/>
      <w:bookmarkEnd w:id="304"/>
      <w:bookmarkStart w:id="305" w:name="_Toc184310294"/>
      <w:bookmarkEnd w:id="305"/>
      <w:bookmarkStart w:id="306" w:name="_Toc184310311"/>
      <w:bookmarkEnd w:id="306"/>
      <w:bookmarkStart w:id="307" w:name="_Toc184310334"/>
      <w:bookmarkEnd w:id="307"/>
      <w:bookmarkStart w:id="308" w:name="_Toc184313261"/>
      <w:bookmarkEnd w:id="308"/>
      <w:bookmarkStart w:id="309" w:name="_Toc184314456"/>
      <w:bookmarkEnd w:id="309"/>
      <w:bookmarkStart w:id="310" w:name="_Toc184313250"/>
      <w:bookmarkEnd w:id="310"/>
      <w:bookmarkStart w:id="311" w:name="_Toc184310315"/>
      <w:bookmarkEnd w:id="311"/>
      <w:bookmarkStart w:id="312" w:name="_Toc184314475"/>
      <w:bookmarkEnd w:id="312"/>
      <w:bookmarkStart w:id="313" w:name="_Toc184313255"/>
      <w:bookmarkEnd w:id="313"/>
      <w:bookmarkStart w:id="314" w:name="_Toc184308059"/>
      <w:bookmarkEnd w:id="314"/>
      <w:bookmarkStart w:id="315" w:name="_Toc184312136"/>
      <w:bookmarkEnd w:id="315"/>
      <w:bookmarkStart w:id="316" w:name="_Toc184310307"/>
      <w:bookmarkEnd w:id="316"/>
      <w:bookmarkStart w:id="317" w:name="_Toc184312081"/>
      <w:bookmarkEnd w:id="317"/>
      <w:bookmarkStart w:id="318" w:name="_Toc184308095"/>
      <w:bookmarkEnd w:id="318"/>
      <w:bookmarkStart w:id="319" w:name="_Toc184312137"/>
      <w:bookmarkEnd w:id="319"/>
      <w:bookmarkStart w:id="320" w:name="_Toc184312090"/>
      <w:bookmarkEnd w:id="320"/>
      <w:bookmarkStart w:id="321" w:name="_Toc184308097"/>
      <w:bookmarkEnd w:id="321"/>
      <w:bookmarkStart w:id="322" w:name="_Toc184314443"/>
      <w:bookmarkEnd w:id="322"/>
      <w:bookmarkStart w:id="323" w:name="_Toc184312113"/>
      <w:bookmarkEnd w:id="323"/>
      <w:bookmarkStart w:id="324" w:name="_Toc184312079"/>
      <w:bookmarkEnd w:id="324"/>
      <w:bookmarkStart w:id="325" w:name="_Toc184308036"/>
      <w:bookmarkEnd w:id="325"/>
      <w:bookmarkStart w:id="326" w:name="_Toc184308065"/>
      <w:bookmarkEnd w:id="326"/>
      <w:bookmarkStart w:id="327" w:name="_Toc184313310"/>
      <w:bookmarkEnd w:id="327"/>
      <w:bookmarkStart w:id="328" w:name="_Toc184310295"/>
      <w:bookmarkEnd w:id="328"/>
      <w:bookmarkStart w:id="329" w:name="_Toc184313259"/>
      <w:bookmarkEnd w:id="329"/>
      <w:bookmarkStart w:id="330" w:name="_Toc184310343"/>
      <w:bookmarkEnd w:id="330"/>
      <w:bookmarkStart w:id="331" w:name="_Toc184314477"/>
      <w:bookmarkEnd w:id="331"/>
      <w:bookmarkStart w:id="332" w:name="_Toc184308098"/>
      <w:bookmarkEnd w:id="332"/>
      <w:bookmarkStart w:id="333" w:name="_Toc184313242"/>
      <w:bookmarkEnd w:id="333"/>
      <w:bookmarkStart w:id="334" w:name="_Toc184310297"/>
      <w:bookmarkEnd w:id="334"/>
      <w:bookmarkStart w:id="335" w:name="_Toc184313258"/>
      <w:bookmarkEnd w:id="335"/>
      <w:bookmarkStart w:id="336" w:name="_Toc184308089"/>
      <w:bookmarkEnd w:id="336"/>
      <w:bookmarkStart w:id="337" w:name="_Toc184313284"/>
      <w:bookmarkEnd w:id="337"/>
      <w:bookmarkStart w:id="338" w:name="_Toc184314431"/>
      <w:bookmarkEnd w:id="338"/>
      <w:bookmarkStart w:id="339" w:name="_Toc184312135"/>
      <w:bookmarkEnd w:id="339"/>
      <w:bookmarkStart w:id="340" w:name="_Toc184310328"/>
      <w:bookmarkEnd w:id="340"/>
      <w:bookmarkStart w:id="341" w:name="_Toc184308072"/>
      <w:bookmarkEnd w:id="341"/>
      <w:bookmarkStart w:id="342" w:name="_Toc184308103"/>
      <w:bookmarkEnd w:id="342"/>
      <w:bookmarkStart w:id="343" w:name="_Toc184310283"/>
      <w:bookmarkEnd w:id="343"/>
      <w:bookmarkStart w:id="344" w:name="_Toc184314462"/>
      <w:bookmarkEnd w:id="344"/>
      <w:bookmarkStart w:id="345" w:name="_Toc184312108"/>
      <w:bookmarkEnd w:id="345"/>
      <w:bookmarkStart w:id="346" w:name="_Toc184313269"/>
      <w:bookmarkEnd w:id="346"/>
      <w:bookmarkStart w:id="347" w:name="_Toc184308105"/>
      <w:bookmarkEnd w:id="347"/>
      <w:bookmarkStart w:id="348" w:name="_Toc184313301"/>
      <w:bookmarkEnd w:id="348"/>
      <w:bookmarkStart w:id="349" w:name="_Toc184310342"/>
      <w:bookmarkEnd w:id="349"/>
      <w:bookmarkStart w:id="350" w:name="_Toc184314469"/>
      <w:bookmarkEnd w:id="350"/>
      <w:bookmarkStart w:id="351" w:name="_Toc184308099"/>
      <w:bookmarkEnd w:id="351"/>
      <w:bookmarkStart w:id="352" w:name="_Toc184308039"/>
      <w:bookmarkEnd w:id="352"/>
      <w:bookmarkStart w:id="353" w:name="_Toc184312118"/>
      <w:bookmarkEnd w:id="353"/>
      <w:bookmarkStart w:id="354" w:name="_Toc184314473"/>
      <w:bookmarkEnd w:id="354"/>
      <w:bookmarkStart w:id="355" w:name="_Toc184313308"/>
      <w:bookmarkEnd w:id="355"/>
      <w:bookmarkStart w:id="356" w:name="_Toc184310313"/>
      <w:bookmarkEnd w:id="356"/>
      <w:bookmarkStart w:id="357" w:name="_Toc184313243"/>
      <w:bookmarkEnd w:id="357"/>
      <w:bookmarkStart w:id="358" w:name="_Toc184312126"/>
      <w:bookmarkEnd w:id="358"/>
      <w:bookmarkStart w:id="359" w:name="_Toc184308102"/>
      <w:bookmarkEnd w:id="359"/>
      <w:bookmarkStart w:id="360" w:name="_Toc184310308"/>
      <w:bookmarkEnd w:id="360"/>
      <w:bookmarkStart w:id="361" w:name="_Toc184313285"/>
      <w:bookmarkEnd w:id="361"/>
      <w:bookmarkStart w:id="362" w:name="_Toc184313274"/>
      <w:bookmarkEnd w:id="362"/>
      <w:bookmarkStart w:id="363" w:name="_Toc184314421"/>
      <w:bookmarkEnd w:id="363"/>
      <w:bookmarkStart w:id="364" w:name="_Toc184308054"/>
      <w:bookmarkEnd w:id="364"/>
      <w:bookmarkStart w:id="365" w:name="_Toc184308094"/>
      <w:bookmarkEnd w:id="365"/>
      <w:bookmarkStart w:id="366" w:name="_Toc184314412"/>
      <w:bookmarkEnd w:id="366"/>
      <w:bookmarkStart w:id="367" w:name="_Toc184312125"/>
      <w:bookmarkEnd w:id="367"/>
      <w:bookmarkStart w:id="368" w:name="_Toc184313298"/>
      <w:bookmarkEnd w:id="368"/>
      <w:bookmarkStart w:id="369" w:name="_Toc184314449"/>
      <w:bookmarkEnd w:id="369"/>
      <w:bookmarkStart w:id="370" w:name="_Toc184314433"/>
      <w:bookmarkEnd w:id="370"/>
      <w:bookmarkStart w:id="371" w:name="_Toc184308077"/>
      <w:bookmarkEnd w:id="371"/>
      <w:bookmarkStart w:id="372" w:name="_Toc184314459"/>
      <w:bookmarkEnd w:id="372"/>
      <w:bookmarkStart w:id="373" w:name="_Toc184314430"/>
      <w:bookmarkEnd w:id="373"/>
      <w:bookmarkStart w:id="374" w:name="_Toc184310341"/>
      <w:bookmarkEnd w:id="374"/>
      <w:bookmarkStart w:id="375" w:name="_Toc184312074"/>
      <w:bookmarkEnd w:id="375"/>
      <w:bookmarkStart w:id="376" w:name="_Toc184312115"/>
      <w:bookmarkEnd w:id="376"/>
      <w:bookmarkStart w:id="377" w:name="_Toc184310316"/>
      <w:bookmarkEnd w:id="377"/>
      <w:bookmarkStart w:id="378" w:name="_Toc184314428"/>
      <w:bookmarkEnd w:id="378"/>
      <w:bookmarkStart w:id="379" w:name="_Toc184308085"/>
      <w:bookmarkEnd w:id="379"/>
      <w:bookmarkStart w:id="380" w:name="_Toc184308093"/>
      <w:bookmarkEnd w:id="380"/>
      <w:bookmarkStart w:id="381" w:name="_Toc184312096"/>
      <w:bookmarkEnd w:id="381"/>
      <w:bookmarkStart w:id="382" w:name="_Toc184308106"/>
      <w:bookmarkEnd w:id="382"/>
      <w:bookmarkStart w:id="383" w:name="_Toc184312128"/>
      <w:bookmarkEnd w:id="383"/>
      <w:r>
        <w:rPr>
          <w:rFonts w:hint="eastAsia" w:cs="仿宋" w:asciiTheme="minorEastAsia" w:hAnsiTheme="minorEastAsia"/>
          <w:b/>
          <w:color w:val="auto"/>
          <w:sz w:val="36"/>
          <w:szCs w:val="36"/>
        </w:rPr>
        <w:t>评审方法</w:t>
      </w:r>
    </w:p>
    <w:p w14:paraId="65449D50">
      <w:pPr>
        <w:adjustRightInd w:val="0"/>
        <w:snapToGrid w:val="0"/>
        <w:spacing w:line="460" w:lineRule="exact"/>
        <w:ind w:firstLine="480" w:firstLineChars="200"/>
        <w:rPr>
          <w:rFonts w:cs="仿宋" w:asciiTheme="minorEastAsia" w:hAnsiTheme="minorEastAsia"/>
          <w:color w:val="auto"/>
          <w:sz w:val="24"/>
        </w:rPr>
      </w:pPr>
    </w:p>
    <w:p w14:paraId="5E52BB8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4AEBA54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7843F4B5">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5D7C66D">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F97C1FB">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05A218A">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605986F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4F21A429">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F3AA6D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48A22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5B8FAEC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7C63D9F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048AD13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05D1ECC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473B2E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5D6DF45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1AB6130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5C90CFE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1DA01F5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0D360B6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39431E9E">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A6493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632F6D1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6BE877A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32E809B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00B9D5B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7692F0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6AC0CCC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26FD6A0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1383EB45">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26CDD82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2CEA1D2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3B7AF00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582003D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D.响应文件中承诺的响应有效期少于询价采购文件中载明的响应有效期的；响应文件出现不是唯一的、有选择性响应报价的;</w:t>
      </w:r>
    </w:p>
    <w:p w14:paraId="7EADF12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17F083B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33BBC3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046B973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3F422D5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7913E76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J.响应文件不满足询价采购文件的其他实质性要求的（不含税率相关要求）；</w:t>
      </w:r>
    </w:p>
    <w:p w14:paraId="2AFD37C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K.法律法规、规章（适用本市的）及省级以上规范性文件（适用本市的）规定的其他无效情形。</w:t>
      </w:r>
    </w:p>
    <w:p w14:paraId="786C144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L.在采购人规定的截止时间以后送达的响应文件；</w:t>
      </w:r>
    </w:p>
    <w:p w14:paraId="03FA962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M.未按要求缴纳询价保证金的</w:t>
      </w:r>
      <w:r>
        <w:rPr>
          <w:rFonts w:hint="eastAsia" w:ascii="宋体" w:hAnsi="宋体" w:cs="宋体"/>
          <w:b/>
          <w:bCs/>
          <w:color w:val="auto"/>
          <w:kern w:val="0"/>
          <w:sz w:val="24"/>
        </w:rPr>
        <w:t>（若有）</w:t>
      </w:r>
      <w:r>
        <w:rPr>
          <w:rFonts w:hint="eastAsia" w:ascii="宋体" w:hAnsi="宋体" w:cs="宋体"/>
          <w:color w:val="auto"/>
          <w:kern w:val="0"/>
          <w:sz w:val="24"/>
        </w:rPr>
        <w:t>；</w:t>
      </w:r>
    </w:p>
    <w:p w14:paraId="454982A2">
      <w:pPr>
        <w:spacing w:line="360" w:lineRule="auto"/>
        <w:ind w:firstLine="480" w:firstLineChars="200"/>
        <w:rPr>
          <w:color w:val="auto"/>
        </w:rPr>
      </w:pPr>
      <w:r>
        <w:rPr>
          <w:rFonts w:hint="eastAsia" w:ascii="宋体" w:hAnsi="宋体" w:cs="宋体"/>
          <w:color w:val="auto"/>
          <w:kern w:val="0"/>
          <w:sz w:val="24"/>
        </w:rPr>
        <w:t>N.未按要求提供样品的</w:t>
      </w:r>
      <w:r>
        <w:rPr>
          <w:rFonts w:hint="eastAsia" w:ascii="宋体" w:hAnsi="宋体" w:cs="宋体"/>
          <w:b/>
          <w:bCs/>
          <w:color w:val="auto"/>
          <w:kern w:val="0"/>
          <w:sz w:val="24"/>
        </w:rPr>
        <w:t>（若有）</w:t>
      </w:r>
      <w:r>
        <w:rPr>
          <w:rFonts w:hint="eastAsia" w:ascii="宋体" w:hAnsi="宋体" w:cs="宋体"/>
          <w:color w:val="auto"/>
          <w:kern w:val="0"/>
          <w:sz w:val="24"/>
        </w:rPr>
        <w:t>；</w:t>
      </w:r>
    </w:p>
    <w:p w14:paraId="3DD12A0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O.报价清单中出现漏项或单价为0的。</w:t>
      </w:r>
    </w:p>
    <w:p w14:paraId="414B500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3D2289D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239E704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5BE3D4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4855B9">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58DD8336">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w:t>
      </w:r>
      <w:r>
        <w:rPr>
          <w:rFonts w:hint="eastAsia" w:cs="仿宋" w:asciiTheme="minorEastAsia" w:hAnsiTheme="minorEastAsia"/>
          <w:b/>
          <w:bCs/>
          <w:color w:val="auto"/>
          <w:sz w:val="24"/>
        </w:rPr>
        <w:t>报价除税总金额</w:t>
      </w:r>
      <w:r>
        <w:rPr>
          <w:rFonts w:hint="eastAsia" w:cs="仿宋" w:asciiTheme="minorEastAsia" w:hAnsiTheme="minorEastAsia"/>
          <w:color w:val="auto"/>
          <w:sz w:val="24"/>
        </w:rPr>
        <w:t>由低到高的顺序提出成交候选人。</w:t>
      </w:r>
    </w:p>
    <w:p w14:paraId="7FAB1B8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398111CD">
      <w:pPr>
        <w:pStyle w:val="7"/>
        <w:ind w:firstLine="480" w:firstLineChars="200"/>
        <w:rPr>
          <w:color w:val="auto"/>
        </w:rPr>
      </w:pPr>
      <w:r>
        <w:rPr>
          <w:color w:val="auto"/>
          <w:lang w:val="en-US"/>
        </w:rPr>
        <w:t>1.</w:t>
      </w:r>
      <w:r>
        <w:rPr>
          <w:rFonts w:hint="eastAsia"/>
          <w:color w:val="auto"/>
          <w:lang w:val="en-US"/>
        </w:rPr>
        <w:t>2若</w:t>
      </w:r>
      <w:r>
        <w:rPr>
          <w:rFonts w:hint="eastAsia"/>
          <w:color w:val="auto"/>
        </w:rPr>
        <w:t>出现相同</w:t>
      </w:r>
      <w:r>
        <w:rPr>
          <w:rFonts w:hint="eastAsia"/>
          <w:color w:val="auto"/>
          <w:lang w:val="en-US"/>
        </w:rPr>
        <w:t>除税</w:t>
      </w:r>
      <w:r>
        <w:rPr>
          <w:rFonts w:hint="eastAsia"/>
          <w:color w:val="auto"/>
        </w:rPr>
        <w:t>总金额最低报价情况时，</w:t>
      </w:r>
      <w:r>
        <w:rPr>
          <w:rFonts w:hint="eastAsia"/>
          <w:b/>
          <w:bCs/>
          <w:color w:val="auto"/>
        </w:rPr>
        <w:t>则由评审小组按少数服从多数的原则通过投票表决决定。</w:t>
      </w:r>
    </w:p>
    <w:p w14:paraId="2AD7B0EF">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594359F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6E59EB4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0EF02EA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191E5F18">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4F64F1B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328BD4F9">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38D08FF0">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1DDEFEB8">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14:paraId="05F0588C">
      <w:pPr>
        <w:widowControl/>
        <w:snapToGrid w:val="0"/>
        <w:spacing w:line="460" w:lineRule="exact"/>
        <w:ind w:firstLine="480" w:firstLineChars="200"/>
        <w:rPr>
          <w:color w:val="auto"/>
        </w:rPr>
      </w:pPr>
      <w:r>
        <w:rPr>
          <w:rFonts w:hint="eastAsia" w:cs="仿宋" w:asciiTheme="minorEastAsia" w:hAnsiTheme="minorEastAsia"/>
          <w:color w:val="auto"/>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7E7DF2F8">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4.2若第二次询价后，报价未超过采购限价的供应商或者经评审有效的供应商少于2家，本次采购终止。</w:t>
      </w:r>
    </w:p>
    <w:p w14:paraId="51E9499C">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81CF24B">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6D0A8052">
      <w:pPr>
        <w:rPr>
          <w:rFonts w:ascii="宋体" w:hAnsi="宋体" w:cs="宋体"/>
          <w:color w:val="auto"/>
          <w:sz w:val="24"/>
        </w:rPr>
      </w:pPr>
    </w:p>
    <w:p w14:paraId="00DCBD10">
      <w:pPr>
        <w:rPr>
          <w:color w:val="auto"/>
        </w:rPr>
      </w:pPr>
    </w:p>
    <w:p w14:paraId="48471EDD">
      <w:pPr>
        <w:rPr>
          <w:color w:val="auto"/>
        </w:rPr>
      </w:pPr>
    </w:p>
    <w:p w14:paraId="2232A1AA">
      <w:pPr>
        <w:rPr>
          <w:color w:val="auto"/>
        </w:rPr>
      </w:pPr>
    </w:p>
    <w:p w14:paraId="1C7B1739">
      <w:pPr>
        <w:rPr>
          <w:color w:val="auto"/>
        </w:rPr>
      </w:pPr>
    </w:p>
    <w:p w14:paraId="2E4137D5">
      <w:pPr>
        <w:rPr>
          <w:color w:val="auto"/>
        </w:rPr>
      </w:pPr>
    </w:p>
    <w:p w14:paraId="22789200">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LJGS-2025-          </w:t>
      </w:r>
    </w:p>
    <w:p w14:paraId="448302C6">
      <w:pPr>
        <w:spacing w:line="480" w:lineRule="auto"/>
        <w:rPr>
          <w:rFonts w:ascii="宋体" w:hAnsi="宋体" w:cs="宋体"/>
          <w:b/>
          <w:color w:val="auto"/>
          <w:sz w:val="24"/>
        </w:rPr>
      </w:pPr>
    </w:p>
    <w:p w14:paraId="607DFDEF">
      <w:pPr>
        <w:spacing w:line="480" w:lineRule="auto"/>
        <w:jc w:val="center"/>
        <w:rPr>
          <w:rFonts w:ascii="宋体" w:hAnsi="宋体" w:cs="宋体"/>
          <w:b/>
          <w:color w:val="auto"/>
          <w:sz w:val="36"/>
          <w:szCs w:val="36"/>
        </w:rPr>
      </w:pPr>
    </w:p>
    <w:p w14:paraId="5F372918">
      <w:pPr>
        <w:spacing w:line="480" w:lineRule="auto"/>
        <w:jc w:val="center"/>
        <w:rPr>
          <w:rFonts w:ascii="宋体" w:hAnsi="宋体" w:cs="宋体"/>
          <w:b/>
          <w:color w:val="auto"/>
          <w:sz w:val="36"/>
          <w:szCs w:val="36"/>
        </w:rPr>
      </w:pPr>
    </w:p>
    <w:p w14:paraId="4645A870">
      <w:pPr>
        <w:rPr>
          <w:color w:val="auto"/>
        </w:rPr>
      </w:pPr>
    </w:p>
    <w:p w14:paraId="7D1DAF50">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14:paraId="0D231133">
      <w:pPr>
        <w:pStyle w:val="28"/>
        <w:rPr>
          <w:rFonts w:ascii="宋体" w:hAnsi="宋体" w:cs="宋体"/>
          <w:color w:val="auto"/>
          <w:szCs w:val="24"/>
        </w:rPr>
      </w:pPr>
    </w:p>
    <w:p w14:paraId="1D8E5224">
      <w:pPr>
        <w:ind w:firstLine="960" w:firstLineChars="4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2025年三固运行中心飞灰中控大屏采购项目</w:t>
      </w:r>
    </w:p>
    <w:p w14:paraId="09D69E4E">
      <w:pPr>
        <w:spacing w:before="120" w:line="22" w:lineRule="atLeast"/>
        <w:ind w:left="960"/>
        <w:rPr>
          <w:rFonts w:ascii="宋体" w:hAnsi="宋体" w:cs="宋体"/>
          <w:color w:val="auto"/>
          <w:sz w:val="24"/>
        </w:rPr>
      </w:pPr>
    </w:p>
    <w:p w14:paraId="38CAA40D">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hint="eastAsia" w:ascii="宋体" w:hAnsi="宋体" w:cs="宋体"/>
          <w:color w:val="auto"/>
          <w:sz w:val="24"/>
          <w:lang w:val="en-US" w:eastAsia="zh-CN"/>
        </w:rPr>
        <w:t xml:space="preserve">    </w:t>
      </w:r>
      <w:r>
        <w:rPr>
          <w:rFonts w:hint="eastAsia" w:ascii="宋体" w:hAnsi="宋体" w:cs="宋体"/>
          <w:color w:val="auto"/>
          <w:sz w:val="24"/>
        </w:rPr>
        <w:t>方：</w:t>
      </w:r>
      <w:r>
        <w:rPr>
          <w:rFonts w:hint="eastAsia" w:ascii="宋体" w:hAnsi="宋体" w:cs="宋体"/>
          <w:color w:val="auto"/>
          <w:sz w:val="24"/>
          <w:u w:val="single"/>
        </w:rPr>
        <w:t>杭州临江环境能源有限公司</w:t>
      </w:r>
    </w:p>
    <w:p w14:paraId="1EBEB405">
      <w:pPr>
        <w:spacing w:before="120" w:line="22" w:lineRule="atLeast"/>
        <w:rPr>
          <w:rFonts w:ascii="宋体" w:hAnsi="宋体" w:cs="宋体"/>
          <w:color w:val="auto"/>
          <w:sz w:val="24"/>
        </w:rPr>
      </w:pPr>
    </w:p>
    <w:p w14:paraId="701D1705">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hint="eastAsia" w:ascii="宋体" w:hAnsi="宋体" w:cs="宋体"/>
          <w:color w:val="auto"/>
          <w:sz w:val="24"/>
          <w:lang w:val="en-US" w:eastAsia="zh-CN"/>
        </w:rPr>
        <w:t xml:space="preserve">    </w:t>
      </w:r>
      <w:r>
        <w:rPr>
          <w:rFonts w:hint="eastAsia" w:ascii="宋体" w:hAnsi="宋体" w:cs="宋体"/>
          <w:color w:val="auto"/>
          <w:sz w:val="24"/>
        </w:rPr>
        <w:t>方：</w:t>
      </w:r>
      <w:r>
        <w:rPr>
          <w:rFonts w:hint="eastAsia" w:ascii="宋体" w:hAnsi="宋体" w:cs="宋体"/>
          <w:color w:val="auto"/>
          <w:sz w:val="24"/>
          <w:u w:val="single"/>
        </w:rPr>
        <w:t xml:space="preserve"> ***公司</w:t>
      </w:r>
    </w:p>
    <w:p w14:paraId="788CFED8">
      <w:pPr>
        <w:spacing w:before="120" w:line="22" w:lineRule="atLeast"/>
        <w:rPr>
          <w:rFonts w:ascii="宋体" w:hAnsi="宋体" w:cs="宋体"/>
          <w:color w:val="auto"/>
          <w:sz w:val="24"/>
        </w:rPr>
      </w:pPr>
    </w:p>
    <w:p w14:paraId="7C54DFD4">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hint="eastAsia" w:ascii="宋体" w:hAnsi="宋体" w:cs="宋体"/>
          <w:color w:val="auto"/>
          <w:sz w:val="24"/>
          <w:lang w:val="en-US" w:eastAsia="zh-CN"/>
        </w:rPr>
        <w:t xml:space="preserve"> </w:t>
      </w:r>
      <w:r>
        <w:rPr>
          <w:rFonts w:hint="eastAsia" w:ascii="宋体" w:hAnsi="宋体" w:cs="宋体"/>
          <w:color w:val="auto"/>
          <w:sz w:val="24"/>
        </w:rPr>
        <w:t>订</w:t>
      </w:r>
      <w:r>
        <w:rPr>
          <w:rFonts w:hint="eastAsia" w:ascii="宋体" w:hAnsi="宋体" w:cs="宋体"/>
          <w:color w:val="auto"/>
          <w:sz w:val="24"/>
          <w:lang w:val="en-US" w:eastAsia="zh-CN"/>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14:paraId="3B972A11">
      <w:pPr>
        <w:spacing w:before="120" w:line="22" w:lineRule="atLeast"/>
        <w:rPr>
          <w:rFonts w:ascii="宋体" w:hAnsi="宋体" w:cs="宋体"/>
          <w:color w:val="auto"/>
          <w:sz w:val="24"/>
        </w:rPr>
      </w:pPr>
    </w:p>
    <w:p w14:paraId="7607A112">
      <w:pPr>
        <w:tabs>
          <w:tab w:val="right" w:pos="7346"/>
        </w:tabs>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r>
        <w:rPr>
          <w:rFonts w:hint="eastAsia" w:ascii="宋体" w:hAnsi="宋体" w:cs="宋体"/>
          <w:color w:val="auto"/>
          <w:sz w:val="24"/>
        </w:rPr>
        <w:tab/>
      </w:r>
    </w:p>
    <w:p w14:paraId="74B88082">
      <w:pPr>
        <w:pStyle w:val="7"/>
        <w:rPr>
          <w:color w:val="auto"/>
        </w:rPr>
      </w:pPr>
    </w:p>
    <w:p w14:paraId="07C665B7">
      <w:pPr>
        <w:pStyle w:val="8"/>
        <w:rPr>
          <w:color w:val="auto"/>
        </w:rPr>
      </w:pPr>
    </w:p>
    <w:p w14:paraId="0FF42692">
      <w:pPr>
        <w:rPr>
          <w:color w:val="auto"/>
        </w:rPr>
      </w:pPr>
    </w:p>
    <w:p w14:paraId="4A06CB06">
      <w:pPr>
        <w:pStyle w:val="7"/>
        <w:rPr>
          <w:color w:val="auto"/>
        </w:rPr>
      </w:pPr>
    </w:p>
    <w:p w14:paraId="4D257B66">
      <w:pPr>
        <w:pStyle w:val="8"/>
        <w:rPr>
          <w:color w:val="auto"/>
        </w:rPr>
      </w:pPr>
    </w:p>
    <w:p w14:paraId="64E5A549">
      <w:pPr>
        <w:rPr>
          <w:color w:val="auto"/>
        </w:rPr>
      </w:pPr>
    </w:p>
    <w:p w14:paraId="16F480DC">
      <w:pPr>
        <w:pStyle w:val="7"/>
        <w:rPr>
          <w:color w:val="auto"/>
        </w:rPr>
      </w:pPr>
    </w:p>
    <w:p w14:paraId="473A5A15">
      <w:pPr>
        <w:pStyle w:val="8"/>
        <w:rPr>
          <w:color w:val="auto"/>
        </w:rPr>
      </w:pPr>
    </w:p>
    <w:p w14:paraId="4C153BD7">
      <w:pPr>
        <w:rPr>
          <w:color w:val="auto"/>
        </w:rPr>
      </w:pPr>
    </w:p>
    <w:p w14:paraId="496149FC">
      <w:pPr>
        <w:pStyle w:val="7"/>
        <w:rPr>
          <w:color w:val="auto"/>
        </w:rPr>
      </w:pPr>
    </w:p>
    <w:p w14:paraId="40588561">
      <w:pPr>
        <w:pStyle w:val="8"/>
        <w:rPr>
          <w:color w:val="auto"/>
        </w:rPr>
      </w:pPr>
    </w:p>
    <w:p w14:paraId="79B12624">
      <w:pPr>
        <w:rPr>
          <w:color w:val="auto"/>
        </w:rPr>
      </w:pPr>
    </w:p>
    <w:p w14:paraId="5A31F5A7">
      <w:pPr>
        <w:pStyle w:val="7"/>
        <w:rPr>
          <w:color w:val="auto"/>
        </w:rPr>
      </w:pPr>
    </w:p>
    <w:p w14:paraId="156D780C">
      <w:pPr>
        <w:pStyle w:val="8"/>
        <w:rPr>
          <w:color w:val="auto"/>
        </w:rPr>
      </w:pPr>
    </w:p>
    <w:p w14:paraId="62F609A7">
      <w:pPr>
        <w:rPr>
          <w:color w:val="auto"/>
        </w:rPr>
      </w:pPr>
    </w:p>
    <w:p w14:paraId="60DCF3DF">
      <w:pPr>
        <w:pStyle w:val="7"/>
        <w:rPr>
          <w:color w:val="auto"/>
        </w:rPr>
      </w:pPr>
    </w:p>
    <w:p w14:paraId="0E835529">
      <w:pPr>
        <w:pStyle w:val="28"/>
        <w:ind w:left="0" w:leftChars="0" w:firstLine="0" w:firstLineChars="0"/>
        <w:rPr>
          <w:rFonts w:ascii="宋体" w:hAnsi="宋体" w:cs="宋体"/>
          <w:b/>
          <w:color w:val="auto"/>
          <w:szCs w:val="24"/>
        </w:rPr>
      </w:pPr>
    </w:p>
    <w:p w14:paraId="589DCEE7">
      <w:pPr>
        <w:pStyle w:val="8"/>
        <w:jc w:val="center"/>
        <w:rPr>
          <w:rFonts w:eastAsia="宋体"/>
          <w:b/>
          <w:bCs/>
          <w:color w:val="auto"/>
        </w:rPr>
      </w:pPr>
      <w:r>
        <w:rPr>
          <w:rFonts w:hint="eastAsia"/>
          <w:b/>
          <w:bCs/>
          <w:color w:val="auto"/>
        </w:rPr>
        <w:t>目录</w:t>
      </w:r>
    </w:p>
    <w:p w14:paraId="032ADA2B">
      <w:pPr>
        <w:pStyle w:val="9"/>
        <w:spacing w:line="360" w:lineRule="auto"/>
        <w:ind w:firstLine="240" w:firstLineChars="100"/>
        <w:rPr>
          <w:color w:val="auto"/>
        </w:rPr>
      </w:pPr>
      <w:r>
        <w:rPr>
          <w:rFonts w:hint="eastAsia"/>
          <w:color w:val="auto"/>
        </w:rPr>
        <w:t>第一章 合同书  ……………………………………………………………（页码）</w:t>
      </w:r>
    </w:p>
    <w:p w14:paraId="1706C78B">
      <w:pPr>
        <w:pStyle w:val="9"/>
        <w:spacing w:line="360" w:lineRule="auto"/>
        <w:ind w:firstLine="240" w:firstLineChars="100"/>
        <w:rPr>
          <w:color w:val="auto"/>
        </w:rPr>
      </w:pPr>
      <w:r>
        <w:rPr>
          <w:rFonts w:hint="eastAsia"/>
          <w:color w:val="auto"/>
        </w:rPr>
        <w:t>第二章 合同一般条款………………………………………………………（页码）</w:t>
      </w:r>
    </w:p>
    <w:p w14:paraId="4E007FC9">
      <w:pPr>
        <w:pStyle w:val="9"/>
        <w:spacing w:line="360" w:lineRule="auto"/>
        <w:ind w:firstLine="240" w:firstLineChars="100"/>
        <w:rPr>
          <w:color w:val="auto"/>
        </w:rPr>
      </w:pPr>
      <w:r>
        <w:rPr>
          <w:rFonts w:hint="eastAsia"/>
          <w:color w:val="auto"/>
        </w:rPr>
        <w:t xml:space="preserve">第三章 </w:t>
      </w:r>
      <w:r>
        <w:rPr>
          <w:rFonts w:hint="eastAsia"/>
          <w:color w:val="auto"/>
          <w:lang w:val="en-US" w:eastAsia="zh-CN"/>
        </w:rPr>
        <w:t>安全</w:t>
      </w:r>
      <w:r>
        <w:rPr>
          <w:rFonts w:hint="eastAsia"/>
          <w:color w:val="auto"/>
        </w:rPr>
        <w:t>协议……………………………………………………………（页码）</w:t>
      </w:r>
    </w:p>
    <w:p w14:paraId="2A2101A8">
      <w:pPr>
        <w:pStyle w:val="9"/>
        <w:spacing w:line="360" w:lineRule="auto"/>
        <w:ind w:firstLine="240" w:firstLineChars="100"/>
        <w:rPr>
          <w:color w:val="auto"/>
        </w:rPr>
      </w:pPr>
      <w:r>
        <w:rPr>
          <w:rFonts w:hint="eastAsia"/>
          <w:color w:val="auto"/>
        </w:rPr>
        <w:t>第</w:t>
      </w:r>
      <w:r>
        <w:rPr>
          <w:rFonts w:hint="eastAsia"/>
          <w:color w:val="auto"/>
          <w:lang w:val="en-US" w:eastAsia="zh-CN"/>
        </w:rPr>
        <w:t>四</w:t>
      </w:r>
      <w:r>
        <w:rPr>
          <w:rFonts w:hint="eastAsia"/>
          <w:color w:val="auto"/>
        </w:rPr>
        <w:t>章 廉洁协议……………………………………………………………（页码）</w:t>
      </w:r>
    </w:p>
    <w:p w14:paraId="32816785">
      <w:pPr>
        <w:pStyle w:val="9"/>
        <w:spacing w:line="360" w:lineRule="auto"/>
        <w:ind w:firstLine="240" w:firstLineChars="100"/>
        <w:rPr>
          <w:color w:val="auto"/>
        </w:rPr>
      </w:pPr>
    </w:p>
    <w:p w14:paraId="1B67E95D">
      <w:pPr>
        <w:pStyle w:val="28"/>
        <w:rPr>
          <w:rFonts w:ascii="宋体" w:hAnsi="宋体" w:cs="宋体"/>
          <w:color w:val="auto"/>
          <w:szCs w:val="24"/>
        </w:rPr>
      </w:pPr>
    </w:p>
    <w:p w14:paraId="246AC540">
      <w:pPr>
        <w:pStyle w:val="9"/>
        <w:rPr>
          <w:rFonts w:cs="宋体"/>
          <w:color w:val="auto"/>
        </w:rPr>
      </w:pPr>
    </w:p>
    <w:p w14:paraId="5CAEE5C5">
      <w:pPr>
        <w:pStyle w:val="9"/>
        <w:rPr>
          <w:rFonts w:cs="宋体"/>
          <w:color w:val="auto"/>
        </w:rPr>
      </w:pPr>
    </w:p>
    <w:p w14:paraId="7ACD06FB">
      <w:pPr>
        <w:pStyle w:val="9"/>
        <w:rPr>
          <w:rFonts w:cs="宋体"/>
          <w:color w:val="auto"/>
        </w:rPr>
      </w:pPr>
    </w:p>
    <w:p w14:paraId="06C7D5F0">
      <w:pPr>
        <w:pStyle w:val="9"/>
        <w:rPr>
          <w:rFonts w:cs="宋体"/>
          <w:color w:val="auto"/>
        </w:rPr>
      </w:pPr>
    </w:p>
    <w:p w14:paraId="6FA11D3A">
      <w:pPr>
        <w:pStyle w:val="9"/>
        <w:rPr>
          <w:rFonts w:cs="宋体"/>
          <w:color w:val="auto"/>
        </w:rPr>
      </w:pPr>
    </w:p>
    <w:p w14:paraId="5FF654B3">
      <w:pPr>
        <w:pStyle w:val="9"/>
        <w:rPr>
          <w:rFonts w:cs="宋体"/>
          <w:color w:val="auto"/>
        </w:rPr>
      </w:pPr>
    </w:p>
    <w:p w14:paraId="5854F4C7">
      <w:pPr>
        <w:pStyle w:val="9"/>
        <w:rPr>
          <w:rFonts w:cs="宋体"/>
          <w:color w:val="auto"/>
        </w:rPr>
      </w:pPr>
    </w:p>
    <w:p w14:paraId="3E27CBFF">
      <w:pPr>
        <w:pStyle w:val="9"/>
        <w:rPr>
          <w:rFonts w:cs="宋体"/>
          <w:color w:val="auto"/>
        </w:rPr>
      </w:pPr>
    </w:p>
    <w:p w14:paraId="69414647">
      <w:pPr>
        <w:pStyle w:val="9"/>
        <w:rPr>
          <w:rFonts w:cs="宋体"/>
          <w:color w:val="auto"/>
        </w:rPr>
      </w:pPr>
    </w:p>
    <w:p w14:paraId="20D67881">
      <w:pPr>
        <w:pStyle w:val="9"/>
        <w:rPr>
          <w:rFonts w:cs="宋体"/>
          <w:color w:val="auto"/>
        </w:rPr>
      </w:pPr>
    </w:p>
    <w:p w14:paraId="5FE5989C">
      <w:pPr>
        <w:pStyle w:val="9"/>
        <w:rPr>
          <w:rFonts w:cs="宋体"/>
          <w:color w:val="auto"/>
        </w:rPr>
      </w:pPr>
    </w:p>
    <w:p w14:paraId="2D97AF2C">
      <w:pPr>
        <w:pStyle w:val="9"/>
        <w:rPr>
          <w:rFonts w:cs="宋体"/>
          <w:color w:val="auto"/>
        </w:rPr>
      </w:pPr>
    </w:p>
    <w:p w14:paraId="04F51B9F">
      <w:pPr>
        <w:pStyle w:val="9"/>
        <w:rPr>
          <w:rFonts w:cs="宋体"/>
          <w:color w:val="auto"/>
        </w:rPr>
      </w:pPr>
    </w:p>
    <w:p w14:paraId="7C41B859">
      <w:pPr>
        <w:pStyle w:val="9"/>
        <w:rPr>
          <w:rFonts w:cs="宋体"/>
          <w:color w:val="auto"/>
        </w:rPr>
      </w:pPr>
    </w:p>
    <w:p w14:paraId="34CCA5F8">
      <w:pPr>
        <w:pStyle w:val="9"/>
        <w:rPr>
          <w:rFonts w:cs="宋体"/>
          <w:color w:val="auto"/>
        </w:rPr>
      </w:pPr>
    </w:p>
    <w:p w14:paraId="7FDF2FA8">
      <w:pPr>
        <w:pStyle w:val="9"/>
        <w:rPr>
          <w:rFonts w:cs="宋体"/>
          <w:color w:val="auto"/>
        </w:rPr>
      </w:pPr>
    </w:p>
    <w:p w14:paraId="068AF52C">
      <w:pPr>
        <w:pStyle w:val="9"/>
        <w:rPr>
          <w:rFonts w:cs="宋体"/>
          <w:color w:val="auto"/>
        </w:rPr>
      </w:pPr>
    </w:p>
    <w:p w14:paraId="4FC560AA">
      <w:pPr>
        <w:pStyle w:val="28"/>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4D9CF3C1">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val="zh-CN"/>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val="zh-CN"/>
        </w:rPr>
        <w:t>日</w:t>
      </w:r>
      <w:r>
        <w:rPr>
          <w:rFonts w:hint="eastAsia" w:ascii="宋体" w:hAnsi="宋体" w:cs="宋体"/>
          <w:color w:val="auto"/>
          <w:sz w:val="24"/>
        </w:rPr>
        <w:t>，</w:t>
      </w:r>
      <w:r>
        <w:rPr>
          <w:rFonts w:hint="eastAsia" w:ascii="宋体" w:hAnsi="宋体" w:cs="宋体"/>
          <w:color w:val="auto"/>
          <w:sz w:val="24"/>
          <w:u w:val="single"/>
        </w:rPr>
        <w:t xml:space="preserve">杭州临江环境能源有限公司  </w:t>
      </w:r>
      <w:r>
        <w:rPr>
          <w:rFonts w:hint="eastAsia" w:ascii="宋体" w:hAnsi="宋体" w:cs="宋体"/>
          <w:color w:val="auto"/>
          <w:sz w:val="24"/>
        </w:rPr>
        <w:t>以</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公开</w:t>
      </w:r>
      <w:r>
        <w:rPr>
          <w:rFonts w:hint="eastAsia" w:ascii="宋体" w:hAnsi="宋体"/>
          <w:color w:val="auto"/>
          <w:sz w:val="24"/>
          <w:u w:val="single"/>
        </w:rPr>
        <w:t>询价</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2025年三固运行中心飞灰中控大屏采购项目</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为该项目中标或者成交供应商。限于中标或者成交通知书发出之日起30天内，按照采购文件等确定的事项签订本合同。</w:t>
      </w:r>
    </w:p>
    <w:p w14:paraId="0CB3DEDE">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rPr>
        <w:t>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0E62B86B">
      <w:pPr>
        <w:spacing w:line="360" w:lineRule="auto"/>
        <w:ind w:firstLine="482" w:firstLineChars="200"/>
        <w:outlineLvl w:val="0"/>
        <w:rPr>
          <w:rFonts w:ascii="宋体" w:hAnsi="宋体" w:cs="宋体"/>
          <w:b/>
          <w:color w:val="auto"/>
          <w:sz w:val="24"/>
        </w:rPr>
      </w:pPr>
      <w:bookmarkStart w:id="384" w:name="_Toc24059"/>
      <w:bookmarkStart w:id="385" w:name="_Toc3029"/>
      <w:bookmarkStart w:id="386" w:name="_Toc2232"/>
      <w:r>
        <w:rPr>
          <w:rFonts w:hint="eastAsia" w:ascii="宋体" w:hAnsi="宋体" w:cs="宋体"/>
          <w:b/>
          <w:color w:val="auto"/>
          <w:sz w:val="24"/>
        </w:rPr>
        <w:t>一、合同组成部分</w:t>
      </w:r>
      <w:bookmarkEnd w:id="384"/>
      <w:bookmarkEnd w:id="385"/>
      <w:bookmarkEnd w:id="386"/>
    </w:p>
    <w:p w14:paraId="20550199">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C025F3A">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019E2E1B">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514D0019">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042DE78F">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4DC792B3">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7A26C85E">
      <w:pPr>
        <w:spacing w:line="360" w:lineRule="auto"/>
        <w:ind w:firstLine="482" w:firstLineChars="200"/>
        <w:outlineLvl w:val="0"/>
        <w:rPr>
          <w:rFonts w:ascii="宋体" w:hAnsi="宋体" w:cs="宋体"/>
          <w:color w:val="auto"/>
          <w:sz w:val="24"/>
        </w:rPr>
      </w:pPr>
      <w:bookmarkStart w:id="387" w:name="_Toc27126"/>
      <w:bookmarkStart w:id="388" w:name="_Toc24300"/>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14:paraId="7E0F6A41">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1.本合同总价（含税）为：￥ </w:t>
      </w:r>
      <w:r>
        <w:rPr>
          <w:rFonts w:hint="eastAsia" w:ascii="宋体" w:hAnsi="宋体" w:cs="宋体"/>
          <w:color w:val="auto"/>
          <w:sz w:val="24"/>
          <w:u w:val="single"/>
        </w:rPr>
        <w:t xml:space="preserve">    </w:t>
      </w:r>
      <w:r>
        <w:rPr>
          <w:rFonts w:hint="eastAsia" w:ascii="宋体" w:hAnsi="宋体" w:cs="宋体"/>
          <w:color w:val="auto"/>
          <w:sz w:val="24"/>
        </w:rPr>
        <w:t xml:space="preserve">元（大写： </w:t>
      </w:r>
      <w:r>
        <w:rPr>
          <w:rFonts w:hint="eastAsia" w:ascii="宋体" w:hAnsi="宋体" w:cs="宋体"/>
          <w:color w:val="auto"/>
          <w:sz w:val="24"/>
          <w:u w:val="single"/>
        </w:rPr>
        <w:t xml:space="preserve">    </w:t>
      </w:r>
      <w:r>
        <w:rPr>
          <w:rFonts w:hint="eastAsia" w:ascii="宋体" w:hAnsi="宋体" w:cs="宋体"/>
          <w:color w:val="auto"/>
          <w:sz w:val="24"/>
        </w:rPr>
        <w:t xml:space="preserve">元人民币），税率为 </w:t>
      </w:r>
      <w:r>
        <w:rPr>
          <w:rFonts w:hint="eastAsia" w:ascii="宋体" w:hAnsi="宋体" w:cs="宋体"/>
          <w:color w:val="auto"/>
          <w:sz w:val="24"/>
          <w:u w:val="single"/>
        </w:rPr>
        <w:t xml:space="preserve">13/9/6/3/1  </w:t>
      </w:r>
      <w:r>
        <w:rPr>
          <w:rFonts w:hint="eastAsia" w:ascii="宋体" w:hAnsi="宋体" w:cs="宋体"/>
          <w:color w:val="auto"/>
          <w:sz w:val="24"/>
        </w:rPr>
        <w:t>%，单价和总价均包括但不限于货款、包装费、运输费及运输保险费（如有）</w:t>
      </w:r>
      <w:r>
        <w:rPr>
          <w:rFonts w:hint="eastAsia" w:ascii="宋体" w:hAnsi="宋体" w:cs="宋体"/>
          <w:color w:val="auto"/>
          <w:sz w:val="24"/>
          <w:lang w:eastAsia="zh-CN"/>
        </w:rPr>
        <w:t>、</w:t>
      </w:r>
      <w:r>
        <w:rPr>
          <w:rFonts w:hint="eastAsia" w:ascii="宋体" w:hAnsi="宋体" w:cs="宋体"/>
          <w:color w:val="auto"/>
          <w:sz w:val="24"/>
          <w:lang w:val="en-US" w:eastAsia="zh-CN"/>
        </w:rPr>
        <w:t>安装调试费</w:t>
      </w:r>
      <w:r>
        <w:rPr>
          <w:rFonts w:hint="eastAsia" w:ascii="宋体" w:hAnsi="宋体" w:cs="宋体"/>
          <w:color w:val="auto"/>
          <w:sz w:val="24"/>
        </w:rPr>
        <w:t>、装卸费、售后服务费及税费等全部费用，在合同履行有效期内，合同价格不作调整。</w:t>
      </w:r>
    </w:p>
    <w:p w14:paraId="56737B0B">
      <w:pPr>
        <w:spacing w:line="360" w:lineRule="auto"/>
        <w:ind w:firstLine="480" w:firstLineChars="200"/>
        <w:rPr>
          <w:rFonts w:ascii="宋体" w:hAnsi="宋体" w:cs="宋体"/>
          <w:color w:val="auto"/>
          <w:sz w:val="24"/>
        </w:rPr>
      </w:pPr>
      <w:r>
        <w:rPr>
          <w:rFonts w:hint="eastAsia" w:ascii="宋体" w:hAnsi="宋体" w:cs="宋体"/>
          <w:color w:val="auto"/>
          <w:sz w:val="24"/>
        </w:rPr>
        <w:t>2.本合同</w:t>
      </w:r>
      <w:r>
        <w:rPr>
          <w:rFonts w:hint="eastAsia" w:ascii="宋体" w:hAnsi="宋体" w:cs="宋体"/>
          <w:color w:val="auto"/>
          <w:sz w:val="24"/>
          <w:u w:val="single"/>
        </w:rPr>
        <w:sym w:font="Wingdings" w:char="00FE"/>
      </w:r>
      <w:r>
        <w:rPr>
          <w:rFonts w:hint="eastAsia" w:ascii="宋体" w:hAnsi="宋体" w:cs="宋体"/>
          <w:color w:val="auto"/>
          <w:sz w:val="24"/>
          <w:u w:val="single"/>
        </w:rPr>
        <w:t xml:space="preserve">是  </w:t>
      </w:r>
      <w:r>
        <w:rPr>
          <w:rFonts w:hint="eastAsia" w:ascii="宋体" w:hAnsi="宋体" w:cs="宋体"/>
          <w:color w:val="auto"/>
          <w:sz w:val="24"/>
          <w:u w:val="single"/>
        </w:rPr>
        <w:sym w:font="Wingdings" w:char="00A8"/>
      </w:r>
      <w:r>
        <w:rPr>
          <w:rFonts w:hint="eastAsia" w:ascii="宋体" w:hAnsi="宋体" w:cs="宋体"/>
          <w:color w:val="auto"/>
          <w:sz w:val="24"/>
          <w:u w:val="single"/>
        </w:rPr>
        <w:t xml:space="preserve">否 </w:t>
      </w:r>
      <w:r>
        <w:rPr>
          <w:rFonts w:hint="eastAsia" w:ascii="宋体" w:hAnsi="宋体" w:cs="宋体"/>
          <w:color w:val="auto"/>
          <w:sz w:val="24"/>
        </w:rPr>
        <w:t>需要乙方安装。</w:t>
      </w:r>
    </w:p>
    <w:p w14:paraId="7E2CBBE2">
      <w:pPr>
        <w:spacing w:line="360" w:lineRule="auto"/>
        <w:ind w:firstLine="480" w:firstLineChars="200"/>
        <w:rPr>
          <w:rFonts w:hint="eastAsia" w:ascii="宋体" w:hAnsi="宋体" w:cs="宋体"/>
          <w:color w:val="auto"/>
          <w:sz w:val="24"/>
        </w:rPr>
      </w:pPr>
      <w:r>
        <w:rPr>
          <w:rFonts w:hint="eastAsia" w:ascii="宋体" w:hAnsi="宋体" w:cs="宋体"/>
          <w:color w:val="auto"/>
          <w:sz w:val="24"/>
        </w:rPr>
        <w:t>3.货物名称、品牌、规格型号如下：</w:t>
      </w:r>
    </w:p>
    <w:tbl>
      <w:tblPr>
        <w:tblStyle w:val="19"/>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976"/>
        <w:gridCol w:w="1628"/>
        <w:gridCol w:w="3219"/>
        <w:gridCol w:w="463"/>
        <w:gridCol w:w="883"/>
        <w:gridCol w:w="782"/>
        <w:gridCol w:w="782"/>
      </w:tblGrid>
      <w:tr w14:paraId="0E41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1" w:type="pct"/>
            <w:tcBorders>
              <w:tl2br w:val="nil"/>
              <w:tr2bl w:val="nil"/>
            </w:tcBorders>
            <w:shd w:val="clear" w:color="auto" w:fill="auto"/>
            <w:vAlign w:val="center"/>
          </w:tcPr>
          <w:p w14:paraId="150A08DF">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序号</w:t>
            </w:r>
          </w:p>
        </w:tc>
        <w:tc>
          <w:tcPr>
            <w:tcW w:w="530" w:type="pct"/>
            <w:tcBorders>
              <w:tl2br w:val="nil"/>
              <w:tr2bl w:val="nil"/>
            </w:tcBorders>
            <w:shd w:val="clear" w:color="auto" w:fill="auto"/>
            <w:vAlign w:val="center"/>
          </w:tcPr>
          <w:p w14:paraId="7A9E4153">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物资名称</w:t>
            </w:r>
          </w:p>
        </w:tc>
        <w:tc>
          <w:tcPr>
            <w:tcW w:w="885" w:type="pct"/>
            <w:tcBorders>
              <w:tl2br w:val="nil"/>
              <w:tr2bl w:val="nil"/>
            </w:tcBorders>
            <w:shd w:val="clear" w:color="auto" w:fill="auto"/>
            <w:vAlign w:val="center"/>
          </w:tcPr>
          <w:p w14:paraId="0ABA236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品牌</w:t>
            </w:r>
          </w:p>
        </w:tc>
        <w:tc>
          <w:tcPr>
            <w:tcW w:w="1750" w:type="pct"/>
            <w:tcBorders>
              <w:tl2br w:val="nil"/>
              <w:tr2bl w:val="nil"/>
            </w:tcBorders>
            <w:shd w:val="clear" w:color="auto" w:fill="auto"/>
            <w:vAlign w:val="center"/>
          </w:tcPr>
          <w:p w14:paraId="7C21324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规格型号</w:t>
            </w:r>
          </w:p>
        </w:tc>
        <w:tc>
          <w:tcPr>
            <w:tcW w:w="251" w:type="pct"/>
            <w:tcBorders>
              <w:tl2br w:val="nil"/>
              <w:tr2bl w:val="nil"/>
            </w:tcBorders>
            <w:shd w:val="clear" w:color="auto" w:fill="auto"/>
            <w:vAlign w:val="center"/>
          </w:tcPr>
          <w:p w14:paraId="63898BE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单位</w:t>
            </w:r>
          </w:p>
        </w:tc>
        <w:tc>
          <w:tcPr>
            <w:tcW w:w="480" w:type="pct"/>
            <w:tcBorders>
              <w:tl2br w:val="nil"/>
              <w:tr2bl w:val="nil"/>
            </w:tcBorders>
            <w:shd w:val="clear" w:color="auto" w:fill="auto"/>
            <w:vAlign w:val="center"/>
          </w:tcPr>
          <w:p w14:paraId="730192F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数量</w:t>
            </w:r>
          </w:p>
        </w:tc>
        <w:tc>
          <w:tcPr>
            <w:tcW w:w="425" w:type="pct"/>
            <w:tcBorders>
              <w:tl2br w:val="nil"/>
              <w:tr2bl w:val="nil"/>
            </w:tcBorders>
            <w:shd w:val="clear" w:color="auto" w:fill="auto"/>
            <w:vAlign w:val="top"/>
          </w:tcPr>
          <w:p w14:paraId="34B4D194">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2"/>
                <w:szCs w:val="22"/>
              </w:rPr>
              <w:t>单价</w:t>
            </w:r>
          </w:p>
        </w:tc>
        <w:tc>
          <w:tcPr>
            <w:tcW w:w="425" w:type="pct"/>
            <w:tcBorders>
              <w:tl2br w:val="nil"/>
              <w:tr2bl w:val="nil"/>
            </w:tcBorders>
            <w:shd w:val="clear" w:color="auto" w:fill="auto"/>
            <w:vAlign w:val="top"/>
          </w:tcPr>
          <w:p w14:paraId="61C8F5B5">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2"/>
                <w:szCs w:val="22"/>
              </w:rPr>
              <w:t>金额</w:t>
            </w:r>
          </w:p>
        </w:tc>
      </w:tr>
      <w:tr w14:paraId="5319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251" w:type="pct"/>
            <w:tcBorders>
              <w:tl2br w:val="nil"/>
              <w:tr2bl w:val="nil"/>
            </w:tcBorders>
            <w:shd w:val="clear" w:color="auto" w:fill="FFFFFF"/>
            <w:vAlign w:val="center"/>
          </w:tcPr>
          <w:p w14:paraId="52B26BB4">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530" w:type="pct"/>
            <w:tcBorders>
              <w:tl2br w:val="nil"/>
              <w:tr2bl w:val="nil"/>
            </w:tcBorders>
            <w:shd w:val="clear" w:color="auto" w:fill="auto"/>
            <w:vAlign w:val="center"/>
          </w:tcPr>
          <w:p w14:paraId="65F34A5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55英寸拼接屏</w:t>
            </w:r>
          </w:p>
        </w:tc>
        <w:tc>
          <w:tcPr>
            <w:tcW w:w="885" w:type="pct"/>
            <w:tcBorders>
              <w:tl2br w:val="nil"/>
              <w:tr2bl w:val="nil"/>
            </w:tcBorders>
            <w:shd w:val="clear" w:color="auto" w:fill="auto"/>
            <w:vAlign w:val="center"/>
          </w:tcPr>
          <w:p w14:paraId="6450AFF0">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三星（中国）投资有限公司</w:t>
            </w:r>
          </w:p>
        </w:tc>
        <w:tc>
          <w:tcPr>
            <w:tcW w:w="1750" w:type="pct"/>
            <w:tcBorders>
              <w:tl2br w:val="nil"/>
              <w:tr2bl w:val="nil"/>
            </w:tcBorders>
            <w:shd w:val="clear" w:color="auto" w:fill="auto"/>
            <w:vAlign w:val="center"/>
          </w:tcPr>
          <w:p w14:paraId="45D7B937">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w:t>
            </w:r>
            <w:r>
              <w:rPr>
                <w:rFonts w:hint="eastAsia" w:ascii="宋体" w:hAnsi="宋体" w:eastAsia="宋体" w:cs="宋体"/>
                <w:color w:val="auto"/>
                <w:kern w:val="0"/>
                <w:sz w:val="18"/>
                <w:szCs w:val="18"/>
                <w:lang w:val="en-US" w:eastAsia="zh-CN"/>
              </w:rPr>
              <w:t>英寸</w:t>
            </w:r>
            <w:r>
              <w:rPr>
                <w:rFonts w:hint="eastAsia" w:ascii="宋体" w:hAnsi="宋体" w:eastAsia="宋体" w:cs="宋体"/>
                <w:color w:val="auto"/>
                <w:kern w:val="0"/>
                <w:sz w:val="18"/>
                <w:szCs w:val="18"/>
              </w:rPr>
              <w:t>“超窄边液晶屏；物理分辨率达到1920×1080，响应时间≤8ms。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LCD显示单元物理拼缝≤0.88mm 亮度达到620cd/㎡</w:t>
            </w:r>
            <w:r>
              <w:rPr>
                <w:rFonts w:hint="eastAsia" w:ascii="宋体" w:hAnsi="宋体" w:eastAsia="宋体" w:cs="宋体"/>
                <w:color w:val="auto"/>
                <w:kern w:val="0"/>
                <w:sz w:val="18"/>
                <w:szCs w:val="18"/>
                <w:lang w:val="en-US" w:eastAsia="zh-CN"/>
              </w:rPr>
              <w:t>及以上</w:t>
            </w:r>
            <w:r>
              <w:rPr>
                <w:rFonts w:hint="eastAsia" w:ascii="宋体" w:hAnsi="宋体" w:eastAsia="宋体" w:cs="宋体"/>
                <w:color w:val="auto"/>
                <w:kern w:val="0"/>
                <w:sz w:val="18"/>
                <w:szCs w:val="18"/>
              </w:rPr>
              <w:t>，对比度达到1200:1，图像显示清晰度≥950TVL，亮度鉴别等级为11级。通过CCC检测认证，并提供CCC认证证书</w:t>
            </w:r>
          </w:p>
        </w:tc>
        <w:tc>
          <w:tcPr>
            <w:tcW w:w="251" w:type="pct"/>
            <w:tcBorders>
              <w:tl2br w:val="nil"/>
              <w:tr2bl w:val="nil"/>
            </w:tcBorders>
            <w:shd w:val="clear" w:color="auto" w:fill="auto"/>
            <w:vAlign w:val="center"/>
          </w:tcPr>
          <w:p w14:paraId="5C5D701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块</w:t>
            </w:r>
          </w:p>
        </w:tc>
        <w:tc>
          <w:tcPr>
            <w:tcW w:w="480" w:type="pct"/>
            <w:tcBorders>
              <w:tl2br w:val="nil"/>
              <w:tr2bl w:val="nil"/>
            </w:tcBorders>
            <w:shd w:val="clear" w:color="auto" w:fill="auto"/>
            <w:vAlign w:val="center"/>
          </w:tcPr>
          <w:p w14:paraId="5A883019">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12</w:t>
            </w:r>
          </w:p>
        </w:tc>
        <w:tc>
          <w:tcPr>
            <w:tcW w:w="425" w:type="pct"/>
            <w:tcBorders>
              <w:tl2br w:val="nil"/>
              <w:tr2bl w:val="nil"/>
            </w:tcBorders>
            <w:shd w:val="clear" w:color="auto" w:fill="auto"/>
            <w:vAlign w:val="center"/>
          </w:tcPr>
          <w:p w14:paraId="00D8D503">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6B0AEA21">
            <w:pPr>
              <w:widowControl/>
              <w:jc w:val="center"/>
              <w:textAlignment w:val="center"/>
              <w:rPr>
                <w:rFonts w:hint="eastAsia" w:ascii="宋体" w:hAnsi="宋体" w:eastAsia="宋体" w:cs="宋体"/>
                <w:color w:val="auto"/>
                <w:kern w:val="0"/>
                <w:sz w:val="18"/>
                <w:szCs w:val="18"/>
              </w:rPr>
            </w:pPr>
          </w:p>
        </w:tc>
      </w:tr>
      <w:tr w14:paraId="691C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 w:type="pct"/>
            <w:tcBorders>
              <w:tl2br w:val="nil"/>
              <w:tr2bl w:val="nil"/>
            </w:tcBorders>
            <w:shd w:val="clear" w:color="auto" w:fill="FFFFFF"/>
            <w:vAlign w:val="center"/>
          </w:tcPr>
          <w:p w14:paraId="7C34D7B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530" w:type="pct"/>
            <w:tcBorders>
              <w:tl2br w:val="nil"/>
              <w:tr2bl w:val="nil"/>
            </w:tcBorders>
            <w:shd w:val="clear" w:color="auto" w:fill="auto"/>
            <w:vAlign w:val="center"/>
          </w:tcPr>
          <w:p w14:paraId="693A16C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落地机柜</w:t>
            </w:r>
          </w:p>
        </w:tc>
        <w:tc>
          <w:tcPr>
            <w:tcW w:w="885" w:type="pct"/>
            <w:tcBorders>
              <w:tl2br w:val="nil"/>
              <w:tr2bl w:val="nil"/>
            </w:tcBorders>
            <w:shd w:val="clear" w:color="auto" w:fill="auto"/>
            <w:vAlign w:val="center"/>
          </w:tcPr>
          <w:p w14:paraId="20BFC36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750" w:type="pct"/>
            <w:tcBorders>
              <w:tl2br w:val="nil"/>
              <w:tr2bl w:val="nil"/>
            </w:tcBorders>
            <w:shd w:val="clear" w:color="auto" w:fill="auto"/>
            <w:vAlign w:val="center"/>
          </w:tcPr>
          <w:p w14:paraId="236120C3">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落地机柜尺寸见示意图文件、材料选用优质冷轧钢板、颜色黑色</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具体见下方图1、2、3</w:t>
            </w:r>
            <w:r>
              <w:rPr>
                <w:rFonts w:hint="eastAsia" w:ascii="宋体" w:hAnsi="宋体" w:eastAsia="宋体" w:cs="宋体"/>
                <w:color w:val="auto"/>
                <w:kern w:val="0"/>
                <w:sz w:val="18"/>
                <w:szCs w:val="18"/>
                <w:lang w:eastAsia="zh-CN"/>
              </w:rPr>
              <w:t>）</w:t>
            </w:r>
          </w:p>
        </w:tc>
        <w:tc>
          <w:tcPr>
            <w:tcW w:w="251" w:type="pct"/>
            <w:tcBorders>
              <w:tl2br w:val="nil"/>
              <w:tr2bl w:val="nil"/>
            </w:tcBorders>
            <w:shd w:val="clear" w:color="auto" w:fill="auto"/>
            <w:vAlign w:val="center"/>
          </w:tcPr>
          <w:p w14:paraId="4914851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480" w:type="pct"/>
            <w:tcBorders>
              <w:tl2br w:val="nil"/>
              <w:tr2bl w:val="nil"/>
            </w:tcBorders>
            <w:shd w:val="clear" w:color="auto" w:fill="auto"/>
            <w:vAlign w:val="center"/>
          </w:tcPr>
          <w:p w14:paraId="0523B5A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w:t>
            </w:r>
          </w:p>
        </w:tc>
        <w:tc>
          <w:tcPr>
            <w:tcW w:w="425" w:type="pct"/>
            <w:tcBorders>
              <w:tl2br w:val="nil"/>
              <w:tr2bl w:val="nil"/>
            </w:tcBorders>
            <w:shd w:val="clear" w:color="auto" w:fill="auto"/>
            <w:vAlign w:val="center"/>
          </w:tcPr>
          <w:p w14:paraId="1A319F82">
            <w:pPr>
              <w:widowControl/>
              <w:jc w:val="center"/>
              <w:textAlignment w:val="center"/>
              <w:rPr>
                <w:rFonts w:hint="default" w:ascii="宋体" w:hAnsi="宋体" w:eastAsia="宋体" w:cs="宋体"/>
                <w:color w:val="auto"/>
                <w:kern w:val="0"/>
                <w:sz w:val="18"/>
                <w:szCs w:val="18"/>
                <w:lang w:val="en-US" w:eastAsia="zh-CN"/>
              </w:rPr>
            </w:pPr>
          </w:p>
        </w:tc>
        <w:tc>
          <w:tcPr>
            <w:tcW w:w="425" w:type="pct"/>
            <w:tcBorders>
              <w:tl2br w:val="nil"/>
              <w:tr2bl w:val="nil"/>
            </w:tcBorders>
            <w:shd w:val="clear" w:color="auto" w:fill="auto"/>
            <w:vAlign w:val="center"/>
          </w:tcPr>
          <w:p w14:paraId="505F3A58">
            <w:pPr>
              <w:widowControl/>
              <w:jc w:val="center"/>
              <w:textAlignment w:val="center"/>
              <w:rPr>
                <w:rFonts w:hint="default" w:ascii="宋体" w:hAnsi="宋体" w:eastAsia="宋体" w:cs="宋体"/>
                <w:color w:val="auto"/>
                <w:kern w:val="0"/>
                <w:sz w:val="18"/>
                <w:szCs w:val="18"/>
                <w:lang w:val="en-US" w:eastAsia="zh-CN"/>
              </w:rPr>
            </w:pPr>
          </w:p>
        </w:tc>
      </w:tr>
      <w:tr w14:paraId="698E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51" w:type="pct"/>
            <w:tcBorders>
              <w:tl2br w:val="nil"/>
              <w:tr2bl w:val="nil"/>
            </w:tcBorders>
            <w:shd w:val="clear" w:color="auto" w:fill="FFFFFF"/>
            <w:vAlign w:val="center"/>
          </w:tcPr>
          <w:p w14:paraId="0B7100E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530" w:type="pct"/>
            <w:tcBorders>
              <w:tl2br w:val="nil"/>
              <w:tr2bl w:val="nil"/>
            </w:tcBorders>
            <w:shd w:val="clear" w:color="auto" w:fill="auto"/>
            <w:vAlign w:val="center"/>
          </w:tcPr>
          <w:p w14:paraId="00926E4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视频解码器</w:t>
            </w:r>
          </w:p>
        </w:tc>
        <w:tc>
          <w:tcPr>
            <w:tcW w:w="885" w:type="pct"/>
            <w:tcBorders>
              <w:tl2br w:val="nil"/>
              <w:tr2bl w:val="nil"/>
            </w:tcBorders>
            <w:shd w:val="clear" w:color="auto" w:fill="auto"/>
            <w:vAlign w:val="center"/>
          </w:tcPr>
          <w:p w14:paraId="593ACAC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/三星（中国）投资有限公司</w:t>
            </w:r>
          </w:p>
        </w:tc>
        <w:tc>
          <w:tcPr>
            <w:tcW w:w="1750" w:type="pct"/>
            <w:tcBorders>
              <w:tl2br w:val="nil"/>
              <w:tr2bl w:val="nil"/>
            </w:tcBorders>
            <w:shd w:val="clear" w:color="auto" w:fill="auto"/>
            <w:vAlign w:val="center"/>
          </w:tcPr>
          <w:p w14:paraId="639D38EF">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8路HDMI进+</w:t>
            </w:r>
            <w:r>
              <w:rPr>
                <w:rFonts w:hint="eastAsia" w:ascii="宋体" w:hAnsi="宋体" w:eastAsia="宋体" w:cs="宋体"/>
                <w:color w:val="auto"/>
                <w:kern w:val="0"/>
                <w:sz w:val="18"/>
                <w:szCs w:val="18"/>
                <w:lang w:val="en-US" w:eastAsia="zh-CN"/>
              </w:rPr>
              <w:t>16</w:t>
            </w:r>
            <w:r>
              <w:rPr>
                <w:rFonts w:hint="eastAsia" w:ascii="宋体" w:hAnsi="宋体" w:eastAsia="宋体" w:cs="宋体"/>
                <w:color w:val="auto"/>
                <w:kern w:val="0"/>
                <w:sz w:val="18"/>
                <w:szCs w:val="18"/>
              </w:rPr>
              <w:t xml:space="preserve">路HDMI出 </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U标准机箱，满足中小规模的监控需求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标准机架式设计，运营级ATCA机箱系统  </w:t>
            </w:r>
          </w:p>
          <w:p w14:paraId="5C34963A">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整机解码能力：1</w:t>
            </w:r>
            <w:r>
              <w:rPr>
                <w:rFonts w:hint="eastAsia" w:ascii="宋体" w:hAnsi="宋体" w:eastAsia="宋体" w:cs="宋体"/>
                <w:color w:val="auto"/>
                <w:kern w:val="0"/>
                <w:sz w:val="18"/>
                <w:szCs w:val="18"/>
                <w:lang w:val="en-US" w:eastAsia="zh-CN"/>
              </w:rPr>
              <w:t>28</w:t>
            </w:r>
            <w:r>
              <w:rPr>
                <w:rFonts w:hint="eastAsia" w:ascii="宋体" w:hAnsi="宋体" w:eastAsia="宋体" w:cs="宋体"/>
                <w:color w:val="auto"/>
                <w:kern w:val="0"/>
                <w:sz w:val="18"/>
                <w:szCs w:val="18"/>
              </w:rPr>
              <w:t>路1080P</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整机编码能力：</w:t>
            </w:r>
            <w:r>
              <w:rPr>
                <w:rFonts w:hint="eastAsia" w:ascii="宋体" w:hAnsi="宋体" w:eastAsia="宋体" w:cs="宋体"/>
                <w:color w:val="auto"/>
                <w:kern w:val="0"/>
                <w:sz w:val="18"/>
                <w:szCs w:val="18"/>
                <w:lang w:val="en-US" w:eastAsia="zh-CN"/>
              </w:rPr>
              <w:t>8</w:t>
            </w:r>
            <w:r>
              <w:rPr>
                <w:rFonts w:hint="eastAsia" w:ascii="宋体" w:hAnsi="宋体" w:eastAsia="宋体" w:cs="宋体"/>
                <w:color w:val="auto"/>
                <w:kern w:val="0"/>
                <w:sz w:val="18"/>
                <w:szCs w:val="18"/>
              </w:rPr>
              <w:t>路1080P</w:t>
            </w:r>
          </w:p>
          <w:p w14:paraId="479A2EB0">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整机拼接能力：支持16个显示屏的任意大屏拼接，单输出口支持1/4/6/8/9/16/25画面分割显示解码支持H.265、H.264、MJPEG等主流的编码格式支持HDMI等输出显示</w:t>
            </w:r>
          </w:p>
        </w:tc>
        <w:tc>
          <w:tcPr>
            <w:tcW w:w="251" w:type="pct"/>
            <w:tcBorders>
              <w:tl2br w:val="nil"/>
              <w:tr2bl w:val="nil"/>
            </w:tcBorders>
            <w:shd w:val="clear" w:color="auto" w:fill="auto"/>
            <w:vAlign w:val="center"/>
          </w:tcPr>
          <w:p w14:paraId="0715D40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台</w:t>
            </w:r>
          </w:p>
        </w:tc>
        <w:tc>
          <w:tcPr>
            <w:tcW w:w="480" w:type="pct"/>
            <w:tcBorders>
              <w:tl2br w:val="nil"/>
              <w:tr2bl w:val="nil"/>
            </w:tcBorders>
            <w:shd w:val="clear" w:color="auto" w:fill="auto"/>
            <w:vAlign w:val="center"/>
          </w:tcPr>
          <w:p w14:paraId="75EC1B7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425" w:type="pct"/>
            <w:tcBorders>
              <w:tl2br w:val="nil"/>
              <w:tr2bl w:val="nil"/>
            </w:tcBorders>
            <w:shd w:val="clear" w:color="auto" w:fill="auto"/>
            <w:vAlign w:val="center"/>
          </w:tcPr>
          <w:p w14:paraId="4D09635D">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5363C764">
            <w:pPr>
              <w:widowControl/>
              <w:jc w:val="center"/>
              <w:textAlignment w:val="center"/>
              <w:rPr>
                <w:rFonts w:hint="eastAsia" w:ascii="宋体" w:hAnsi="宋体" w:eastAsia="宋体" w:cs="宋体"/>
                <w:color w:val="auto"/>
                <w:kern w:val="0"/>
                <w:sz w:val="18"/>
                <w:szCs w:val="18"/>
              </w:rPr>
            </w:pPr>
          </w:p>
        </w:tc>
      </w:tr>
      <w:tr w14:paraId="4E5A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1" w:type="pct"/>
            <w:tcBorders>
              <w:tl2br w:val="nil"/>
              <w:tr2bl w:val="nil"/>
            </w:tcBorders>
            <w:shd w:val="clear" w:color="auto" w:fill="FFFFFF"/>
            <w:vAlign w:val="center"/>
          </w:tcPr>
          <w:p w14:paraId="38F1C663">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530" w:type="pct"/>
            <w:tcBorders>
              <w:tl2br w:val="nil"/>
              <w:tr2bl w:val="nil"/>
            </w:tcBorders>
            <w:shd w:val="clear" w:color="auto" w:fill="auto"/>
            <w:vAlign w:val="center"/>
          </w:tcPr>
          <w:p w14:paraId="76E2C074">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前端汇聚交换机</w:t>
            </w:r>
          </w:p>
        </w:tc>
        <w:tc>
          <w:tcPr>
            <w:tcW w:w="885" w:type="pct"/>
            <w:tcBorders>
              <w:tl2br w:val="nil"/>
              <w:tr2bl w:val="nil"/>
            </w:tcBorders>
            <w:shd w:val="clear" w:color="auto" w:fill="auto"/>
            <w:vAlign w:val="center"/>
          </w:tcPr>
          <w:p w14:paraId="17DEF8D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思科、锐捷、华为或其他同档次及以上品牌</w:t>
            </w:r>
          </w:p>
        </w:tc>
        <w:tc>
          <w:tcPr>
            <w:tcW w:w="1750" w:type="pct"/>
            <w:tcBorders>
              <w:tl2br w:val="nil"/>
              <w:tr2bl w:val="nil"/>
            </w:tcBorders>
            <w:shd w:val="clear" w:color="auto" w:fill="auto"/>
            <w:vAlign w:val="center"/>
          </w:tcPr>
          <w:p w14:paraId="2DD4DC08">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24个10/100/1000Mbps自适应电口交换机，固化4个SFP+万兆光口，支持VLAN、ACL、端口镜像、端口聚合等功能</w:t>
            </w:r>
          </w:p>
        </w:tc>
        <w:tc>
          <w:tcPr>
            <w:tcW w:w="251" w:type="pct"/>
            <w:tcBorders>
              <w:tl2br w:val="nil"/>
              <w:tr2bl w:val="nil"/>
            </w:tcBorders>
            <w:shd w:val="clear" w:color="auto" w:fill="auto"/>
            <w:vAlign w:val="center"/>
          </w:tcPr>
          <w:p w14:paraId="121323D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台</w:t>
            </w:r>
          </w:p>
        </w:tc>
        <w:tc>
          <w:tcPr>
            <w:tcW w:w="480" w:type="pct"/>
            <w:tcBorders>
              <w:tl2br w:val="nil"/>
              <w:tr2bl w:val="nil"/>
            </w:tcBorders>
            <w:shd w:val="clear" w:color="auto" w:fill="auto"/>
            <w:vAlign w:val="center"/>
          </w:tcPr>
          <w:p w14:paraId="15AF7AC6">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p>
        </w:tc>
        <w:tc>
          <w:tcPr>
            <w:tcW w:w="425" w:type="pct"/>
            <w:tcBorders>
              <w:tl2br w:val="nil"/>
              <w:tr2bl w:val="nil"/>
            </w:tcBorders>
            <w:shd w:val="clear" w:color="auto" w:fill="auto"/>
            <w:vAlign w:val="center"/>
          </w:tcPr>
          <w:p w14:paraId="125E90B9">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10603AAA">
            <w:pPr>
              <w:widowControl/>
              <w:jc w:val="center"/>
              <w:textAlignment w:val="center"/>
              <w:rPr>
                <w:rFonts w:hint="eastAsia" w:ascii="宋体" w:hAnsi="宋体" w:eastAsia="宋体" w:cs="宋体"/>
                <w:color w:val="auto"/>
                <w:kern w:val="0"/>
                <w:sz w:val="18"/>
                <w:szCs w:val="18"/>
              </w:rPr>
            </w:pPr>
          </w:p>
        </w:tc>
      </w:tr>
      <w:tr w14:paraId="1745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1" w:type="pct"/>
            <w:tcBorders>
              <w:tl2br w:val="nil"/>
              <w:tr2bl w:val="nil"/>
            </w:tcBorders>
            <w:shd w:val="clear" w:color="auto" w:fill="FFFFFF"/>
            <w:vAlign w:val="center"/>
          </w:tcPr>
          <w:p w14:paraId="1CCA499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530" w:type="pct"/>
            <w:tcBorders>
              <w:tl2br w:val="nil"/>
              <w:tr2bl w:val="nil"/>
            </w:tcBorders>
            <w:shd w:val="clear" w:color="auto" w:fill="auto"/>
            <w:vAlign w:val="center"/>
          </w:tcPr>
          <w:p w14:paraId="78097A5E">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光纤 HDMI 高清信号线</w:t>
            </w:r>
          </w:p>
        </w:tc>
        <w:tc>
          <w:tcPr>
            <w:tcW w:w="885" w:type="pct"/>
            <w:tcBorders>
              <w:tl2br w:val="nil"/>
              <w:tr2bl w:val="nil"/>
            </w:tcBorders>
            <w:shd w:val="clear" w:color="auto" w:fill="auto"/>
            <w:vAlign w:val="center"/>
          </w:tcPr>
          <w:p w14:paraId="2A26009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秋叶原、绿联、飞利浦或其他同档次及以上品牌</w:t>
            </w:r>
          </w:p>
        </w:tc>
        <w:tc>
          <w:tcPr>
            <w:tcW w:w="1750" w:type="pct"/>
            <w:tcBorders>
              <w:tl2br w:val="nil"/>
              <w:tr2bl w:val="nil"/>
            </w:tcBorders>
            <w:shd w:val="clear" w:color="auto" w:fill="auto"/>
            <w:vAlign w:val="center"/>
          </w:tcPr>
          <w:p w14:paraId="4A8552D0">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15米长信号线，4K HDMI</w:t>
            </w:r>
          </w:p>
        </w:tc>
        <w:tc>
          <w:tcPr>
            <w:tcW w:w="251" w:type="pct"/>
            <w:tcBorders>
              <w:tl2br w:val="nil"/>
              <w:tr2bl w:val="nil"/>
            </w:tcBorders>
            <w:shd w:val="clear" w:color="auto" w:fill="auto"/>
            <w:vAlign w:val="center"/>
          </w:tcPr>
          <w:p w14:paraId="4D30BA32">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条</w:t>
            </w:r>
          </w:p>
        </w:tc>
        <w:tc>
          <w:tcPr>
            <w:tcW w:w="480" w:type="pct"/>
            <w:tcBorders>
              <w:tl2br w:val="nil"/>
              <w:tr2bl w:val="nil"/>
            </w:tcBorders>
            <w:shd w:val="clear" w:color="auto" w:fill="auto"/>
            <w:vAlign w:val="center"/>
          </w:tcPr>
          <w:p w14:paraId="23DFA24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rPr>
              <w:t>5</w:t>
            </w:r>
          </w:p>
        </w:tc>
        <w:tc>
          <w:tcPr>
            <w:tcW w:w="425" w:type="pct"/>
            <w:tcBorders>
              <w:tl2br w:val="nil"/>
              <w:tr2bl w:val="nil"/>
            </w:tcBorders>
            <w:shd w:val="clear" w:color="auto" w:fill="auto"/>
            <w:vAlign w:val="center"/>
          </w:tcPr>
          <w:p w14:paraId="0852EA70">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6A105F9A">
            <w:pPr>
              <w:widowControl/>
              <w:jc w:val="center"/>
              <w:textAlignment w:val="center"/>
              <w:rPr>
                <w:rFonts w:hint="eastAsia" w:ascii="宋体" w:hAnsi="宋体" w:eastAsia="宋体" w:cs="宋体"/>
                <w:color w:val="auto"/>
                <w:kern w:val="0"/>
                <w:sz w:val="18"/>
                <w:szCs w:val="18"/>
              </w:rPr>
            </w:pPr>
          </w:p>
        </w:tc>
      </w:tr>
      <w:tr w14:paraId="559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51" w:type="pct"/>
            <w:tcBorders>
              <w:tl2br w:val="nil"/>
              <w:tr2bl w:val="nil"/>
            </w:tcBorders>
            <w:shd w:val="clear" w:color="auto" w:fill="FFFFFF"/>
            <w:vAlign w:val="center"/>
          </w:tcPr>
          <w:p w14:paraId="6BAA30AF">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530" w:type="pct"/>
            <w:tcBorders>
              <w:tl2br w:val="nil"/>
              <w:tr2bl w:val="nil"/>
            </w:tcBorders>
            <w:shd w:val="clear" w:color="auto" w:fill="auto"/>
            <w:vAlign w:val="center"/>
          </w:tcPr>
          <w:p w14:paraId="7BC0527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LED条屏</w:t>
            </w:r>
          </w:p>
        </w:tc>
        <w:tc>
          <w:tcPr>
            <w:tcW w:w="885" w:type="pct"/>
            <w:tcBorders>
              <w:tl2br w:val="nil"/>
              <w:tr2bl w:val="nil"/>
            </w:tcBorders>
            <w:shd w:val="clear" w:color="auto" w:fill="auto"/>
            <w:vAlign w:val="center"/>
          </w:tcPr>
          <w:p w14:paraId="5705F92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大华/海康/利亚德</w:t>
            </w:r>
          </w:p>
        </w:tc>
        <w:tc>
          <w:tcPr>
            <w:tcW w:w="1750" w:type="pct"/>
            <w:tcBorders>
              <w:tl2br w:val="nil"/>
              <w:tr2bl w:val="nil"/>
            </w:tcBorders>
            <w:shd w:val="clear" w:color="auto" w:fill="auto"/>
            <w:vAlign w:val="center"/>
          </w:tcPr>
          <w:p w14:paraId="4C733F37">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P2.0全彩LED屏,模组尺寸320mm*160mm，条屏尺寸4800mm*320mm，含接收卡，视频处理器及播放软件等（高度0.3米）</w:t>
            </w:r>
          </w:p>
        </w:tc>
        <w:tc>
          <w:tcPr>
            <w:tcW w:w="251" w:type="pct"/>
            <w:tcBorders>
              <w:tl2br w:val="nil"/>
              <w:tr2bl w:val="nil"/>
            </w:tcBorders>
            <w:shd w:val="clear" w:color="auto" w:fill="auto"/>
            <w:vAlign w:val="center"/>
          </w:tcPr>
          <w:p w14:paraId="6510172E">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平方米</w:t>
            </w:r>
          </w:p>
        </w:tc>
        <w:tc>
          <w:tcPr>
            <w:tcW w:w="480" w:type="pct"/>
            <w:tcBorders>
              <w:tl2br w:val="nil"/>
              <w:tr2bl w:val="nil"/>
            </w:tcBorders>
            <w:shd w:val="clear" w:color="auto" w:fill="auto"/>
            <w:vAlign w:val="center"/>
          </w:tcPr>
          <w:p w14:paraId="54B1A474">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1.536</w:t>
            </w:r>
          </w:p>
        </w:tc>
        <w:tc>
          <w:tcPr>
            <w:tcW w:w="425" w:type="pct"/>
            <w:tcBorders>
              <w:tl2br w:val="nil"/>
              <w:tr2bl w:val="nil"/>
            </w:tcBorders>
            <w:shd w:val="clear" w:color="auto" w:fill="auto"/>
            <w:vAlign w:val="center"/>
          </w:tcPr>
          <w:p w14:paraId="29161751">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4526DD1F">
            <w:pPr>
              <w:widowControl/>
              <w:jc w:val="center"/>
              <w:textAlignment w:val="center"/>
              <w:rPr>
                <w:rFonts w:hint="eastAsia" w:ascii="宋体" w:hAnsi="宋体" w:eastAsia="宋体" w:cs="宋体"/>
                <w:color w:val="auto"/>
                <w:kern w:val="0"/>
                <w:sz w:val="18"/>
                <w:szCs w:val="18"/>
              </w:rPr>
            </w:pPr>
          </w:p>
        </w:tc>
      </w:tr>
      <w:tr w14:paraId="5AAE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51" w:type="pct"/>
            <w:tcBorders>
              <w:tl2br w:val="nil"/>
              <w:tr2bl w:val="nil"/>
            </w:tcBorders>
            <w:shd w:val="clear" w:color="auto" w:fill="FFFFFF"/>
            <w:vAlign w:val="center"/>
          </w:tcPr>
          <w:p w14:paraId="410C6C3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530" w:type="pct"/>
            <w:tcBorders>
              <w:tl2br w:val="nil"/>
              <w:tr2bl w:val="nil"/>
            </w:tcBorders>
            <w:shd w:val="clear" w:color="auto" w:fill="auto"/>
            <w:vAlign w:val="center"/>
          </w:tcPr>
          <w:p w14:paraId="482133B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配套附件，配套中控室安装辅材</w:t>
            </w:r>
          </w:p>
        </w:tc>
        <w:tc>
          <w:tcPr>
            <w:tcW w:w="885" w:type="pct"/>
            <w:tcBorders>
              <w:tl2br w:val="nil"/>
              <w:tr2bl w:val="nil"/>
            </w:tcBorders>
            <w:shd w:val="clear" w:color="auto" w:fill="auto"/>
            <w:vAlign w:val="center"/>
          </w:tcPr>
          <w:p w14:paraId="2CC9E8B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国标</w:t>
            </w:r>
          </w:p>
        </w:tc>
        <w:tc>
          <w:tcPr>
            <w:tcW w:w="1750" w:type="pct"/>
            <w:tcBorders>
              <w:tl2br w:val="nil"/>
              <w:tr2bl w:val="nil"/>
            </w:tcBorders>
            <w:shd w:val="clear" w:color="auto" w:fill="auto"/>
            <w:vAlign w:val="center"/>
          </w:tcPr>
          <w:p w14:paraId="6FCEA04C">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配套辅件，包括但不限于螺丝、电源线、光纤跳线、3米无氧铜网络跳线、RJ45-RS232转接头、遥控器、24口金属理线架、机打线束标签、水晶头，PDU插座、光模块（千兆单模）等</w:t>
            </w:r>
          </w:p>
        </w:tc>
        <w:tc>
          <w:tcPr>
            <w:tcW w:w="251" w:type="pct"/>
            <w:tcBorders>
              <w:tl2br w:val="nil"/>
              <w:tr2bl w:val="nil"/>
            </w:tcBorders>
            <w:shd w:val="clear" w:color="auto" w:fill="auto"/>
            <w:vAlign w:val="center"/>
          </w:tcPr>
          <w:p w14:paraId="4A308FDE">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若干</w:t>
            </w:r>
          </w:p>
        </w:tc>
        <w:tc>
          <w:tcPr>
            <w:tcW w:w="480" w:type="pct"/>
            <w:tcBorders>
              <w:tl2br w:val="nil"/>
              <w:tr2bl w:val="nil"/>
            </w:tcBorders>
            <w:shd w:val="clear" w:color="auto" w:fill="auto"/>
            <w:vAlign w:val="center"/>
          </w:tcPr>
          <w:p w14:paraId="61531980">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满足需求，自行配置</w:t>
            </w:r>
          </w:p>
        </w:tc>
        <w:tc>
          <w:tcPr>
            <w:tcW w:w="425" w:type="pct"/>
            <w:tcBorders>
              <w:tl2br w:val="nil"/>
              <w:tr2bl w:val="nil"/>
            </w:tcBorders>
            <w:shd w:val="clear" w:color="auto" w:fill="auto"/>
            <w:vAlign w:val="center"/>
          </w:tcPr>
          <w:p w14:paraId="4C8F5080">
            <w:pPr>
              <w:widowControl/>
              <w:jc w:val="center"/>
              <w:textAlignment w:val="center"/>
              <w:rPr>
                <w:rFonts w:hint="eastAsia" w:ascii="宋体" w:hAnsi="宋体" w:eastAsia="宋体" w:cs="宋体"/>
                <w:color w:val="auto"/>
                <w:kern w:val="0"/>
                <w:sz w:val="18"/>
                <w:szCs w:val="18"/>
              </w:rPr>
            </w:pPr>
          </w:p>
        </w:tc>
        <w:tc>
          <w:tcPr>
            <w:tcW w:w="425" w:type="pct"/>
            <w:tcBorders>
              <w:tl2br w:val="nil"/>
              <w:tr2bl w:val="nil"/>
            </w:tcBorders>
            <w:shd w:val="clear" w:color="auto" w:fill="auto"/>
            <w:vAlign w:val="center"/>
          </w:tcPr>
          <w:p w14:paraId="255005E4">
            <w:pPr>
              <w:widowControl/>
              <w:jc w:val="center"/>
              <w:textAlignment w:val="center"/>
              <w:rPr>
                <w:rFonts w:hint="eastAsia" w:ascii="宋体" w:hAnsi="宋体" w:eastAsia="宋体" w:cs="宋体"/>
                <w:color w:val="auto"/>
                <w:kern w:val="0"/>
                <w:sz w:val="18"/>
                <w:szCs w:val="18"/>
              </w:rPr>
            </w:pPr>
          </w:p>
        </w:tc>
      </w:tr>
    </w:tbl>
    <w:p w14:paraId="75E77A15">
      <w:pPr>
        <w:spacing w:line="360" w:lineRule="auto"/>
        <w:ind w:firstLine="480" w:firstLineChars="200"/>
        <w:rPr>
          <w:rFonts w:hint="eastAsia" w:ascii="宋体" w:hAnsi="宋体" w:cs="宋体"/>
          <w:color w:val="auto"/>
          <w:sz w:val="24"/>
        </w:rPr>
      </w:pPr>
    </w:p>
    <w:p w14:paraId="43E8BBCB">
      <w:pPr>
        <w:pStyle w:val="29"/>
        <w:spacing w:before="0" w:beforeAutospacing="0" w:after="0" w:afterAutospacing="0" w:line="360" w:lineRule="auto"/>
        <w:ind w:firstLine="480"/>
        <w:rPr>
          <w:b/>
          <w:color w:val="auto"/>
        </w:rPr>
      </w:pPr>
      <w:bookmarkStart w:id="390" w:name="_Toc1814"/>
      <w:bookmarkStart w:id="391" w:name="_Toc22618"/>
      <w:bookmarkStart w:id="392" w:name="_Toc10340"/>
      <w:r>
        <w:rPr>
          <w:rFonts w:hint="eastAsia"/>
          <w:b/>
          <w:color w:val="auto"/>
        </w:rPr>
        <w:t>三、合同期限、交付期限、地点和联系方式、交付方式</w:t>
      </w:r>
    </w:p>
    <w:p w14:paraId="5C708BF5">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rPr>
        <w:t>自</w:t>
      </w:r>
      <w:r>
        <w:rPr>
          <w:rFonts w:hint="eastAsia" w:ascii="宋体" w:hAnsi="宋体" w:cs="宋体"/>
          <w:color w:val="auto"/>
          <w:sz w:val="24"/>
          <w:u w:val="single"/>
          <w:lang w:val="en-US" w:eastAsia="zh-CN"/>
        </w:rPr>
        <w:t>收到甲方通知后</w:t>
      </w:r>
      <w:r>
        <w:rPr>
          <w:rFonts w:hint="eastAsia" w:ascii="宋体" w:hAnsi="宋体" w:cs="宋体"/>
          <w:color w:val="auto"/>
          <w:sz w:val="24"/>
          <w:u w:val="single"/>
        </w:rPr>
        <w:t>30日内</w:t>
      </w:r>
      <w:r>
        <w:rPr>
          <w:rFonts w:hint="eastAsia" w:ascii="宋体" w:hAnsi="宋体" w:cs="宋体"/>
          <w:color w:val="auto"/>
          <w:sz w:val="24"/>
          <w:u w:val="single"/>
          <w:lang w:val="en-US" w:eastAsia="zh-CN"/>
        </w:rPr>
        <w:t>一次性</w:t>
      </w:r>
      <w:r>
        <w:rPr>
          <w:rFonts w:hint="eastAsia" w:ascii="宋体" w:hAnsi="宋体" w:cs="宋体"/>
          <w:color w:val="auto"/>
          <w:sz w:val="24"/>
          <w:u w:val="single"/>
        </w:rPr>
        <w:t>完成安装调试并通过验收</w:t>
      </w:r>
      <w:r>
        <w:rPr>
          <w:rFonts w:hint="eastAsia" w:ascii="宋体" w:hAnsi="宋体" w:cs="宋体"/>
          <w:color w:val="auto"/>
          <w:sz w:val="24"/>
        </w:rPr>
        <w:t>；</w:t>
      </w:r>
    </w:p>
    <w:p w14:paraId="4D4D1028">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自</w:t>
      </w:r>
      <w:r>
        <w:rPr>
          <w:rFonts w:hint="eastAsia" w:ascii="宋体" w:hAnsi="宋体" w:cs="宋体"/>
          <w:color w:val="auto"/>
          <w:sz w:val="24"/>
          <w:u w:val="single"/>
          <w:lang w:val="en-US" w:eastAsia="zh-CN"/>
        </w:rPr>
        <w:t>收到甲方通知后</w:t>
      </w:r>
      <w:r>
        <w:rPr>
          <w:rFonts w:hint="eastAsia" w:ascii="宋体" w:hAnsi="宋体" w:cs="宋体"/>
          <w:color w:val="auto"/>
          <w:sz w:val="24"/>
          <w:u w:val="single"/>
        </w:rPr>
        <w:t>30日内</w:t>
      </w:r>
      <w:r>
        <w:rPr>
          <w:rFonts w:hint="eastAsia" w:ascii="宋体" w:hAnsi="宋体" w:cs="宋体"/>
          <w:color w:val="auto"/>
          <w:sz w:val="24"/>
          <w:u w:val="single"/>
          <w:lang w:val="en-US" w:eastAsia="zh-CN"/>
        </w:rPr>
        <w:t>一次性</w:t>
      </w:r>
      <w:r>
        <w:rPr>
          <w:rFonts w:hint="eastAsia" w:ascii="宋体" w:hAnsi="宋体" w:cs="宋体"/>
          <w:color w:val="auto"/>
          <w:sz w:val="24"/>
          <w:u w:val="single"/>
        </w:rPr>
        <w:t>完成安装调试并通过验收；</w:t>
      </w:r>
    </w:p>
    <w:p w14:paraId="36F16BF0">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3.交付地点：浙江省杭州市钱塘区临江街道红十五路10388-123号，杭州临江环境能源有限公司厂区内甲方指定仓库；</w:t>
      </w:r>
    </w:p>
    <w:p w14:paraId="007AE114">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4.交付甲方联系人：按采购订单要求执行 ；</w:t>
      </w:r>
    </w:p>
    <w:p w14:paraId="360478C2">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10D762F0">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6.交付方式： 按采购订单要求执行 ，基本要求如下： </w:t>
      </w:r>
    </w:p>
    <w:p w14:paraId="0A83891C">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14:paraId="3D5E6F61">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14:paraId="5D6C7720">
      <w:pPr>
        <w:spacing w:line="360" w:lineRule="auto"/>
        <w:ind w:firstLine="480" w:firstLineChars="200"/>
        <w:rPr>
          <w:b/>
          <w:color w:val="auto"/>
        </w:rPr>
      </w:pPr>
      <w:r>
        <w:rPr>
          <w:rFonts w:hint="eastAsia" w:ascii="宋体" w:hAnsi="宋体" w:cs="宋体"/>
          <w:color w:val="auto"/>
          <w:sz w:val="24"/>
        </w:rPr>
        <w:t>（3）特殊情况下，双方友好协商解决。</w:t>
      </w:r>
    </w:p>
    <w:p w14:paraId="5C101243">
      <w:pPr>
        <w:pStyle w:val="29"/>
        <w:spacing w:before="0" w:beforeAutospacing="0" w:after="0" w:afterAutospacing="0" w:line="360" w:lineRule="auto"/>
        <w:ind w:firstLine="480"/>
        <w:rPr>
          <w:b/>
          <w:color w:val="auto"/>
        </w:rPr>
      </w:pPr>
      <w:r>
        <w:rPr>
          <w:rFonts w:hint="eastAsia"/>
          <w:b/>
          <w:color w:val="auto"/>
        </w:rPr>
        <w:t>四、技术和质量要求</w:t>
      </w:r>
    </w:p>
    <w:p w14:paraId="6774635B">
      <w:pPr>
        <w:spacing w:line="360" w:lineRule="auto"/>
        <w:ind w:firstLine="480" w:firstLineChars="200"/>
        <w:rPr>
          <w:rFonts w:hint="eastAsia" w:asciiTheme="minorEastAsia" w:hAnsiTheme="minorEastAsia"/>
          <w:color w:val="auto"/>
          <w:sz w:val="24"/>
        </w:rPr>
      </w:pPr>
      <w:bookmarkStart w:id="393" w:name="_Toc1125"/>
      <w:bookmarkStart w:id="394" w:name="_Toc14563"/>
      <w:bookmarkStart w:id="395" w:name="_Toc6596"/>
      <w:r>
        <w:rPr>
          <w:rFonts w:hint="eastAsia" w:asciiTheme="minorEastAsia" w:hAnsiTheme="minorEastAsia"/>
          <w:color w:val="auto"/>
          <w:sz w:val="24"/>
        </w:rPr>
        <w:t>1.拼接屏技术要求</w:t>
      </w:r>
    </w:p>
    <w:p w14:paraId="6A347FB0">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1.1技术参数要求： LCD显示单元为55英寸超窄边液晶屏；物理分辨率达到1920×1080，响应时间≤8ms。LCD显示单元物理拼缝≤0.88mm，亮度达到620cd/㎡，对比度达到1200:1，图像显示清晰度≥950TVL，亮度鉴别等级为11级。测试频率范围80MHz~2.7GHz； 频率为1KHz，80%调制的正弦波； 测试场强10V/m; 无闪屏、花屏现象。</w:t>
      </w:r>
    </w:p>
    <w:p w14:paraId="2BD1ED23">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1.2液晶拼接屏支持遥控器一键给所有屏幕分配不同ID编号，同时支持在所有屏幕拥有不同ID时遥控器可以任意选中1块屏幕或多块屏幕进行操作。</w:t>
      </w:r>
    </w:p>
    <w:p w14:paraId="4C830273">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1.3液晶显示单元支持HDMI环通拼接功能，接入4K 60Hz信号时，自环通能力达到35级，且最后一级正常显示无噪点。</w:t>
      </w:r>
    </w:p>
    <w:p w14:paraId="3A139A9F">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1.4拼接屏具有将输入的4K信号源旋转90度、180度和270度的功能，且不损失分辨率，无需额外配置拼控设备处理信号源。</w:t>
      </w:r>
    </w:p>
    <w:p w14:paraId="2FB01555">
      <w:pPr>
        <w:spacing w:line="360" w:lineRule="auto"/>
        <w:ind w:firstLine="480" w:firstLineChars="200"/>
        <w:rPr>
          <w:rFonts w:hint="eastAsia" w:asciiTheme="minorEastAsia" w:hAnsiTheme="minorEastAsia"/>
          <w:color w:val="auto"/>
          <w:sz w:val="24"/>
          <w:lang w:eastAsia="zh-CN"/>
        </w:rPr>
      </w:pPr>
      <w:r>
        <w:rPr>
          <w:rFonts w:hint="eastAsia" w:asciiTheme="minorEastAsia" w:hAnsiTheme="minorEastAsia"/>
          <w:color w:val="auto"/>
          <w:sz w:val="24"/>
        </w:rPr>
        <w:t>1.5通过CCC检测认证，并提供CCC认证证书。</w:t>
      </w:r>
    </w:p>
    <w:p w14:paraId="6EDF2CE3">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2.底座及框架技术要求：</w:t>
      </w:r>
    </w:p>
    <w:p w14:paraId="70C6BF3F">
      <w:pPr>
        <w:spacing w:line="360" w:lineRule="auto"/>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rPr>
        <w:t>2.1 材质为优质冷轧钢板(SPCC),厚度不低于400mm，表面处理：静电喷塑，涂层厚度不小于60微米；四周包边1.0MM。</w:t>
      </w:r>
    </w:p>
    <w:p w14:paraId="3D1CDC53">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2.2印刷杭州市环境集团有限公司LOGO（彩色）；</w:t>
      </w:r>
    </w:p>
    <w:p w14:paraId="741C6166">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2.3后封板/后开门，前封板/前开门；下面储物隔板，左右上封板；前开门/前封板，后留空。</w:t>
      </w:r>
    </w:p>
    <w:p w14:paraId="33E343D3">
      <w:pPr>
        <w:spacing w:line="360" w:lineRule="auto"/>
        <w:ind w:firstLine="480" w:firstLineChars="200"/>
        <w:rPr>
          <w:rFonts w:hint="eastAsia" w:asciiTheme="minorEastAsia" w:hAnsiTheme="minorEastAsia"/>
          <w:color w:val="auto"/>
          <w:sz w:val="24"/>
          <w:lang w:eastAsia="zh-CN"/>
        </w:rPr>
      </w:pPr>
      <w:r>
        <w:rPr>
          <w:rFonts w:hint="eastAsia" w:asciiTheme="minorEastAsia" w:hAnsiTheme="minorEastAsia"/>
          <w:color w:val="auto"/>
          <w:sz w:val="24"/>
        </w:rPr>
        <w:t>2.4底座及框架整体需要美观整洁，与拼接屏尺寸匹配。表面采用静电喷涂工艺,喷涂固化温度180-210度，涂层厚度80-100微米，防腐耐锈。颜色黑色</w:t>
      </w:r>
      <w:r>
        <w:rPr>
          <w:rFonts w:hint="eastAsia" w:asciiTheme="minorEastAsia" w:hAnsiTheme="minorEastAsia"/>
          <w:color w:val="auto"/>
          <w:sz w:val="24"/>
          <w:lang w:eastAsia="zh-CN"/>
        </w:rPr>
        <w:t>。</w:t>
      </w:r>
    </w:p>
    <w:p w14:paraId="63D0E679">
      <w:pPr>
        <w:spacing w:line="360" w:lineRule="auto"/>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rPr>
        <w:t>2.</w:t>
      </w:r>
      <w:r>
        <w:rPr>
          <w:rFonts w:hint="eastAsia" w:asciiTheme="minorEastAsia" w:hAnsiTheme="minorEastAsia"/>
          <w:color w:val="auto"/>
          <w:sz w:val="24"/>
          <w:lang w:val="en-US" w:eastAsia="zh-CN"/>
        </w:rPr>
        <w:t>5屏幕高度要求：基于承重考虑，屏幕墙放置于地面（不放置于静电地板上）；建议采用焊接25厘米支撑架或采用105厘米底柜的方式，保障屏幕高度距离地面总高度为3.5米，距离静电地板为3.25米。</w:t>
      </w:r>
    </w:p>
    <w:p w14:paraId="5563398A">
      <w:pPr>
        <w:spacing w:line="360" w:lineRule="auto"/>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rPr>
        <w:t>2.</w:t>
      </w:r>
      <w:r>
        <w:rPr>
          <w:rFonts w:hint="eastAsia" w:asciiTheme="minorEastAsia" w:hAnsiTheme="minorEastAsia"/>
          <w:color w:val="auto"/>
          <w:sz w:val="24"/>
          <w:lang w:val="en-US" w:eastAsia="zh-CN"/>
        </w:rPr>
        <w:t>6静电地板需要切割，机柜宽40厘米，静电地板宽60厘米，对该区域静电地板进行切割加工，确保设备安装洞口被静电地板完整覆盖。</w:t>
      </w:r>
    </w:p>
    <w:p w14:paraId="1CD93690">
      <w:pPr>
        <w:spacing w:line="360" w:lineRule="auto"/>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rPr>
        <w:t>2.</w:t>
      </w:r>
      <w:r>
        <w:rPr>
          <w:rFonts w:hint="eastAsia" w:asciiTheme="minorEastAsia" w:hAnsiTheme="minorEastAsia"/>
          <w:color w:val="auto"/>
          <w:sz w:val="24"/>
          <w:lang w:val="en-US" w:eastAsia="zh-CN"/>
        </w:rPr>
        <w:t>7屏幕需预留两组4平方电源线为大屏供电。</w:t>
      </w:r>
    </w:p>
    <w:p w14:paraId="4BFEBED5">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lang w:val="en-US" w:eastAsia="zh-CN"/>
        </w:rPr>
        <w:t>8屏幕包边效果采用白色石膏板进行隔断，踢脚线一并包覆（由招标人安排实施，示意图见图3）。</w:t>
      </w:r>
    </w:p>
    <w:p w14:paraId="2EEF5E0A">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3</w:t>
      </w:r>
      <w:r>
        <w:rPr>
          <w:rFonts w:hint="eastAsia" w:asciiTheme="minorEastAsia" w:hAnsiTheme="minorEastAsia"/>
          <w:color w:val="auto"/>
          <w:sz w:val="24"/>
        </w:rPr>
        <w:t>.视频解码器技术要求：</w:t>
      </w:r>
    </w:p>
    <w:p w14:paraId="2A35C527">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3.1 </w:t>
      </w:r>
      <w:r>
        <w:rPr>
          <w:rFonts w:hint="eastAsia" w:asciiTheme="minorEastAsia" w:hAnsiTheme="minorEastAsia"/>
          <w:color w:val="auto"/>
          <w:sz w:val="24"/>
          <w:lang w:val="en-US" w:eastAsia="zh-CN"/>
        </w:rPr>
        <w:t>8</w:t>
      </w:r>
      <w:r>
        <w:rPr>
          <w:rFonts w:hint="eastAsia" w:asciiTheme="minorEastAsia" w:hAnsiTheme="minorEastAsia"/>
          <w:color w:val="auto"/>
          <w:sz w:val="24"/>
        </w:rPr>
        <w:t>路</w:t>
      </w:r>
      <w:r>
        <w:rPr>
          <w:rFonts w:hint="eastAsia" w:asciiTheme="minorEastAsia" w:hAnsiTheme="minorEastAsia"/>
          <w:color w:val="auto"/>
          <w:sz w:val="24"/>
          <w:lang w:val="en-US" w:eastAsia="zh-CN"/>
        </w:rPr>
        <w:t>HDMI</w:t>
      </w:r>
      <w:r>
        <w:rPr>
          <w:rFonts w:hint="eastAsia" w:asciiTheme="minorEastAsia" w:hAnsiTheme="minorEastAsia"/>
          <w:color w:val="auto"/>
          <w:sz w:val="24"/>
        </w:rPr>
        <w:t>进+</w:t>
      </w:r>
      <w:r>
        <w:rPr>
          <w:rFonts w:hint="eastAsia" w:asciiTheme="minorEastAsia" w:hAnsiTheme="minorEastAsia"/>
          <w:color w:val="auto"/>
          <w:sz w:val="24"/>
          <w:lang w:val="en-US" w:eastAsia="zh-CN"/>
        </w:rPr>
        <w:t>16</w:t>
      </w:r>
      <w:r>
        <w:rPr>
          <w:rFonts w:hint="eastAsia" w:asciiTheme="minorEastAsia" w:hAnsiTheme="minorEastAsia"/>
          <w:color w:val="auto"/>
          <w:sz w:val="24"/>
        </w:rPr>
        <w:t>路HDMI出；</w:t>
      </w:r>
      <w:r>
        <w:rPr>
          <w:rFonts w:hint="eastAsia" w:asciiTheme="minorEastAsia" w:hAnsiTheme="minorEastAsia"/>
          <w:color w:val="auto"/>
          <w:sz w:val="24"/>
          <w:lang w:val="en-US" w:eastAsia="zh-CN"/>
        </w:rPr>
        <w:t>3</w:t>
      </w:r>
      <w:r>
        <w:rPr>
          <w:rFonts w:hint="eastAsia" w:asciiTheme="minorEastAsia" w:hAnsiTheme="minorEastAsia"/>
          <w:color w:val="auto"/>
          <w:sz w:val="24"/>
        </w:rPr>
        <w:t>U标准机箱，标准机架式设计，运营级ATCA机箱系统；插拔式模块化设计，可根据需求灵活选择机型。业务模块支持热插拔、智能风扇自动调温；采用H.26</w:t>
      </w:r>
      <w:r>
        <w:rPr>
          <w:rFonts w:hint="eastAsia" w:asciiTheme="minorEastAsia" w:hAnsiTheme="minorEastAsia"/>
          <w:color w:val="auto"/>
          <w:sz w:val="24"/>
          <w:lang w:val="en-US" w:eastAsia="zh-CN"/>
        </w:rPr>
        <w:t>5</w:t>
      </w:r>
      <w:r>
        <w:rPr>
          <w:rFonts w:hint="eastAsia" w:asciiTheme="minorEastAsia" w:hAnsiTheme="minorEastAsia"/>
          <w:color w:val="auto"/>
          <w:sz w:val="24"/>
        </w:rPr>
        <w:t>视频压缩标准；支持DVI/HDMI/DP/VGA/TVI/3G-SDI/HD-SDI/BNC视频信号接入编码；支持DVI、HDMI输出显示；单输出口支持1/4/6/8/9/16画面分割显示；支持H.265、H.264、MPEG4、MJPEG等主流的编码。</w:t>
      </w:r>
    </w:p>
    <w:p w14:paraId="549ACCDF">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3.2支持视频图像的水平、垂直手动调校及自动微调。</w:t>
      </w:r>
    </w:p>
    <w:p w14:paraId="5974EA84">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3.3提供封面具有CNAS认证标识的公安部报告复印件并加盖原厂公章证明。</w:t>
      </w:r>
    </w:p>
    <w:p w14:paraId="2B17F3B8">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3.4可设置视频码率128Kbps~16384Kbps。窗口支持1/4/6/8/9/16画面分割；最大支持64个预设场景，用户可以自定义每个场景电视墙布局。</w:t>
      </w:r>
    </w:p>
    <w:p w14:paraId="0B12C35C">
      <w:pPr>
        <w:spacing w:line="360" w:lineRule="auto"/>
        <w:ind w:firstLine="480" w:firstLineChars="200"/>
        <w:rPr>
          <w:rFonts w:hint="eastAsia" w:asciiTheme="minorEastAsia" w:hAnsiTheme="minorEastAsia"/>
          <w:color w:val="auto"/>
          <w:sz w:val="24"/>
        </w:rPr>
      </w:pPr>
      <w:r>
        <w:rPr>
          <w:rFonts w:hint="eastAsia" w:asciiTheme="minorEastAsia" w:hAnsiTheme="minorEastAsia"/>
          <w:color w:val="auto"/>
          <w:sz w:val="24"/>
        </w:rPr>
        <w:t>3.5网络前端信号解码输出延时时间应≤650ms；</w:t>
      </w:r>
    </w:p>
    <w:p w14:paraId="438C9DFE">
      <w:pPr>
        <w:spacing w:line="360" w:lineRule="auto"/>
        <w:ind w:firstLine="480" w:firstLineChars="200"/>
        <w:rPr>
          <w:rFonts w:cs="仿宋" w:asciiTheme="minorEastAsia" w:hAnsiTheme="minorEastAsia"/>
          <w:b w:val="0"/>
          <w:color w:val="auto"/>
          <w:sz w:val="24"/>
        </w:rPr>
      </w:pPr>
      <w:r>
        <w:rPr>
          <w:rFonts w:hint="eastAsia" w:asciiTheme="minorEastAsia" w:hAnsiTheme="minorEastAsia"/>
          <w:color w:val="auto"/>
          <w:sz w:val="24"/>
        </w:rPr>
        <w:t>3.6总线类型：PCIE；信号采样质量：YUV420；配置主控板数量：1；配置电源数量：1；整机解码能力：</w:t>
      </w:r>
      <w:r>
        <w:rPr>
          <w:rFonts w:hint="eastAsia" w:asciiTheme="minorEastAsia" w:hAnsiTheme="minorEastAsia"/>
          <w:color w:val="auto"/>
          <w:sz w:val="24"/>
          <w:lang w:val="en-US" w:eastAsia="zh-CN"/>
        </w:rPr>
        <w:t>128</w:t>
      </w:r>
      <w:r>
        <w:rPr>
          <w:rFonts w:hint="eastAsia" w:asciiTheme="minorEastAsia" w:hAnsiTheme="minorEastAsia"/>
          <w:color w:val="auto"/>
          <w:sz w:val="24"/>
        </w:rPr>
        <w:t>路1080P；整机编码能力：</w:t>
      </w:r>
      <w:r>
        <w:rPr>
          <w:rFonts w:hint="eastAsia" w:asciiTheme="minorEastAsia" w:hAnsiTheme="minorEastAsia"/>
          <w:color w:val="auto"/>
          <w:sz w:val="24"/>
          <w:lang w:val="en-US" w:eastAsia="zh-CN"/>
        </w:rPr>
        <w:t>8</w:t>
      </w:r>
      <w:r>
        <w:rPr>
          <w:rFonts w:hint="eastAsia" w:asciiTheme="minorEastAsia" w:hAnsiTheme="minorEastAsia"/>
          <w:color w:val="auto"/>
          <w:sz w:val="24"/>
        </w:rPr>
        <w:t>路1080P；电视墙规模：； 虚拟分屏：支持；开窗数量：16；单口画面分割数：1/4/6/8/9/16/25/36/49/64 ； 视频输入接口类型：</w:t>
      </w:r>
      <w:r>
        <w:rPr>
          <w:rFonts w:hint="eastAsia" w:asciiTheme="minorEastAsia" w:hAnsiTheme="minorEastAsia"/>
          <w:color w:val="auto"/>
          <w:sz w:val="24"/>
          <w:lang w:val="en-US" w:eastAsia="zh-CN"/>
        </w:rPr>
        <w:t>HDMI</w:t>
      </w:r>
      <w:r>
        <w:rPr>
          <w:rFonts w:hint="eastAsia" w:asciiTheme="minorEastAsia" w:hAnsiTheme="minorEastAsia"/>
          <w:color w:val="auto"/>
          <w:sz w:val="24"/>
        </w:rPr>
        <w:t>，视频输入接口数：</w:t>
      </w:r>
      <w:r>
        <w:rPr>
          <w:rFonts w:hint="eastAsia" w:asciiTheme="minorEastAsia" w:hAnsiTheme="minorEastAsia"/>
          <w:color w:val="auto"/>
          <w:sz w:val="24"/>
          <w:lang w:val="en-US" w:eastAsia="zh-CN"/>
        </w:rPr>
        <w:t>8</w:t>
      </w:r>
      <w:r>
        <w:rPr>
          <w:rFonts w:hint="eastAsia" w:asciiTheme="minorEastAsia" w:hAnsiTheme="minorEastAsia"/>
          <w:color w:val="auto"/>
          <w:sz w:val="24"/>
        </w:rPr>
        <w:t>，视频输入分辨率：</w:t>
      </w:r>
      <w:r>
        <w:rPr>
          <w:rFonts w:hint="eastAsia" w:asciiTheme="minorEastAsia" w:hAnsiTheme="minorEastAsia"/>
          <w:color w:val="auto"/>
          <w:sz w:val="24"/>
          <w:lang w:val="en-US" w:eastAsia="zh-CN"/>
        </w:rPr>
        <w:t>HDMI</w:t>
      </w:r>
      <w:r>
        <w:rPr>
          <w:rFonts w:hint="eastAsia" w:asciiTheme="minorEastAsia" w:hAnsiTheme="minorEastAsia"/>
          <w:color w:val="auto"/>
          <w:sz w:val="24"/>
        </w:rPr>
        <w:t xml:space="preserve">：1280 × 720P@60Hz、1280 × 960@60Hz、1680 × 1050@60Hz、1440 × 900@60Hz、1366 × 768@60Hz、 1280 × 1024@60Hz、1024 × 768@60Hz、1600 × 1200@60Hz、1920 ×1080P@60Hz ，视频编码格式：H264/smart 264， 视频编码通道数：4，视频编码能力：4路1080P@30Hz，视频编码分辨率：4路1080P@30Hz ，视频输出接口数：20， 视频输出分辨率：3840x2160@30Hz、1600*1200@60Hz、1920×1080@60Hz、1680×1050@60Hz、1280×720@60Hz、1280×1024@60Hz、1024×768@60Hz ；视频解码格式：H.264、H.265；视频解码通道：160个；视频解码能力：160路1080P；视频解码分辨率：支持176*120 - 4096*4096分辨率解码 ； </w:t>
      </w:r>
      <w:r>
        <w:rPr>
          <w:rFonts w:hint="eastAsia" w:cs="仿宋" w:asciiTheme="minorEastAsia" w:hAnsiTheme="minorEastAsia"/>
          <w:b w:val="0"/>
          <w:color w:val="auto"/>
          <w:sz w:val="24"/>
        </w:rPr>
        <w:t xml:space="preserve"> </w:t>
      </w:r>
    </w:p>
    <w:p w14:paraId="3696C017">
      <w:pPr>
        <w:spacing w:line="360" w:lineRule="auto"/>
        <w:ind w:firstLine="480" w:firstLineChars="200"/>
        <w:rPr>
          <w:rFonts w:hint="eastAsia" w:cs="Arial" w:asciiTheme="minorEastAsia" w:hAnsiTheme="minorEastAsia" w:eastAsiaTheme="minorEastAsia"/>
          <w:snapToGrid w:val="0"/>
          <w:color w:val="auto"/>
          <w:kern w:val="2"/>
          <w:sz w:val="24"/>
          <w:szCs w:val="24"/>
          <w:lang w:val="en-US" w:eastAsia="zh-CN" w:bidi="ar-SA"/>
        </w:rPr>
      </w:pPr>
      <w:r>
        <w:rPr>
          <w:rFonts w:hint="eastAsia" w:asciiTheme="minorEastAsia" w:hAnsiTheme="minorEastAsia"/>
          <w:color w:val="auto"/>
          <w:sz w:val="24"/>
        </w:rPr>
        <w:t>4.乙方所供货物应满足</w:t>
      </w:r>
      <w:r>
        <w:rPr>
          <w:rFonts w:hint="eastAsia" w:asciiTheme="minorEastAsia" w:hAnsiTheme="minorEastAsia"/>
          <w:color w:val="auto"/>
          <w:sz w:val="24"/>
          <w:lang w:val="en-US" w:eastAsia="zh-CN"/>
        </w:rPr>
        <w:t>合同</w:t>
      </w:r>
      <w:r>
        <w:rPr>
          <w:rFonts w:hint="eastAsia" w:asciiTheme="minorEastAsia" w:hAnsiTheme="minorEastAsia"/>
          <w:color w:val="auto"/>
          <w:sz w:val="24"/>
        </w:rPr>
        <w:t>要求，若为非标件的货物应以满足乙方要求为基本质量</w:t>
      </w:r>
      <w:r>
        <w:rPr>
          <w:rFonts w:hint="eastAsia" w:cs="Arial" w:asciiTheme="minorEastAsia" w:hAnsiTheme="minorEastAsia" w:eastAsiaTheme="minorEastAsia"/>
          <w:snapToGrid w:val="0"/>
          <w:color w:val="auto"/>
          <w:kern w:val="2"/>
          <w:sz w:val="24"/>
          <w:szCs w:val="24"/>
          <w:lang w:val="en-US" w:eastAsia="zh-CN" w:bidi="ar-SA"/>
        </w:rPr>
        <w:t>标准。如有国家、地方、行业标准、规范（含强制适用标准、规范和推荐适用标准、规范）的，按相应标准、规范执行（不同标准、规范之间要求不一的，按要求较高者执行。</w:t>
      </w:r>
    </w:p>
    <w:p w14:paraId="03056711">
      <w:pPr>
        <w:pStyle w:val="7"/>
        <w:ind w:firstLine="480" w:firstLineChars="200"/>
        <w:rPr>
          <w:rFonts w:hint="eastAsia" w:cs="Arial" w:asciiTheme="minorEastAsia" w:hAnsiTheme="minorEastAsia" w:eastAsiaTheme="minorEastAsia"/>
          <w:snapToGrid w:val="0"/>
          <w:color w:val="auto"/>
          <w:kern w:val="2"/>
          <w:sz w:val="24"/>
          <w:szCs w:val="24"/>
          <w:lang w:val="en-US" w:eastAsia="zh-CN" w:bidi="ar-SA"/>
        </w:rPr>
      </w:pPr>
      <w:r>
        <w:rPr>
          <w:rFonts w:hint="eastAsia" w:cs="Arial" w:asciiTheme="minorEastAsia" w:hAnsiTheme="minorEastAsia"/>
          <w:snapToGrid w:val="0"/>
          <w:color w:val="auto"/>
          <w:kern w:val="2"/>
          <w:sz w:val="24"/>
          <w:szCs w:val="24"/>
          <w:lang w:val="en-US" w:eastAsia="zh-CN" w:bidi="ar-SA"/>
        </w:rPr>
        <w:t>5</w:t>
      </w:r>
      <w:r>
        <w:rPr>
          <w:rFonts w:hint="eastAsia" w:cs="Arial" w:asciiTheme="minorEastAsia" w:hAnsiTheme="minorEastAsia" w:eastAsiaTheme="minorEastAsia"/>
          <w:snapToGrid w:val="0"/>
          <w:color w:val="auto"/>
          <w:kern w:val="2"/>
          <w:sz w:val="24"/>
          <w:szCs w:val="24"/>
          <w:lang w:val="en-US" w:eastAsia="zh-CN" w:bidi="ar-SA"/>
        </w:rPr>
        <w:t>.乙方所供货物必须与甲方现有的设备相适配，满足甲方现有设备要求，若不满足的，乙方必须予以更换至满足现场要求为止。</w:t>
      </w:r>
    </w:p>
    <w:p w14:paraId="59280BDD">
      <w:pPr>
        <w:spacing w:line="360" w:lineRule="auto"/>
        <w:ind w:firstLine="480" w:firstLineChars="200"/>
        <w:outlineLvl w:val="0"/>
        <w:rPr>
          <w:rFonts w:hint="eastAsia" w:cs="Arial" w:asciiTheme="minorEastAsia" w:hAnsiTheme="minorEastAsia" w:eastAsiaTheme="minorEastAsia"/>
          <w:snapToGrid w:val="0"/>
          <w:color w:val="auto"/>
          <w:kern w:val="2"/>
          <w:sz w:val="24"/>
          <w:szCs w:val="24"/>
          <w:lang w:val="en-US" w:eastAsia="zh-CN" w:bidi="ar-SA"/>
        </w:rPr>
      </w:pPr>
      <w:r>
        <w:rPr>
          <w:rFonts w:hint="eastAsia" w:cs="Arial" w:asciiTheme="minorEastAsia" w:hAnsiTheme="minorEastAsia"/>
          <w:snapToGrid w:val="0"/>
          <w:color w:val="auto"/>
          <w:kern w:val="2"/>
          <w:sz w:val="24"/>
          <w:szCs w:val="24"/>
          <w:lang w:val="en-US" w:eastAsia="zh-CN" w:bidi="ar-SA"/>
        </w:rPr>
        <w:t>6</w:t>
      </w:r>
      <w:r>
        <w:rPr>
          <w:rFonts w:hint="eastAsia" w:cs="Arial" w:asciiTheme="minorEastAsia" w:hAnsiTheme="minorEastAsia" w:eastAsiaTheme="minorEastAsia"/>
          <w:snapToGrid w:val="0"/>
          <w:color w:val="auto"/>
          <w:kern w:val="2"/>
          <w:sz w:val="24"/>
          <w:szCs w:val="24"/>
          <w:lang w:val="en-US" w:eastAsia="zh-CN" w:bidi="ar-SA"/>
        </w:rPr>
        <w:t>.质保期限为自验收合格后三年。若在验收合格后30日内出现性能故障，</w:t>
      </w:r>
      <w:r>
        <w:rPr>
          <w:rFonts w:hint="eastAsia" w:cs="Arial" w:asciiTheme="minorEastAsia" w:hAnsiTheme="minorEastAsia"/>
          <w:snapToGrid w:val="0"/>
          <w:color w:val="auto"/>
          <w:kern w:val="2"/>
          <w:sz w:val="24"/>
          <w:szCs w:val="24"/>
          <w:lang w:val="en-US" w:eastAsia="zh-CN" w:bidi="ar-SA"/>
        </w:rPr>
        <w:t>乙方</w:t>
      </w:r>
      <w:r>
        <w:rPr>
          <w:rFonts w:hint="eastAsia" w:cs="Arial" w:asciiTheme="minorEastAsia" w:hAnsiTheme="minorEastAsia" w:eastAsiaTheme="minorEastAsia"/>
          <w:snapToGrid w:val="0"/>
          <w:color w:val="auto"/>
          <w:kern w:val="2"/>
          <w:sz w:val="24"/>
          <w:szCs w:val="24"/>
          <w:lang w:val="en-US" w:eastAsia="zh-CN" w:bidi="ar-SA"/>
        </w:rPr>
        <w:t>须免费更换新件；若超过在验收合格后30日出现性能故障的，</w:t>
      </w:r>
      <w:r>
        <w:rPr>
          <w:rFonts w:hint="eastAsia" w:cs="Arial" w:asciiTheme="minorEastAsia" w:hAnsiTheme="minorEastAsia"/>
          <w:snapToGrid w:val="0"/>
          <w:color w:val="auto"/>
          <w:kern w:val="2"/>
          <w:sz w:val="24"/>
          <w:szCs w:val="24"/>
          <w:lang w:val="en-US" w:eastAsia="zh-CN" w:bidi="ar-SA"/>
        </w:rPr>
        <w:t>乙方</w:t>
      </w:r>
      <w:r>
        <w:rPr>
          <w:rFonts w:hint="eastAsia" w:cs="Arial" w:asciiTheme="minorEastAsia" w:hAnsiTheme="minorEastAsia" w:eastAsiaTheme="minorEastAsia"/>
          <w:snapToGrid w:val="0"/>
          <w:color w:val="auto"/>
          <w:kern w:val="2"/>
          <w:sz w:val="24"/>
          <w:szCs w:val="24"/>
          <w:lang w:val="en-US" w:eastAsia="zh-CN" w:bidi="ar-SA"/>
        </w:rPr>
        <w:t>提供免费维修服务，同时须提供备用件满足现场使用。质保期内，若同一设备或者备件因同样的问题出现超2次性能故障，</w:t>
      </w:r>
      <w:r>
        <w:rPr>
          <w:rFonts w:hint="eastAsia" w:cs="Arial" w:asciiTheme="minorEastAsia" w:hAnsiTheme="minorEastAsia"/>
          <w:snapToGrid w:val="0"/>
          <w:color w:val="auto"/>
          <w:kern w:val="2"/>
          <w:sz w:val="24"/>
          <w:szCs w:val="24"/>
          <w:lang w:val="en-US" w:eastAsia="zh-CN" w:bidi="ar-SA"/>
        </w:rPr>
        <w:t>乙方</w:t>
      </w:r>
      <w:r>
        <w:rPr>
          <w:rFonts w:hint="eastAsia" w:cs="Arial" w:asciiTheme="minorEastAsia" w:hAnsiTheme="minorEastAsia" w:eastAsiaTheme="minorEastAsia"/>
          <w:snapToGrid w:val="0"/>
          <w:color w:val="auto"/>
          <w:kern w:val="2"/>
          <w:sz w:val="24"/>
          <w:szCs w:val="24"/>
          <w:lang w:val="en-US" w:eastAsia="zh-CN" w:bidi="ar-SA"/>
        </w:rPr>
        <w:t>须免费更换新设备。</w:t>
      </w:r>
    </w:p>
    <w:p w14:paraId="45371014">
      <w:pPr>
        <w:spacing w:line="360" w:lineRule="auto"/>
        <w:ind w:firstLine="482" w:firstLineChars="200"/>
        <w:outlineLvl w:val="0"/>
        <w:rPr>
          <w:rFonts w:cs="宋体" w:asciiTheme="minorEastAsia" w:hAnsiTheme="minorEastAsia"/>
          <w:b/>
          <w:color w:val="auto"/>
          <w:sz w:val="24"/>
        </w:rPr>
      </w:pPr>
      <w:r>
        <w:rPr>
          <w:rFonts w:hint="eastAsia" w:cs="宋体" w:asciiTheme="minorEastAsia" w:hAnsiTheme="minorEastAsia"/>
          <w:b/>
          <w:color w:val="auto"/>
          <w:sz w:val="24"/>
        </w:rPr>
        <w:t>五、服务要求</w:t>
      </w:r>
    </w:p>
    <w:p w14:paraId="0C0CC405">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1.乙方在确定成交后，需对现场进行查看并制定作业方案，甲方审核通过方可实施。</w:t>
      </w:r>
    </w:p>
    <w:p w14:paraId="719FB4E3">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2.乙方负责在接到甲方电话或书面通知后在30天内完成安装调试。</w:t>
      </w:r>
    </w:p>
    <w:p w14:paraId="2F7B8205">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3</w:t>
      </w:r>
      <w:r>
        <w:rPr>
          <w:rFonts w:hint="eastAsia" w:asciiTheme="minorEastAsia" w:hAnsiTheme="minorEastAsia"/>
          <w:color w:val="auto"/>
          <w:szCs w:val="24"/>
          <w:lang w:val="en-US"/>
        </w:rPr>
        <w:t>.由</w:t>
      </w:r>
      <w:r>
        <w:rPr>
          <w:rFonts w:hint="eastAsia" w:asciiTheme="minorEastAsia" w:hAnsiTheme="minorEastAsia"/>
          <w:color w:val="auto"/>
          <w:szCs w:val="24"/>
          <w:lang w:val="en-US" w:eastAsia="zh-CN"/>
        </w:rPr>
        <w:t>甲方</w:t>
      </w:r>
      <w:r>
        <w:rPr>
          <w:rFonts w:hint="eastAsia" w:asciiTheme="minorEastAsia" w:hAnsiTheme="minorEastAsia"/>
          <w:color w:val="auto"/>
          <w:szCs w:val="24"/>
          <w:lang w:val="en-US"/>
        </w:rPr>
        <w:t>提供2根监控视频信号线输入，</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负责信号输出。</w:t>
      </w:r>
    </w:p>
    <w:p w14:paraId="1034177A">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4</w:t>
      </w:r>
      <w:r>
        <w:rPr>
          <w:rFonts w:hint="eastAsia" w:asciiTheme="minorEastAsia" w:hAnsiTheme="minorEastAsia"/>
          <w:color w:val="auto"/>
          <w:szCs w:val="24"/>
          <w:lang w:val="en-US"/>
        </w:rPr>
        <w:t>.</w:t>
      </w:r>
      <w:r>
        <w:rPr>
          <w:rFonts w:hint="eastAsia" w:asciiTheme="minorEastAsia" w:hAnsiTheme="minorEastAsia"/>
          <w:color w:val="auto"/>
          <w:szCs w:val="24"/>
          <w:lang w:val="en-US" w:eastAsia="zh-CN"/>
        </w:rPr>
        <w:t>乙方负责</w:t>
      </w:r>
      <w:r>
        <w:rPr>
          <w:rFonts w:hint="eastAsia" w:asciiTheme="minorEastAsia" w:hAnsiTheme="minorEastAsia"/>
          <w:color w:val="auto"/>
          <w:szCs w:val="24"/>
          <w:lang w:val="en-US"/>
        </w:rPr>
        <w:t>本项目的</w:t>
      </w:r>
      <w:r>
        <w:rPr>
          <w:rFonts w:hint="eastAsia" w:asciiTheme="minorEastAsia" w:hAnsiTheme="minorEastAsia"/>
          <w:color w:val="auto"/>
          <w:szCs w:val="24"/>
          <w:lang w:val="en-US" w:eastAsia="zh-CN"/>
        </w:rPr>
        <w:t>货物</w:t>
      </w:r>
      <w:r>
        <w:rPr>
          <w:rFonts w:hint="eastAsia" w:asciiTheme="minorEastAsia" w:hAnsiTheme="minorEastAsia"/>
          <w:color w:val="auto"/>
          <w:szCs w:val="24"/>
          <w:lang w:val="en-US"/>
        </w:rPr>
        <w:t>运输、大屏安装和调试、光纤铺设、光纤熔接、打孔、现场恢复等内容，均含在本次采购范围内，</w:t>
      </w:r>
      <w:r>
        <w:rPr>
          <w:rFonts w:hint="eastAsia" w:asciiTheme="minorEastAsia" w:hAnsiTheme="minorEastAsia"/>
          <w:color w:val="auto"/>
          <w:szCs w:val="24"/>
          <w:lang w:val="en-US" w:eastAsia="zh-CN"/>
        </w:rPr>
        <w:t>甲方</w:t>
      </w:r>
      <w:r>
        <w:rPr>
          <w:rFonts w:hint="eastAsia" w:asciiTheme="minorEastAsia" w:hAnsiTheme="minorEastAsia"/>
          <w:color w:val="auto"/>
          <w:szCs w:val="24"/>
          <w:lang w:val="en-US"/>
        </w:rPr>
        <w:t>不额外支付费用。若因</w:t>
      </w:r>
      <w:r>
        <w:rPr>
          <w:rFonts w:hint="eastAsia" w:asciiTheme="minorEastAsia" w:hAnsiTheme="minorEastAsia"/>
          <w:color w:val="auto"/>
          <w:szCs w:val="24"/>
          <w:lang w:val="en-US" w:eastAsia="zh-CN"/>
        </w:rPr>
        <w:t>甲方</w:t>
      </w:r>
      <w:r>
        <w:rPr>
          <w:rFonts w:hint="eastAsia" w:asciiTheme="minorEastAsia" w:hAnsiTheme="minorEastAsia"/>
          <w:color w:val="auto"/>
          <w:szCs w:val="24"/>
          <w:lang w:val="en-US"/>
        </w:rPr>
        <w:t>另外增加需求，双方另行协商。</w:t>
      </w:r>
    </w:p>
    <w:p w14:paraId="6FB598F9">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eastAsia="zh-CN"/>
        </w:rPr>
        <w:t>5</w:t>
      </w:r>
      <w:r>
        <w:rPr>
          <w:rFonts w:hint="eastAsia" w:asciiTheme="minorEastAsia" w:hAnsiTheme="minorEastAsia"/>
          <w:color w:val="auto"/>
          <w:szCs w:val="24"/>
          <w:lang w:val="en-US"/>
        </w:rPr>
        <w:t>.乙方应满足甲方的现场管理制度要求，遵守国家、行业、地方法律法规，不得违章作业，出现任何人员安全事故由乙方自行承担。</w:t>
      </w:r>
    </w:p>
    <w:p w14:paraId="022B7A25">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eastAsia="zh-CN"/>
        </w:rPr>
        <w:t>6</w:t>
      </w:r>
      <w:r>
        <w:rPr>
          <w:rFonts w:hint="eastAsia" w:asciiTheme="minorEastAsia" w:hAnsiTheme="minorEastAsia"/>
          <w:color w:val="auto"/>
          <w:szCs w:val="24"/>
          <w:lang w:val="en-US"/>
        </w:rPr>
        <w:t>.乙方在服务期间自备安装设备专用工具和服务人员的所有劳防用品。</w:t>
      </w:r>
    </w:p>
    <w:p w14:paraId="1085DC0F">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7</w:t>
      </w:r>
      <w:r>
        <w:rPr>
          <w:rFonts w:hint="eastAsia" w:asciiTheme="minorEastAsia" w:hAnsiTheme="minorEastAsia"/>
          <w:color w:val="auto"/>
          <w:szCs w:val="24"/>
          <w:lang w:val="en-US"/>
        </w:rPr>
        <w:t>.乙方在</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过程中应负责对甲方生产场地的保护，与</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区域无关进行必要隔离，若造成损坏应负责修复或赔偿。对</w:t>
      </w:r>
      <w:r>
        <w:rPr>
          <w:rFonts w:hint="eastAsia" w:asciiTheme="minorEastAsia" w:hAnsiTheme="minorEastAsia"/>
          <w:color w:val="auto"/>
          <w:szCs w:val="24"/>
          <w:lang w:val="en-US" w:eastAsia="zh-CN"/>
        </w:rPr>
        <w:t>安装</w:t>
      </w:r>
      <w:r>
        <w:rPr>
          <w:rFonts w:hint="eastAsia" w:asciiTheme="minorEastAsia" w:hAnsiTheme="minorEastAsia"/>
          <w:color w:val="auto"/>
          <w:szCs w:val="24"/>
          <w:lang w:val="en-US"/>
        </w:rPr>
        <w:t>区域必须做到工完料尽场地清。</w:t>
      </w:r>
    </w:p>
    <w:p w14:paraId="378B12F1">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8</w:t>
      </w:r>
      <w:r>
        <w:rPr>
          <w:rFonts w:hint="eastAsia" w:asciiTheme="minorEastAsia" w:hAnsiTheme="minorEastAsia"/>
          <w:color w:val="auto"/>
          <w:szCs w:val="24"/>
          <w:lang w:val="en-US"/>
        </w:rPr>
        <w:t>.保密服务要求：</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对甲方提供的所有业务技术资料、文档，有责任对第三方保密；乙方在供货过程中涉及第三方产品（乙方提供的），若出现技术、经济或法律上的纠纷，应由乙方全面承担并解决，确保不影响项目的进度。</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应严格遵守甲方关于保密方面的规定，自觉保守甲方的商业秘密。甲方为方便项目实施所提供给</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的工作流程、管理模式、规程、程序等相关文档资料、文档、数据均属于甲方所有。未经甲方授权同意，</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不得另作他用。因</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原因导致上述资料、文档、数据或甲方商业秘密泄露的，甲方有权要求</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采取措施消除影响并赔偿甲方损失。</w:t>
      </w:r>
    </w:p>
    <w:p w14:paraId="5E533510">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eastAsia="zh-CN"/>
        </w:rPr>
        <w:t>9</w:t>
      </w:r>
      <w:r>
        <w:rPr>
          <w:rFonts w:hint="eastAsia" w:asciiTheme="minorEastAsia" w:hAnsiTheme="minorEastAsia"/>
          <w:color w:val="auto"/>
          <w:szCs w:val="24"/>
          <w:lang w:val="en-US"/>
        </w:rPr>
        <w:t>.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454A29EA">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eastAsia="zh-CN"/>
        </w:rPr>
        <w:t>10</w:t>
      </w:r>
      <w:r>
        <w:rPr>
          <w:rFonts w:hint="eastAsia" w:asciiTheme="minorEastAsia" w:hAnsiTheme="minorEastAsia"/>
          <w:color w:val="auto"/>
          <w:szCs w:val="24"/>
          <w:lang w:val="en-US"/>
        </w:rPr>
        <w:t>.甲方不再对任何售后服务进行付费。乙方的派遣人员产生的一切费用由乙方承担。</w:t>
      </w:r>
    </w:p>
    <w:p w14:paraId="1123AD3E">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11</w:t>
      </w:r>
      <w:r>
        <w:rPr>
          <w:rFonts w:hint="eastAsia" w:asciiTheme="minorEastAsia" w:hAnsiTheme="minorEastAsia"/>
          <w:color w:val="auto"/>
          <w:szCs w:val="24"/>
          <w:lang w:val="en-US"/>
        </w:rPr>
        <w:t>.乙方提供的货物或者服务在使用过程中，因质量问题给机械设备造成故障或货物损坏，由乙方承担甲方的一切损失，包括直接和间接损失。</w:t>
      </w:r>
    </w:p>
    <w:p w14:paraId="6201AF96">
      <w:pPr>
        <w:spacing w:line="360" w:lineRule="auto"/>
        <w:ind w:firstLine="482" w:firstLineChars="200"/>
        <w:outlineLvl w:val="0"/>
        <w:rPr>
          <w:rFonts w:cs="宋体" w:asciiTheme="minorEastAsia" w:hAnsiTheme="minorEastAsia"/>
          <w:b/>
          <w:color w:val="auto"/>
          <w:sz w:val="24"/>
        </w:rPr>
      </w:pPr>
      <w:r>
        <w:rPr>
          <w:rFonts w:hint="eastAsia" w:cs="宋体" w:asciiTheme="minorEastAsia" w:hAnsiTheme="minorEastAsia"/>
          <w:b/>
          <w:color w:val="auto"/>
          <w:sz w:val="24"/>
        </w:rPr>
        <w:t>六、验收方式及要求</w:t>
      </w:r>
    </w:p>
    <w:bookmarkEnd w:id="393"/>
    <w:bookmarkEnd w:id="394"/>
    <w:bookmarkEnd w:id="395"/>
    <w:p w14:paraId="1CB57DFD">
      <w:pPr>
        <w:pStyle w:val="7"/>
        <w:ind w:firstLine="480" w:firstLineChars="200"/>
        <w:rPr>
          <w:rFonts w:cs="宋体" w:asciiTheme="minorEastAsia" w:hAnsiTheme="minorEastAsia"/>
          <w:strike/>
          <w:color w:val="auto"/>
          <w:sz w:val="24"/>
        </w:rPr>
      </w:pPr>
      <w:r>
        <w:rPr>
          <w:rFonts w:hint="eastAsia" w:cs="宋体" w:asciiTheme="minorEastAsia" w:hAnsiTheme="minorEastAsia"/>
          <w:color w:val="auto"/>
          <w:szCs w:val="24"/>
        </w:rPr>
        <w:t>1.货物交付前，乙方应对货物的质量、数量等方面进行详细、全面的检验，</w:t>
      </w:r>
      <w:r>
        <w:rPr>
          <w:rFonts w:hint="eastAsia" w:cs="宋体" w:asciiTheme="minorEastAsia" w:hAnsiTheme="minorEastAsia"/>
          <w:color w:val="auto"/>
          <w:szCs w:val="24"/>
          <w:lang w:val="en-US"/>
        </w:rPr>
        <w:t>并填制送货清单</w:t>
      </w:r>
      <w:r>
        <w:rPr>
          <w:rFonts w:hint="eastAsia" w:cs="宋体" w:asciiTheme="minorEastAsia" w:hAnsiTheme="minorEastAsia"/>
          <w:color w:val="auto"/>
          <w:szCs w:val="24"/>
          <w:lang w:val="en-US" w:eastAsia="zh-CN"/>
        </w:rPr>
        <w:t>，</w:t>
      </w:r>
      <w:r>
        <w:rPr>
          <w:rFonts w:hint="eastAsia" w:cs="宋体" w:asciiTheme="minorEastAsia" w:hAnsiTheme="minorEastAsia"/>
          <w:color w:val="auto"/>
          <w:szCs w:val="24"/>
        </w:rPr>
        <w:t>并</w:t>
      </w:r>
      <w:r>
        <w:rPr>
          <w:rFonts w:hint="eastAsia" w:cs="宋体" w:asciiTheme="minorEastAsia" w:hAnsiTheme="minorEastAsia"/>
          <w:color w:val="auto"/>
          <w:szCs w:val="24"/>
          <w:lang w:val="en-US"/>
        </w:rPr>
        <w:t>随货</w:t>
      </w:r>
      <w:r>
        <w:rPr>
          <w:rFonts w:hint="eastAsia" w:cs="宋体" w:asciiTheme="minorEastAsia" w:hAnsiTheme="minorEastAsia"/>
          <w:color w:val="auto"/>
          <w:szCs w:val="24"/>
        </w:rPr>
        <w:t>向甲方</w:t>
      </w:r>
      <w:r>
        <w:rPr>
          <w:rFonts w:hint="eastAsia" w:cs="宋体" w:asciiTheme="minorEastAsia" w:hAnsiTheme="minorEastAsia"/>
          <w:color w:val="auto"/>
          <w:szCs w:val="24"/>
          <w:lang w:val="en-US"/>
        </w:rPr>
        <w:t>验收人员</w:t>
      </w:r>
      <w:r>
        <w:rPr>
          <w:rFonts w:hint="eastAsia" w:cs="宋体" w:asciiTheme="minorEastAsia" w:hAnsiTheme="minorEastAsia"/>
          <w:b/>
          <w:bCs/>
          <w:color w:val="auto"/>
          <w:szCs w:val="24"/>
          <w:u w:val="single"/>
        </w:rPr>
        <w:t>出具证明货物符合合同约定的文件</w:t>
      </w:r>
      <w:r>
        <w:rPr>
          <w:rFonts w:hint="eastAsia" w:cs="宋体" w:asciiTheme="minorEastAsia" w:hAnsiTheme="minorEastAsia"/>
          <w:color w:val="auto"/>
          <w:szCs w:val="24"/>
        </w:rPr>
        <w:t>，</w:t>
      </w:r>
      <w:r>
        <w:rPr>
          <w:rFonts w:hint="eastAsia" w:asciiTheme="minorEastAsia" w:hAnsiTheme="minorEastAsia"/>
          <w:b/>
          <w:bCs/>
          <w:color w:val="auto"/>
          <w:szCs w:val="24"/>
          <w:lang w:val="en-US"/>
        </w:rPr>
        <w:t>并加盖公章或者销售章</w:t>
      </w:r>
      <w:r>
        <w:rPr>
          <w:rFonts w:hint="eastAsia" w:asciiTheme="minorEastAsia" w:hAnsiTheme="minorEastAsia"/>
          <w:color w:val="auto"/>
          <w:szCs w:val="24"/>
          <w:lang w:val="en-US"/>
        </w:rPr>
        <w:t>。</w:t>
      </w:r>
      <w:r>
        <w:rPr>
          <w:rFonts w:hint="eastAsia" w:cs="宋体" w:asciiTheme="minorEastAsia" w:hAnsiTheme="minorEastAsia"/>
          <w:color w:val="auto"/>
          <w:sz w:val="24"/>
        </w:rPr>
        <w:t>证明货物符合合同约定的文件是指包括但不限于合格证、检测报告（制造厂家或者第三方机构）等证明材料。</w:t>
      </w:r>
    </w:p>
    <w:p w14:paraId="3B1DB5D6">
      <w:pPr>
        <w:tabs>
          <w:tab w:val="left" w:pos="360"/>
          <w:tab w:val="left" w:pos="540"/>
          <w:tab w:val="left" w:pos="1080"/>
        </w:tabs>
        <w:spacing w:line="360" w:lineRule="auto"/>
        <w:ind w:firstLine="480" w:firstLineChars="200"/>
        <w:rPr>
          <w:rFonts w:cs="宋体" w:asciiTheme="minorEastAsia" w:hAnsiTheme="minorEastAsia"/>
          <w:b/>
          <w:bCs/>
          <w:color w:val="auto"/>
          <w:sz w:val="24"/>
        </w:rPr>
      </w:pPr>
      <w:r>
        <w:rPr>
          <w:rFonts w:hint="eastAsia" w:cs="宋体" w:asciiTheme="minorEastAsia" w:hAnsiTheme="minorEastAsia"/>
          <w:color w:val="auto"/>
          <w:sz w:val="24"/>
        </w:rPr>
        <w:t>2.货物交付时，甲方在</w:t>
      </w:r>
      <w:r>
        <w:rPr>
          <w:rFonts w:hint="eastAsia" w:cs="宋体" w:asciiTheme="minorEastAsia" w:hAnsiTheme="minorEastAsia"/>
          <w:b/>
          <w:color w:val="auto"/>
          <w:sz w:val="24"/>
          <w:u w:val="single"/>
        </w:rPr>
        <w:t>3个工作日</w:t>
      </w:r>
      <w:r>
        <w:rPr>
          <w:rFonts w:hint="eastAsia" w:cs="宋体" w:asciiTheme="minorEastAsia" w:hAnsiTheme="minorEastAsia"/>
          <w:color w:val="auto"/>
          <w:sz w:val="24"/>
        </w:rPr>
        <w:t>内组织验收（</w:t>
      </w:r>
      <w:r>
        <w:rPr>
          <w:rFonts w:hint="eastAsia" w:cs="宋体" w:asciiTheme="minorEastAsia" w:hAnsiTheme="minorEastAsia"/>
          <w:b/>
          <w:bCs/>
          <w:color w:val="auto"/>
          <w:sz w:val="24"/>
        </w:rPr>
        <w:t>若有验收特别约定的，按特别约定条款执行</w:t>
      </w:r>
      <w:r>
        <w:rPr>
          <w:rFonts w:hint="eastAsia" w:cs="宋体" w:asciiTheme="minorEastAsia" w:hAnsiTheme="minorEastAsia"/>
          <w:color w:val="auto"/>
          <w:sz w:val="24"/>
        </w:rPr>
        <w:t>），验收应出具</w:t>
      </w:r>
      <w:r>
        <w:rPr>
          <w:rFonts w:hint="eastAsia" w:cs="宋体" w:asciiTheme="minorEastAsia" w:hAnsiTheme="minorEastAsia"/>
          <w:b/>
          <w:bCs/>
          <w:color w:val="auto"/>
          <w:sz w:val="24"/>
          <w:u w:val="single"/>
        </w:rPr>
        <w:t>验收单</w:t>
      </w:r>
      <w:r>
        <w:rPr>
          <w:rFonts w:hint="eastAsia" w:cs="宋体" w:asciiTheme="minorEastAsia" w:hAnsiTheme="minorEastAsia"/>
          <w:color w:val="auto"/>
          <w:sz w:val="24"/>
          <w:u w:val="single"/>
        </w:rPr>
        <w:t>（</w:t>
      </w:r>
      <w:r>
        <w:rPr>
          <w:rFonts w:hint="eastAsia" w:cs="宋体" w:asciiTheme="minorEastAsia" w:hAnsiTheme="minorEastAsia"/>
          <w:color w:val="auto"/>
          <w:sz w:val="24"/>
        </w:rPr>
        <w:t>如因货物检测需要更长时间的，组织验收时间为自货物交付之日起至甲方收到检测报告后3个工作日内）</w:t>
      </w:r>
      <w:r>
        <w:rPr>
          <w:rFonts w:hint="eastAsia" w:cs="宋体" w:asciiTheme="minorEastAsia" w:hAnsiTheme="minorEastAsia"/>
          <w:b/>
          <w:bCs/>
          <w:color w:val="auto"/>
          <w:sz w:val="24"/>
        </w:rPr>
        <w:t>。</w:t>
      </w:r>
      <w:r>
        <w:rPr>
          <w:rFonts w:hint="eastAsia" w:cs="宋体" w:asciiTheme="minorEastAsia" w:hAnsiTheme="minorEastAsia"/>
          <w:color w:val="auto"/>
          <w:sz w:val="24"/>
        </w:rPr>
        <w:t>若甲方认为有必要可邀请相关方参加。</w:t>
      </w:r>
    </w:p>
    <w:p w14:paraId="72A6C919">
      <w:pPr>
        <w:pStyle w:val="8"/>
        <w:ind w:firstLine="480" w:firstLineChars="200"/>
        <w:rPr>
          <w:rFonts w:cs="Arial" w:asciiTheme="minorEastAsia" w:hAnsiTheme="minorEastAsia"/>
          <w:snapToGrid w:val="0"/>
          <w:color w:val="auto"/>
          <w:szCs w:val="24"/>
          <w:lang w:val="en-US"/>
        </w:rPr>
      </w:pPr>
      <w:r>
        <w:rPr>
          <w:rFonts w:hint="eastAsia" w:asciiTheme="minorEastAsia" w:hAnsiTheme="minorEastAsia"/>
          <w:color w:val="auto"/>
          <w:szCs w:val="24"/>
          <w:lang w:val="en-US"/>
        </w:rPr>
        <w:t>3.对验收不合格的货物，需在</w:t>
      </w:r>
      <w:r>
        <w:rPr>
          <w:rFonts w:hint="eastAsia" w:asciiTheme="minorEastAsia" w:hAnsiTheme="minorEastAsia"/>
          <w:color w:val="auto"/>
          <w:szCs w:val="24"/>
          <w:u w:val="single"/>
          <w:lang w:val="en-US"/>
        </w:rPr>
        <w:t>5个工作日内</w:t>
      </w:r>
      <w:r>
        <w:rPr>
          <w:rFonts w:hint="eastAsia" w:asciiTheme="minorEastAsia" w:hAnsiTheme="minorEastAsia"/>
          <w:color w:val="auto"/>
          <w:szCs w:val="24"/>
          <w:lang w:val="en-US"/>
        </w:rPr>
        <w:t>完成退换货（特殊情况的须及时更换），超过时间期限未及时取回货物的，甲方有权将按</w:t>
      </w:r>
      <w:r>
        <w:rPr>
          <w:rFonts w:hint="eastAsia" w:asciiTheme="minorEastAsia" w:hAnsiTheme="minorEastAsia"/>
          <w:color w:val="auto"/>
          <w:szCs w:val="24"/>
          <w:u w:val="single"/>
          <w:lang w:val="en-US"/>
        </w:rPr>
        <w:t>200元/天</w:t>
      </w:r>
      <w:r>
        <w:rPr>
          <w:rFonts w:hint="eastAsia" w:asciiTheme="minorEastAsia" w:hAnsiTheme="minorEastAsia"/>
          <w:color w:val="auto"/>
          <w:szCs w:val="24"/>
          <w:lang w:val="en-US"/>
        </w:rPr>
        <w:t>收取场地费，从应付货款或者履约保证金扣除。</w:t>
      </w:r>
    </w:p>
    <w:p w14:paraId="4C434D09">
      <w:pPr>
        <w:pStyle w:val="7"/>
        <w:ind w:firstLine="480" w:firstLineChars="200"/>
        <w:rPr>
          <w:rFonts w:asciiTheme="minorEastAsia" w:hAnsiTheme="minorEastAsia"/>
          <w:color w:val="auto"/>
          <w:szCs w:val="24"/>
          <w:lang w:val="en-US"/>
        </w:rPr>
      </w:pPr>
      <w:r>
        <w:rPr>
          <w:rFonts w:hint="eastAsia" w:asciiTheme="minorEastAsia" w:hAnsiTheme="minorEastAsia"/>
          <w:color w:val="auto"/>
          <w:szCs w:val="24"/>
          <w:lang w:val="en-US"/>
        </w:rPr>
        <w:t>4.乙方提供本项目系统、设备的所有纸质技术资料。</w:t>
      </w:r>
    </w:p>
    <w:p w14:paraId="0B6AB288">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rPr>
        <w:t>5.</w:t>
      </w:r>
      <w:r>
        <w:rPr>
          <w:rFonts w:hint="eastAsia" w:asciiTheme="minorEastAsia" w:hAnsiTheme="minorEastAsia"/>
          <w:color w:val="auto"/>
          <w:szCs w:val="24"/>
          <w:lang w:val="en-US" w:eastAsia="zh-CN"/>
        </w:rPr>
        <w:t>乙方</w:t>
      </w:r>
      <w:r>
        <w:rPr>
          <w:rFonts w:hint="eastAsia" w:asciiTheme="minorEastAsia" w:hAnsiTheme="minorEastAsia"/>
          <w:color w:val="auto"/>
          <w:szCs w:val="24"/>
          <w:lang w:val="en-US"/>
        </w:rPr>
        <w:t>在安装调试完成后，中控大屏系统需进行“72+24”小时试运行，若试运行期间设备运行正常、显示正常视为验收合格。</w:t>
      </w:r>
    </w:p>
    <w:p w14:paraId="1E42ED33">
      <w:pPr>
        <w:pStyle w:val="7"/>
        <w:ind w:firstLine="480" w:firstLineChars="200"/>
        <w:rPr>
          <w:rFonts w:hint="eastAsia" w:asciiTheme="minorEastAsia" w:hAnsiTheme="minorEastAsia"/>
          <w:color w:val="auto"/>
          <w:szCs w:val="24"/>
          <w:lang w:val="en-US"/>
        </w:rPr>
      </w:pPr>
      <w:r>
        <w:rPr>
          <w:rFonts w:hint="eastAsia" w:asciiTheme="minorEastAsia" w:hAnsiTheme="minorEastAsia"/>
          <w:color w:val="auto"/>
          <w:szCs w:val="24"/>
          <w:lang w:val="en-US" w:eastAsia="zh-CN"/>
        </w:rPr>
        <w:t>6.乙方应按照设计方案制作，最终完成的效果应与设计方案一致。</w:t>
      </w:r>
    </w:p>
    <w:p w14:paraId="660AD359">
      <w:pPr>
        <w:pStyle w:val="7"/>
        <w:ind w:firstLine="482" w:firstLineChars="200"/>
        <w:rPr>
          <w:rFonts w:asciiTheme="minorEastAsia" w:hAnsiTheme="minorEastAsia"/>
          <w:b/>
          <w:color w:val="auto"/>
          <w:szCs w:val="24"/>
          <w:lang w:val="en-US"/>
        </w:rPr>
      </w:pPr>
      <w:r>
        <w:rPr>
          <w:rFonts w:hint="eastAsia" w:asciiTheme="minorEastAsia" w:hAnsiTheme="minorEastAsia"/>
          <w:b/>
          <w:color w:val="auto"/>
          <w:szCs w:val="24"/>
          <w:lang w:val="en-US"/>
        </w:rPr>
        <w:t>七、验收特别约定条款</w:t>
      </w:r>
    </w:p>
    <w:p w14:paraId="547A50C6">
      <w:pPr>
        <w:pStyle w:val="7"/>
        <w:ind w:firstLine="482" w:firstLineChars="200"/>
        <w:rPr>
          <w:rFonts w:asciiTheme="minorEastAsia" w:hAnsiTheme="minorEastAsia"/>
          <w:b/>
          <w:color w:val="auto"/>
          <w:szCs w:val="24"/>
          <w:u w:val="single"/>
          <w:lang w:val="en-US"/>
        </w:rPr>
      </w:pPr>
      <w:r>
        <w:rPr>
          <w:rFonts w:hint="eastAsia" w:asciiTheme="minorEastAsia" w:hAnsiTheme="minorEastAsia"/>
          <w:b/>
          <w:color w:val="auto"/>
          <w:szCs w:val="24"/>
          <w:u w:val="single"/>
          <w:lang w:val="en-US"/>
        </w:rPr>
        <w:t>/</w:t>
      </w:r>
    </w:p>
    <w:p w14:paraId="7D005AC3">
      <w:pPr>
        <w:pStyle w:val="7"/>
        <w:ind w:firstLine="482" w:firstLineChars="200"/>
        <w:rPr>
          <w:rFonts w:asciiTheme="minorEastAsia" w:hAnsiTheme="minorEastAsia"/>
          <w:b/>
          <w:color w:val="auto"/>
          <w:szCs w:val="24"/>
        </w:rPr>
      </w:pPr>
      <w:r>
        <w:rPr>
          <w:rFonts w:hint="eastAsia" w:asciiTheme="minorEastAsia" w:hAnsiTheme="minorEastAsia"/>
          <w:b/>
          <w:color w:val="auto"/>
          <w:szCs w:val="24"/>
          <w:lang w:val="en-US"/>
        </w:rPr>
        <w:t>八、</w:t>
      </w:r>
      <w:r>
        <w:rPr>
          <w:rFonts w:hint="eastAsia" w:asciiTheme="minorEastAsia" w:hAnsiTheme="minorEastAsia"/>
          <w:b/>
          <w:color w:val="auto"/>
          <w:szCs w:val="24"/>
        </w:rPr>
        <w:t>履约保证金</w:t>
      </w:r>
    </w:p>
    <w:p w14:paraId="27B6713C">
      <w:pPr>
        <w:pStyle w:val="29"/>
        <w:spacing w:before="0" w:beforeAutospacing="0" w:after="0" w:afterAutospacing="0" w:line="360" w:lineRule="auto"/>
        <w:ind w:firstLine="480"/>
        <w:rPr>
          <w:rFonts w:asciiTheme="minorEastAsia" w:hAnsiTheme="minorEastAsia"/>
          <w:color w:val="auto"/>
        </w:rPr>
      </w:pPr>
      <w:r>
        <w:rPr>
          <w:rFonts w:hint="eastAsia" w:asciiTheme="minorEastAsia" w:hAnsiTheme="minorEastAsia"/>
          <w:color w:val="auto"/>
        </w:rPr>
        <w:t>乙方</w:t>
      </w:r>
      <w:r>
        <w:rPr>
          <w:rFonts w:asciiTheme="minorEastAsia" w:hAnsiTheme="minorEastAsia"/>
          <w:color w:val="auto"/>
          <w:u w:val="single"/>
        </w:rPr>
        <w:sym w:font="Wingdings" w:char="00FE"/>
      </w:r>
      <w:r>
        <w:rPr>
          <w:rFonts w:hint="eastAsia" w:asciiTheme="minorEastAsia" w:hAnsiTheme="minorEastAsia"/>
          <w:color w:val="auto"/>
          <w:u w:val="single"/>
        </w:rPr>
        <w:t xml:space="preserve">是  </w:t>
      </w:r>
      <w:r>
        <w:rPr>
          <w:rFonts w:asciiTheme="minorEastAsia" w:hAnsiTheme="minorEastAsia"/>
          <w:color w:val="auto"/>
          <w:u w:val="single"/>
        </w:rPr>
        <w:sym w:font="Wingdings" w:char="00A8"/>
      </w:r>
      <w:r>
        <w:rPr>
          <w:rFonts w:hint="eastAsia" w:asciiTheme="minorEastAsia" w:hAnsiTheme="minorEastAsia"/>
          <w:color w:val="auto"/>
          <w:u w:val="single"/>
        </w:rPr>
        <w:t xml:space="preserve">否   </w:t>
      </w:r>
      <w:r>
        <w:rPr>
          <w:rFonts w:hint="eastAsia" w:asciiTheme="minorEastAsia" w:hAnsiTheme="minorEastAsia"/>
          <w:color w:val="auto"/>
        </w:rPr>
        <w:t>需要支付履约保证金。若需要支付履约保证金的，则：</w:t>
      </w:r>
    </w:p>
    <w:p w14:paraId="6E602A81">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1.履约保证金的比例为合同金额的</w:t>
      </w:r>
      <w:r>
        <w:rPr>
          <w:rFonts w:hint="eastAsia" w:cs="宋体" w:asciiTheme="minorEastAsia" w:hAnsiTheme="minorEastAsia"/>
          <w:b/>
          <w:bCs/>
          <w:color w:val="auto"/>
          <w:kern w:val="0"/>
          <w:sz w:val="24"/>
          <w:u w:val="single"/>
        </w:rPr>
        <w:t xml:space="preserve">5 </w:t>
      </w:r>
      <w:r>
        <w:rPr>
          <w:rFonts w:hint="eastAsia" w:cs="宋体" w:asciiTheme="minorEastAsia" w:hAnsiTheme="minorEastAsia"/>
          <w:color w:val="auto"/>
          <w:kern w:val="0"/>
          <w:sz w:val="24"/>
        </w:rPr>
        <w:t>%，金额为</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 xml:space="preserve"> 元；</w:t>
      </w:r>
    </w:p>
    <w:p w14:paraId="0317BD96">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2.履约保证金支付时间：乙方应于本合同签订前按采购文件和本合同约定的支付履约保证金；</w:t>
      </w:r>
    </w:p>
    <w:p w14:paraId="035297CA">
      <w:pPr>
        <w:spacing w:line="360" w:lineRule="auto"/>
        <w:ind w:firstLine="480" w:firstLineChars="200"/>
        <w:outlineLvl w:val="0"/>
        <w:rPr>
          <w:rFonts w:cs="宋体" w:asciiTheme="minorEastAsia" w:hAnsiTheme="minorEastAsia"/>
          <w:color w:val="auto"/>
          <w:kern w:val="0"/>
          <w:sz w:val="24"/>
        </w:rPr>
      </w:pPr>
      <w:r>
        <w:rPr>
          <w:rFonts w:cs="宋体" w:asciiTheme="minorEastAsia" w:hAnsiTheme="minorEastAsia"/>
          <w:color w:val="auto"/>
          <w:kern w:val="0"/>
          <w:sz w:val="24"/>
        </w:rPr>
        <w:t>3.</w:t>
      </w:r>
      <w:r>
        <w:rPr>
          <w:rFonts w:hint="eastAsia" w:cs="宋体" w:asciiTheme="minorEastAsia" w:hAnsiTheme="minorEastAsia"/>
          <w:color w:val="auto"/>
          <w:kern w:val="0"/>
          <w:sz w:val="24"/>
        </w:rPr>
        <w:t>履约保证金支付方式： 电汇/转账 ；账户信息如下：</w:t>
      </w:r>
    </w:p>
    <w:p w14:paraId="00CFF24F">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 xml:space="preserve">名称：杭州临江环境能源有限公司   </w:t>
      </w:r>
    </w:p>
    <w:p w14:paraId="618F6D10">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税号：91330100MA2B02NX2L</w:t>
      </w:r>
    </w:p>
    <w:p w14:paraId="725635AE">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地址电话：浙江省杭州市钱塘区临江街道红十五路10388-123号 0571-81997919</w:t>
      </w:r>
    </w:p>
    <w:p w14:paraId="7830AAF2">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开户行及账号：杭州银行大江东支行 3301040160008775754</w:t>
      </w:r>
    </w:p>
    <w:p w14:paraId="2A33925B">
      <w:pPr>
        <w:spacing w:line="360" w:lineRule="auto"/>
        <w:ind w:left="479" w:leftChars="228"/>
        <w:outlineLvl w:val="0"/>
        <w:rPr>
          <w:rFonts w:cs="宋体" w:asciiTheme="minorEastAsia" w:hAnsiTheme="minorEastAsia"/>
          <w:color w:val="auto"/>
          <w:kern w:val="0"/>
          <w:sz w:val="24"/>
        </w:rPr>
      </w:pPr>
      <w:r>
        <w:rPr>
          <w:rFonts w:hint="eastAsia" w:cs="宋体" w:asciiTheme="minorEastAsia" w:hAnsiTheme="minorEastAsia"/>
          <w:color w:val="auto"/>
          <w:kern w:val="0"/>
          <w:sz w:val="24"/>
        </w:rPr>
        <w:t>4.如果乙方完全不履行合同或未全面履行合同义务，履约保证金不予退还。</w:t>
      </w:r>
    </w:p>
    <w:p w14:paraId="08A64682">
      <w:pPr>
        <w:spacing w:line="360" w:lineRule="auto"/>
        <w:ind w:firstLine="480" w:firstLineChars="200"/>
        <w:outlineLvl w:val="0"/>
        <w:rPr>
          <w:rFonts w:cs="宋体" w:asciiTheme="minorEastAsia" w:hAnsiTheme="minorEastAsia"/>
          <w:color w:val="auto"/>
          <w:kern w:val="0"/>
          <w:sz w:val="24"/>
        </w:rPr>
      </w:pPr>
      <w:r>
        <w:rPr>
          <w:rFonts w:hint="eastAsia" w:cs="宋体" w:asciiTheme="minorEastAsia" w:hAnsiTheme="minorEastAsia"/>
          <w:color w:val="auto"/>
          <w:kern w:val="0"/>
          <w:sz w:val="24"/>
        </w:rPr>
        <w:t>5.甲方在本合同</w:t>
      </w:r>
      <w:r>
        <w:rPr>
          <w:rFonts w:hint="eastAsia" w:cs="宋体" w:asciiTheme="minorEastAsia" w:hAnsiTheme="minorEastAsia"/>
          <w:color w:val="auto"/>
          <w:kern w:val="0"/>
          <w:sz w:val="24"/>
          <w:u w:val="single"/>
        </w:rPr>
        <w:t>质保期结束</w:t>
      </w:r>
      <w:r>
        <w:rPr>
          <w:rFonts w:hint="eastAsia" w:cs="宋体" w:asciiTheme="minorEastAsia" w:hAnsiTheme="minorEastAsia"/>
          <w:color w:val="auto"/>
          <w:kern w:val="0"/>
          <w:sz w:val="24"/>
        </w:rPr>
        <w:t>并收到履约保证金退还申请书原件后 30个工作日内将履约保证金余额无息退还乙方。</w:t>
      </w:r>
    </w:p>
    <w:p w14:paraId="7D2CB931">
      <w:pPr>
        <w:spacing w:line="360" w:lineRule="auto"/>
        <w:ind w:firstLine="480" w:firstLineChars="200"/>
        <w:outlineLvl w:val="0"/>
        <w:rPr>
          <w:rFonts w:ascii="宋体" w:hAnsi="宋体" w:cs="宋体"/>
          <w:color w:val="auto"/>
          <w:kern w:val="0"/>
          <w:sz w:val="24"/>
        </w:rPr>
      </w:pPr>
      <w:r>
        <w:rPr>
          <w:rFonts w:cs="宋体" w:asciiTheme="minorEastAsia" w:hAnsiTheme="minorEastAsia"/>
          <w:color w:val="auto"/>
          <w:kern w:val="0"/>
          <w:sz w:val="24"/>
        </w:rPr>
        <w:t>6</w:t>
      </w:r>
      <w:r>
        <w:rPr>
          <w:rFonts w:hint="eastAsia" w:cs="宋体" w:asciiTheme="minorEastAsia" w:hAnsiTheme="minorEastAsia"/>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cs="宋体" w:asciiTheme="minorEastAsia" w:hAnsiTheme="minorEastAsia"/>
          <w:color w:val="auto"/>
          <w:kern w:val="0"/>
          <w:sz w:val="24"/>
          <w:u w:val="single"/>
        </w:rPr>
        <w:t>7</w:t>
      </w:r>
      <w:r>
        <w:rPr>
          <w:rFonts w:hint="eastAsia" w:cs="宋体" w:asciiTheme="minorEastAsia" w:hAnsiTheme="minorEastAsia"/>
          <w:color w:val="auto"/>
          <w:kern w:val="0"/>
          <w:sz w:val="24"/>
        </w:rPr>
        <w:t>个工作日内补足。乙方未及时足额缴纳履约保证金或补足履约保证金的，视作违约，甲方可选择单方面直接解除合同并罚没全部保证金（或要求乙方承担相</w:t>
      </w:r>
      <w:r>
        <w:rPr>
          <w:rFonts w:hint="eastAsia" w:ascii="宋体" w:hAnsi="宋体" w:cs="宋体"/>
          <w:color w:val="auto"/>
          <w:kern w:val="0"/>
          <w:sz w:val="24"/>
        </w:rPr>
        <w:t>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的违约金）或选择从任何一笔应付乙方货款中等额扣除相应金额用于确保履约保证金足额，且视为甲方已履行相应的付款义务。</w:t>
      </w:r>
    </w:p>
    <w:bookmarkEnd w:id="390"/>
    <w:bookmarkEnd w:id="391"/>
    <w:bookmarkEnd w:id="392"/>
    <w:p w14:paraId="14ECF089">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14:paraId="4FB353D6">
      <w:pPr>
        <w:pStyle w:val="29"/>
        <w:spacing w:before="0" w:beforeAutospacing="0" w:after="0" w:afterAutospacing="0" w:line="360" w:lineRule="auto"/>
        <w:ind w:firstLine="480"/>
        <w:rPr>
          <w:color w:val="auto"/>
        </w:rPr>
      </w:pPr>
      <w:r>
        <w:rPr>
          <w:rFonts w:hint="eastAsia"/>
          <w:color w:val="auto"/>
        </w:rPr>
        <w:t>甲方</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1FB48EE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669F55EB">
      <w:pPr>
        <w:pStyle w:val="29"/>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7CF90D4D">
      <w:pPr>
        <w:pStyle w:val="29"/>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98A6EE0">
      <w:pPr>
        <w:pStyle w:val="29"/>
        <w:spacing w:before="0" w:beforeAutospacing="0" w:after="0" w:afterAutospacing="0" w:line="360" w:lineRule="auto"/>
        <w:ind w:firstLine="480"/>
        <w:rPr>
          <w:b/>
          <w:bCs/>
          <w:color w:val="auto"/>
        </w:rPr>
      </w:pPr>
      <w:r>
        <w:rPr>
          <w:rFonts w:hint="eastAsia"/>
          <w:b/>
          <w:bCs/>
          <w:color w:val="auto"/>
        </w:rPr>
        <w:t>十、资金支付</w:t>
      </w:r>
    </w:p>
    <w:p w14:paraId="04C885AC">
      <w:pPr>
        <w:pStyle w:val="29"/>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704B877">
      <w:pPr>
        <w:pStyle w:val="29"/>
        <w:spacing w:before="0" w:beforeAutospacing="0" w:after="0" w:afterAutospacing="0" w:line="360" w:lineRule="auto"/>
        <w:ind w:firstLine="480"/>
        <w:rPr>
          <w:color w:val="auto"/>
        </w:rPr>
      </w:pPr>
      <w:r>
        <w:rPr>
          <w:rFonts w:hint="eastAsia"/>
          <w:color w:val="auto"/>
        </w:rPr>
        <w:t>2.本合同质保期限</w:t>
      </w:r>
      <w:r>
        <w:rPr>
          <w:rFonts w:hint="eastAsia"/>
          <w:color w:val="auto"/>
          <w:u w:val="single"/>
        </w:rPr>
        <w:t xml:space="preserve">为验收合格后3年 </w:t>
      </w:r>
      <w:r>
        <w:rPr>
          <w:rFonts w:hint="eastAsia"/>
          <w:color w:val="auto"/>
        </w:rPr>
        <w:t>。本合同</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有质保金。若有质保金的，则：</w:t>
      </w:r>
    </w:p>
    <w:p w14:paraId="16256F76">
      <w:pPr>
        <w:pStyle w:val="29"/>
        <w:spacing w:before="0" w:beforeAutospacing="0" w:after="0" w:afterAutospacing="0" w:line="360" w:lineRule="auto"/>
        <w:ind w:firstLine="480"/>
        <w:rPr>
          <w:color w:val="auto"/>
        </w:rPr>
      </w:pPr>
      <w:r>
        <w:rPr>
          <w:rFonts w:hint="eastAsia"/>
          <w:color w:val="auto"/>
        </w:rPr>
        <w:t>（1）质保金的比例为合同金额的</w:t>
      </w:r>
      <w:r>
        <w:rPr>
          <w:rFonts w:hint="eastAsia"/>
          <w:b/>
          <w:bCs/>
          <w:i/>
          <w:iCs/>
          <w:color w:val="auto"/>
          <w:u w:val="single"/>
        </w:rPr>
        <w:t xml:space="preserve">/ </w:t>
      </w:r>
      <w:r>
        <w:rPr>
          <w:rFonts w:hint="eastAsia"/>
          <w:color w:val="auto"/>
        </w:rPr>
        <w:t>%；</w:t>
      </w:r>
    </w:p>
    <w:p w14:paraId="3E13A236">
      <w:pPr>
        <w:pStyle w:val="29"/>
        <w:spacing w:before="0" w:beforeAutospacing="0" w:after="0" w:afterAutospacing="0" w:line="360" w:lineRule="auto"/>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03655DB6">
      <w:pPr>
        <w:pStyle w:val="29"/>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（1）  </w:t>
      </w:r>
      <w:r>
        <w:rPr>
          <w:rFonts w:hint="eastAsia"/>
          <w:color w:val="auto"/>
        </w:rPr>
        <w:t>条款规定：</w:t>
      </w:r>
    </w:p>
    <w:bookmarkEnd w:id="396"/>
    <w:bookmarkEnd w:id="397"/>
    <w:bookmarkEnd w:id="398"/>
    <w:p w14:paraId="2E0BE16D">
      <w:pPr>
        <w:pStyle w:val="29"/>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w:t>
      </w:r>
      <w:r>
        <w:rPr>
          <w:rFonts w:hint="eastAsia"/>
          <w:color w:val="auto"/>
          <w:highlight w:val="none"/>
        </w:rPr>
        <w:t>经甲方验收合格，甲方收到乙方提供的送货清单及合格增值税专用发票后，甲方在本合同约定时间内完成支付100%货款。</w:t>
      </w:r>
    </w:p>
    <w:p w14:paraId="05E3FEB5">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14:paraId="3EFECC82">
      <w:pPr>
        <w:spacing w:line="360" w:lineRule="auto"/>
        <w:ind w:firstLine="480" w:firstLineChars="200"/>
        <w:rPr>
          <w:rFonts w:ascii="宋体" w:hAnsi="宋体" w:cs="宋体"/>
          <w:color w:val="auto"/>
          <w:sz w:val="24"/>
        </w:rPr>
      </w:pPr>
      <w:r>
        <w:rPr>
          <w:rFonts w:hint="eastAsia" w:ascii="宋体" w:hAnsi="宋体" w:cs="宋体"/>
          <w:color w:val="auto"/>
          <w:sz w:val="24"/>
        </w:rPr>
        <w:t>1.对于验收不合格的货物，双方按照以下方式处理：</w:t>
      </w:r>
    </w:p>
    <w:p w14:paraId="72A083FB">
      <w:pPr>
        <w:spacing w:line="360" w:lineRule="auto"/>
        <w:ind w:firstLine="480" w:firstLineChars="200"/>
        <w:rPr>
          <w:rFonts w:ascii="宋体" w:hAnsi="宋体" w:cs="宋体"/>
          <w:color w:val="auto"/>
          <w:sz w:val="24"/>
        </w:rPr>
      </w:pPr>
      <w:r>
        <w:rPr>
          <w:rFonts w:hint="eastAsia" w:ascii="宋体" w:hAnsi="宋体" w:cs="宋体"/>
          <w:color w:val="auto"/>
          <w:sz w:val="24"/>
        </w:rPr>
        <w:t>甲方尚未使用的，乙方应当</w:t>
      </w:r>
      <w:r>
        <w:rPr>
          <w:rFonts w:hint="eastAsia" w:ascii="宋体" w:hAnsi="宋体" w:cs="宋体"/>
          <w:color w:val="auto"/>
          <w:sz w:val="24"/>
          <w:u w:val="single"/>
        </w:rPr>
        <w:t>在5个工作</w:t>
      </w:r>
      <w:r>
        <w:rPr>
          <w:rFonts w:hint="eastAsia" w:ascii="宋体" w:hAnsi="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color w:val="auto"/>
          <w:sz w:val="24"/>
          <w:u w:val="single"/>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1BA9C07D">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为免争议，乙方确认其已明确知晓本合同下货物系用于 </w:t>
      </w:r>
      <w:r>
        <w:rPr>
          <w:rFonts w:hint="eastAsia" w:ascii="宋体" w:hAnsi="宋体" w:cs="宋体"/>
          <w:color w:val="auto"/>
          <w:sz w:val="24"/>
          <w:u w:val="single"/>
        </w:rPr>
        <w:t xml:space="preserve">  杭州临江环境能源有限公司生产控制系统 </w:t>
      </w:r>
      <w:r>
        <w:rPr>
          <w:rFonts w:hint="eastAsia" w:ascii="宋体" w:hAnsi="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2145098">
      <w:pPr>
        <w:spacing w:line="360" w:lineRule="auto"/>
        <w:ind w:firstLine="480" w:firstLineChars="200"/>
        <w:rPr>
          <w:rFonts w:ascii="宋体" w:hAnsi="宋体" w:cs="宋体"/>
          <w:color w:val="auto"/>
          <w:sz w:val="24"/>
        </w:rPr>
      </w:pPr>
      <w:r>
        <w:rPr>
          <w:rFonts w:hint="eastAsia" w:ascii="宋体" w:hAnsi="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15</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□本合同累计已发生金额/□合同约定总金额/☑应交付而未交付货物的含税总金额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p>
    <w:p w14:paraId="4FFCC3A2">
      <w:pPr>
        <w:spacing w:line="360" w:lineRule="auto"/>
        <w:ind w:firstLine="480" w:firstLineChars="200"/>
        <w:rPr>
          <w:rFonts w:ascii="宋体" w:hAnsi="宋体" w:cs="宋体"/>
          <w:color w:val="auto"/>
          <w:sz w:val="24"/>
        </w:rPr>
      </w:pPr>
      <w:r>
        <w:rPr>
          <w:rFonts w:hint="eastAsia" w:ascii="宋体" w:hAnsi="宋体" w:cs="宋体"/>
          <w:color w:val="auto"/>
          <w:sz w:val="24"/>
        </w:rPr>
        <w:t>具体按以下情形执行：</w:t>
      </w:r>
    </w:p>
    <w:p w14:paraId="5BBA7B05">
      <w:pPr>
        <w:spacing w:line="360" w:lineRule="auto"/>
        <w:ind w:firstLine="480" w:firstLineChars="200"/>
        <w:rPr>
          <w:rFonts w:ascii="宋体" w:hAnsi="宋体" w:cs="宋体"/>
          <w:color w:val="auto"/>
          <w:sz w:val="24"/>
        </w:rPr>
      </w:pPr>
      <w:r>
        <w:rPr>
          <w:rFonts w:hint="eastAsia" w:ascii="宋体" w:hAnsi="宋体" w:cs="宋体"/>
          <w:color w:val="auto"/>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101078CB">
      <w:pPr>
        <w:spacing w:line="360" w:lineRule="auto"/>
        <w:ind w:firstLine="480" w:firstLineChars="200"/>
        <w:rPr>
          <w:rFonts w:ascii="宋体" w:hAnsi="宋体" w:cs="宋体"/>
          <w:color w:val="auto"/>
          <w:sz w:val="24"/>
        </w:rPr>
      </w:pPr>
      <w:r>
        <w:rPr>
          <w:rFonts w:hint="eastAsia" w:ascii="宋体" w:hAnsi="宋体" w:cs="宋体"/>
          <w:color w:val="auto"/>
          <w:sz w:val="24"/>
        </w:rPr>
        <w:t>（2）中止或解除合同的，乙方未及时支付违约金的，甲方有权直接从已供货未结算的货款中扣除违约金。</w:t>
      </w:r>
    </w:p>
    <w:p w14:paraId="5062E5A4">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rPr>
        <w:t xml:space="preserve">%计算，迟延付款 </w:t>
      </w:r>
      <w:r>
        <w:rPr>
          <w:rFonts w:hint="eastAsia" w:ascii="宋体" w:hAnsi="宋体" w:cs="宋体"/>
          <w:color w:val="auto"/>
          <w:sz w:val="24"/>
          <w:u w:val="single"/>
        </w:rPr>
        <w:t xml:space="preserve">30 </w:t>
      </w:r>
      <w:r>
        <w:rPr>
          <w:rFonts w:hint="eastAsia" w:ascii="宋体" w:hAnsi="宋体" w:cs="宋体"/>
          <w:color w:val="auto"/>
          <w:sz w:val="24"/>
        </w:rPr>
        <w:t>天的，乙方有权在要求甲方支付违约金的同时，书面通知甲方解除本合同；</w:t>
      </w:r>
    </w:p>
    <w:p w14:paraId="432188DD">
      <w:pPr>
        <w:spacing w:line="360" w:lineRule="auto"/>
        <w:ind w:firstLine="480" w:firstLineChars="200"/>
        <w:rPr>
          <w:rFonts w:ascii="宋体" w:hAnsi="宋体" w:cs="宋体"/>
          <w:color w:val="auto"/>
          <w:sz w:val="24"/>
        </w:rPr>
      </w:pPr>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E0C9A7">
      <w:pPr>
        <w:spacing w:line="360" w:lineRule="auto"/>
        <w:ind w:firstLine="480" w:firstLineChars="200"/>
        <w:rPr>
          <w:rFonts w:ascii="宋体" w:hAnsi="宋体" w:cs="宋体"/>
          <w:color w:val="auto"/>
          <w:sz w:val="24"/>
        </w:rPr>
      </w:pPr>
      <w:r>
        <w:rPr>
          <w:rFonts w:hint="eastAsia" w:ascii="宋体" w:hAnsi="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8E5F5C8">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BFC903F">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7.违约责任另有约定具体如下：</w:t>
      </w:r>
    </w:p>
    <w:p w14:paraId="4C6F8D53">
      <w:pPr>
        <w:spacing w:line="360" w:lineRule="auto"/>
        <w:ind w:right="-420" w:rightChars="-200" w:firstLine="480" w:firstLineChars="200"/>
        <w:rPr>
          <w:rFonts w:ascii="宋体" w:hAnsi="宋体" w:cs="宋体"/>
          <w:color w:val="auto"/>
          <w:sz w:val="24"/>
          <w:u w:val="single"/>
        </w:rPr>
      </w:pPr>
      <w:bookmarkStart w:id="402" w:name="_Toc28375"/>
      <w:bookmarkStart w:id="403" w:name="_Toc16021"/>
      <w:bookmarkStart w:id="404" w:name="_Toc15583"/>
      <w:r>
        <w:rPr>
          <w:rFonts w:hint="eastAsia" w:ascii="宋体" w:hAnsi="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30E50759">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16AE0EA0">
      <w:pPr>
        <w:pStyle w:val="7"/>
        <w:ind w:right="-420" w:rightChars="-200" w:firstLine="480" w:firstLineChars="200"/>
        <w:rPr>
          <w:color w:val="auto"/>
          <w:u w:val="single"/>
        </w:rPr>
      </w:pPr>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013603DD">
      <w:pPr>
        <w:pStyle w:val="7"/>
        <w:ind w:firstLine="480" w:firstLineChars="200"/>
        <w:rPr>
          <w:rFonts w:hAnsi="宋体" w:cs="宋体"/>
          <w:snapToGrid/>
          <w:color w:val="auto"/>
          <w:szCs w:val="24"/>
          <w:lang w:val="en-US"/>
        </w:rPr>
      </w:pPr>
      <w:r>
        <w:rPr>
          <w:rFonts w:hint="eastAsia" w:hAnsi="宋体" w:cs="宋体"/>
          <w:snapToGrid/>
          <w:color w:val="auto"/>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049CB715">
      <w:pPr>
        <w:pStyle w:val="8"/>
        <w:ind w:firstLine="720" w:firstLineChars="300"/>
        <w:rPr>
          <w:color w:val="auto"/>
          <w:lang w:val="en-US"/>
        </w:rPr>
      </w:pPr>
      <w:r>
        <w:rPr>
          <w:rFonts w:hint="eastAsia" w:hAnsi="宋体" w:cs="宋体"/>
          <w:color w:val="auto"/>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E3E9B1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14:paraId="7E34CB2A">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rPr>
        <w:t>向</w:t>
      </w:r>
      <w:r>
        <w:rPr>
          <w:rFonts w:hint="eastAsia" w:ascii="宋体" w:hAnsi="宋体" w:cs="宋体"/>
          <w:b/>
          <w:iCs/>
          <w:color w:val="auto"/>
          <w:sz w:val="24"/>
        </w:rPr>
        <w:t>甲方所在地</w:t>
      </w:r>
      <w:r>
        <w:rPr>
          <w:rFonts w:hint="eastAsia" w:ascii="宋体" w:hAnsi="宋体" w:cs="宋体"/>
          <w:color w:val="auto"/>
          <w:sz w:val="24"/>
        </w:rPr>
        <w:t>人民法院起诉。</w:t>
      </w:r>
    </w:p>
    <w:bookmarkEnd w:id="405"/>
    <w:bookmarkEnd w:id="406"/>
    <w:bookmarkEnd w:id="407"/>
    <w:p w14:paraId="08BDAE86">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14:paraId="130C9850">
      <w:pPr>
        <w:pStyle w:val="28"/>
        <w:ind w:left="0" w:leftChars="0"/>
        <w:jc w:val="left"/>
        <w:rPr>
          <w:rFonts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，甲方</w:t>
      </w:r>
      <w:r>
        <w:rPr>
          <w:rFonts w:hint="eastAsia" w:ascii="宋体" w:hAnsi="宋体"/>
          <w:color w:val="auto"/>
          <w:u w:val="single"/>
        </w:rPr>
        <w:t>三</w:t>
      </w:r>
      <w:r>
        <w:rPr>
          <w:rFonts w:hint="eastAsia" w:ascii="宋体" w:hAnsi="宋体"/>
          <w:color w:val="auto"/>
        </w:rPr>
        <w:t>份，乙方</w:t>
      </w:r>
      <w:r>
        <w:rPr>
          <w:rFonts w:hint="eastAsia" w:ascii="宋体" w:hAnsi="宋体"/>
          <w:color w:val="auto"/>
          <w:u w:val="single"/>
        </w:rPr>
        <w:t>一</w:t>
      </w:r>
      <w:r>
        <w:rPr>
          <w:rFonts w:hint="eastAsia" w:ascii="宋体" w:hAnsi="宋体"/>
          <w:color w:val="auto"/>
        </w:rPr>
        <w:t>份，</w:t>
      </w:r>
      <w:r>
        <w:rPr>
          <w:rFonts w:hint="eastAsia" w:ascii="宋体" w:hAnsi="宋体"/>
          <w:bCs/>
          <w:color w:val="auto"/>
          <w:szCs w:val="24"/>
        </w:rPr>
        <w:t>第二章合同一般条款</w:t>
      </w:r>
      <w:r>
        <w:rPr>
          <w:rFonts w:hint="eastAsia" w:ascii="宋体" w:hAnsi="宋体"/>
          <w:color w:val="auto"/>
        </w:rPr>
        <w:t>、</w:t>
      </w:r>
      <w:r>
        <w:rPr>
          <w:rFonts w:hint="eastAsia" w:ascii="宋体" w:hAnsi="宋体"/>
          <w:color w:val="auto"/>
          <w:lang w:val="en-US" w:eastAsia="zh-CN"/>
        </w:rPr>
        <w:t>第三章安全协议、</w:t>
      </w:r>
      <w:r>
        <w:rPr>
          <w:rFonts w:hint="eastAsia" w:ascii="宋体" w:hAnsi="宋体"/>
          <w:color w:val="auto"/>
        </w:rPr>
        <w:t>第</w:t>
      </w:r>
      <w:r>
        <w:rPr>
          <w:rFonts w:hint="eastAsia" w:ascii="宋体" w:hAnsi="宋体"/>
          <w:color w:val="auto"/>
          <w:lang w:val="en-US" w:eastAsia="zh-CN"/>
        </w:rPr>
        <w:t>四</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14:paraId="65D46AB3">
      <w:pPr>
        <w:pStyle w:val="9"/>
        <w:rPr>
          <w:color w:val="auto"/>
        </w:rPr>
      </w:pPr>
    </w:p>
    <w:p w14:paraId="1F05D140">
      <w:pPr>
        <w:pStyle w:val="28"/>
        <w:ind w:left="0" w:leftChars="0" w:firstLine="0" w:firstLineChars="0"/>
        <w:rPr>
          <w:rFonts w:ascii="宋体" w:hAnsi="宋体" w:cs="宋体"/>
          <w:b/>
          <w:color w:val="auto"/>
          <w:szCs w:val="24"/>
        </w:rPr>
      </w:pPr>
    </w:p>
    <w:p w14:paraId="53D8B7D8">
      <w:pPr>
        <w:pStyle w:val="28"/>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17F78A14">
      <w:pPr>
        <w:spacing w:line="360" w:lineRule="auto"/>
        <w:ind w:firstLine="482" w:firstLineChars="200"/>
        <w:outlineLvl w:val="0"/>
        <w:rPr>
          <w:rFonts w:ascii="宋体" w:hAnsi="宋体" w:cs="宋体"/>
          <w:b/>
          <w:color w:val="auto"/>
          <w:sz w:val="24"/>
        </w:rPr>
      </w:pPr>
      <w:bookmarkStart w:id="408" w:name="_Toc259093669"/>
      <w:bookmarkStart w:id="409" w:name="_Toc28763"/>
      <w:bookmarkStart w:id="410" w:name="_Toc19614"/>
      <w:bookmarkStart w:id="411" w:name="_Toc487900349"/>
      <w:bookmarkStart w:id="412" w:name="_Ref467378499"/>
      <w:bookmarkStart w:id="413" w:name="_Ref467379195"/>
      <w:bookmarkStart w:id="414" w:name="_Ref467379109"/>
      <w:bookmarkStart w:id="415" w:name="_Ref467379225"/>
      <w:bookmarkStart w:id="416" w:name="_Ref467379101"/>
      <w:bookmarkStart w:id="417" w:name="_Ref467378463"/>
      <w:bookmarkStart w:id="418" w:name="_Toc279701240"/>
      <w:bookmarkStart w:id="419" w:name="_Ref467379214"/>
      <w:bookmarkStart w:id="420" w:name="_Toc16917"/>
      <w:bookmarkStart w:id="421" w:name="_Ref467379205"/>
      <w:bookmarkStart w:id="422" w:name="_Ref467379094"/>
      <w:bookmarkStart w:id="423" w:name="_Ref46737840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45A258D">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7347041C">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5F5D66FD">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2.“合同价”系指根据合同约定，中标或成交供应商在完全履行合同义务后，甲方应支付给中标或成交供应商的价格。</w:t>
      </w:r>
    </w:p>
    <w:p w14:paraId="6FBCD297">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3.“货物”系指中标或成交供应商根据合同约定应向采购人交付的一切各种形态和种类的物品，包括原材料、燃料、设备、机械、仪表、配件、计算机软件、产品等，并包括工具、手册等其他相关资料。</w:t>
      </w:r>
    </w:p>
    <w:p w14:paraId="0D242F00">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14:paraId="40521F43">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w:t>
      </w:r>
    </w:p>
    <w:p w14:paraId="488AC7BF">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14:paraId="6274B94B">
      <w:pPr>
        <w:spacing w:line="360" w:lineRule="auto"/>
        <w:ind w:firstLine="480" w:firstLineChars="200"/>
        <w:rPr>
          <w:rFonts w:ascii="宋体" w:hAnsi="宋体" w:cs="宋体"/>
          <w:color w:val="auto"/>
          <w:sz w:val="24"/>
        </w:rPr>
      </w:pPr>
      <w:r>
        <w:rPr>
          <w:rFonts w:hint="eastAsia" w:ascii="宋体" w:hAnsi="宋体" w:cs="宋体"/>
          <w:color w:val="auto"/>
          <w:sz w:val="24"/>
        </w:rPr>
        <w:t>7. 除特别约定为工作日之外，本合同所有提及的“天”“日”均为日历天。</w:t>
      </w:r>
    </w:p>
    <w:p w14:paraId="30DB945E">
      <w:pPr>
        <w:spacing w:line="360" w:lineRule="auto"/>
        <w:ind w:firstLine="482" w:firstLineChars="200"/>
        <w:outlineLvl w:val="0"/>
        <w:rPr>
          <w:rFonts w:ascii="宋体" w:hAnsi="宋体" w:cs="宋体"/>
          <w:b/>
          <w:color w:val="auto"/>
          <w:sz w:val="24"/>
        </w:rPr>
      </w:pPr>
      <w:bookmarkStart w:id="427" w:name="_Toc487900350"/>
      <w:bookmarkStart w:id="428" w:name="_Toc259093670"/>
      <w:bookmarkStart w:id="429" w:name="_Toc279701241"/>
      <w:bookmarkStart w:id="430" w:name="_Toc32504"/>
      <w:bookmarkStart w:id="431" w:name="_Toc13336"/>
      <w:bookmarkStart w:id="432" w:name="_Toc27635"/>
      <w:r>
        <w:rPr>
          <w:rFonts w:hint="eastAsia" w:ascii="宋体" w:hAnsi="宋体" w:cs="宋体"/>
          <w:b/>
          <w:color w:val="auto"/>
          <w:sz w:val="24"/>
        </w:rPr>
        <w:t>二、技术规范</w:t>
      </w:r>
      <w:bookmarkEnd w:id="427"/>
      <w:bookmarkEnd w:id="428"/>
      <w:bookmarkEnd w:id="429"/>
      <w:bookmarkEnd w:id="430"/>
      <w:bookmarkEnd w:id="431"/>
      <w:bookmarkEnd w:id="432"/>
    </w:p>
    <w:p w14:paraId="5FE34855">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6B094BD">
      <w:pPr>
        <w:spacing w:line="360" w:lineRule="auto"/>
        <w:ind w:firstLine="482" w:firstLineChars="200"/>
        <w:outlineLvl w:val="0"/>
        <w:rPr>
          <w:rFonts w:ascii="宋体" w:hAnsi="宋体" w:cs="宋体"/>
          <w:b/>
          <w:color w:val="auto"/>
          <w:sz w:val="24"/>
        </w:rPr>
      </w:pPr>
      <w:bookmarkStart w:id="433" w:name="_Toc27853"/>
      <w:bookmarkStart w:id="434" w:name="_Toc9829"/>
      <w:bookmarkStart w:id="435" w:name="_Toc31634"/>
      <w:bookmarkStart w:id="436" w:name="_Toc259093671"/>
      <w:bookmarkStart w:id="437" w:name="_Toc279701242"/>
      <w:bookmarkStart w:id="438" w:name="_Toc487900351"/>
      <w:r>
        <w:rPr>
          <w:rFonts w:hint="eastAsia" w:ascii="宋体" w:hAnsi="宋体" w:cs="宋体"/>
          <w:b/>
          <w:color w:val="auto"/>
          <w:sz w:val="24"/>
        </w:rPr>
        <w:t>三、知识产权</w:t>
      </w:r>
      <w:bookmarkEnd w:id="433"/>
      <w:bookmarkEnd w:id="434"/>
      <w:bookmarkEnd w:id="435"/>
      <w:bookmarkEnd w:id="436"/>
      <w:bookmarkEnd w:id="437"/>
      <w:bookmarkEnd w:id="438"/>
    </w:p>
    <w:p w14:paraId="44C9D610">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乙方还应及时澄清相关信息，使甲方声誉免受损害，如甲方因此受损，乙方应当赔偿甲方因此遭受的所有损失。</w:t>
      </w:r>
    </w:p>
    <w:p w14:paraId="6490E766">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112BC35E">
      <w:pPr>
        <w:spacing w:line="360" w:lineRule="auto"/>
        <w:ind w:firstLine="482" w:firstLineChars="200"/>
        <w:outlineLvl w:val="0"/>
        <w:rPr>
          <w:rFonts w:ascii="宋体" w:hAnsi="宋体" w:eastAsia="宋体" w:cs="宋体"/>
          <w:b/>
          <w:color w:val="auto"/>
          <w:sz w:val="24"/>
        </w:rPr>
      </w:pPr>
      <w:bookmarkStart w:id="439" w:name="_Toc11932"/>
      <w:bookmarkStart w:id="440" w:name="_Toc29149"/>
      <w:bookmarkStart w:id="441" w:name="_Toc4194"/>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14:paraId="201E2147">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0265033">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14:paraId="48A0E57E">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14:paraId="540000EE">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6685E4E5">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2B0BA324">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4E035FFB">
      <w:pPr>
        <w:spacing w:line="360" w:lineRule="auto"/>
        <w:ind w:firstLine="482" w:firstLineChars="200"/>
        <w:outlineLvl w:val="0"/>
        <w:rPr>
          <w:rFonts w:ascii="宋体" w:hAnsi="宋体" w:cs="宋体"/>
          <w:b/>
          <w:color w:val="auto"/>
          <w:sz w:val="24"/>
        </w:rPr>
      </w:pPr>
      <w:bookmarkStart w:id="442" w:name="_Toc30272"/>
      <w:bookmarkStart w:id="443" w:name="_Toc26182"/>
      <w:bookmarkStart w:id="444" w:name="_Toc19074"/>
      <w:r>
        <w:rPr>
          <w:rFonts w:hint="eastAsia" w:ascii="宋体" w:hAnsi="宋体" w:cs="宋体"/>
          <w:b/>
          <w:color w:val="auto"/>
          <w:sz w:val="24"/>
        </w:rPr>
        <w:t>五、 履约检查和问题反馈</w:t>
      </w:r>
      <w:bookmarkEnd w:id="442"/>
      <w:bookmarkEnd w:id="443"/>
      <w:bookmarkEnd w:id="444"/>
    </w:p>
    <w:p w14:paraId="5F17D754">
      <w:pPr>
        <w:spacing w:line="360" w:lineRule="auto"/>
        <w:ind w:firstLine="480" w:firstLineChars="200"/>
        <w:rPr>
          <w:rFonts w:ascii="宋体" w:hAnsi="宋体" w:cs="宋体"/>
          <w:color w:val="auto"/>
          <w:sz w:val="24"/>
        </w:rPr>
      </w:pPr>
      <w:bookmarkStart w:id="445" w:name="_Toc186431854"/>
      <w:bookmarkStart w:id="446" w:name="_Toc487900357"/>
      <w:bookmarkStart w:id="447" w:name="_Toc259093676"/>
      <w:bookmarkStart w:id="448" w:name="_Ref467379793"/>
      <w:bookmarkStart w:id="449" w:name="_Ref467379807"/>
      <w:bookmarkStart w:id="450" w:name="_Toc27970124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3739C8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14:paraId="1363E725">
      <w:pPr>
        <w:spacing w:line="360" w:lineRule="auto"/>
        <w:ind w:firstLine="482" w:firstLineChars="200"/>
        <w:outlineLvl w:val="0"/>
        <w:rPr>
          <w:rFonts w:ascii="宋体" w:hAnsi="宋体" w:cs="宋体"/>
          <w:b/>
          <w:color w:val="auto"/>
          <w:sz w:val="24"/>
        </w:rPr>
      </w:pPr>
      <w:bookmarkStart w:id="452" w:name="_Toc279701248"/>
      <w:bookmarkStart w:id="453" w:name="_Toc259093677"/>
      <w:bookmarkStart w:id="454" w:name="_Ref467379852"/>
      <w:bookmarkStart w:id="455" w:name="_Toc487900358"/>
      <w:bookmarkStart w:id="456" w:name="_Ref467379923"/>
      <w:bookmarkStart w:id="457" w:name="_Ref467379863"/>
      <w:bookmarkStart w:id="458" w:name="_Toc16110"/>
      <w:bookmarkStart w:id="459" w:name="_Toc3225"/>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14:paraId="6AF04F72">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7E41C60D">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3161C77A">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8B23333">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14:paraId="5EDCA4F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69590DD1">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279701252"/>
      <w:bookmarkStart w:id="465" w:name="_Toc487900362"/>
      <w:r>
        <w:rPr>
          <w:rFonts w:hint="eastAsia" w:ascii="宋体" w:hAnsi="宋体" w:cs="宋体"/>
          <w:b/>
          <w:color w:val="auto"/>
          <w:sz w:val="24"/>
        </w:rPr>
        <w:t>八、货物的风险负担</w:t>
      </w:r>
      <w:bookmarkEnd w:id="462"/>
    </w:p>
    <w:p w14:paraId="3F6654F3">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02362763">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14:paraId="42470EE2">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AC44368">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color w:val="auto"/>
          <w:sz w:val="24"/>
        </w:rPr>
        <w:t>十、合同变更</w:t>
      </w:r>
      <w:bookmarkEnd w:id="467"/>
      <w:r>
        <w:rPr>
          <w:rFonts w:hint="eastAsia" w:ascii="宋体" w:hAnsi="宋体" w:cs="宋体"/>
          <w:b/>
          <w:color w:val="auto"/>
          <w:sz w:val="24"/>
        </w:rPr>
        <w:t>或补充</w:t>
      </w:r>
    </w:p>
    <w:p w14:paraId="2A79D454">
      <w:pPr>
        <w:spacing w:line="360" w:lineRule="auto"/>
        <w:ind w:firstLine="480" w:firstLineChars="200"/>
        <w:rPr>
          <w:rFonts w:ascii="宋体" w:hAnsi="宋体"/>
          <w:color w:val="auto"/>
          <w:sz w:val="24"/>
        </w:rPr>
      </w:pPr>
      <w:bookmarkStart w:id="472" w:name="_Toc22955"/>
      <w:bookmarkStart w:id="473" w:name="_Toc10366"/>
      <w:bookmarkStart w:id="474" w:name="_Toc15237"/>
      <w:bookmarkStart w:id="475" w:name="_Toc487900369"/>
      <w:bookmarkStart w:id="476" w:name="_Toc279701259"/>
      <w:bookmarkStart w:id="477" w:name="_Toc259093688"/>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18E3EA2">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0491A69E">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874A47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bookmarkEnd w:id="475"/>
      <w:bookmarkEnd w:id="476"/>
      <w:bookmarkEnd w:id="477"/>
    </w:p>
    <w:p w14:paraId="6F4698B9">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合同的权利义务不得转让。</w:t>
      </w:r>
    </w:p>
    <w:p w14:paraId="59B277AA">
      <w:pPr>
        <w:spacing w:line="360" w:lineRule="auto"/>
        <w:ind w:firstLine="482" w:firstLineChars="200"/>
        <w:outlineLvl w:val="0"/>
        <w:rPr>
          <w:rFonts w:ascii="宋体" w:hAnsi="宋体" w:cs="宋体"/>
          <w:b/>
          <w:color w:val="auto"/>
          <w:sz w:val="24"/>
        </w:rPr>
      </w:pPr>
      <w:bookmarkStart w:id="478" w:name="_Toc13566"/>
      <w:bookmarkStart w:id="479" w:name="_Toc14066"/>
      <w:bookmarkStart w:id="480" w:name="_Toc16508"/>
      <w:r>
        <w:rPr>
          <w:rFonts w:hint="eastAsia" w:ascii="宋体" w:hAnsi="宋体" w:cs="宋体"/>
          <w:b/>
          <w:color w:val="auto"/>
          <w:sz w:val="24"/>
        </w:rPr>
        <w:t>十二、不可抗力</w:t>
      </w:r>
      <w:bookmarkEnd w:id="478"/>
      <w:bookmarkEnd w:id="479"/>
      <w:bookmarkEnd w:id="480"/>
    </w:p>
    <w:p w14:paraId="647F431E">
      <w:pPr>
        <w:spacing w:line="360" w:lineRule="auto"/>
        <w:ind w:firstLine="480" w:firstLineChars="200"/>
        <w:rPr>
          <w:rFonts w:ascii="宋体" w:hAnsi="宋体"/>
          <w:color w:val="auto"/>
          <w:sz w:val="24"/>
        </w:rPr>
      </w:pPr>
      <w:bookmarkStart w:id="481" w:name="_Toc487900365"/>
      <w:bookmarkStart w:id="482" w:name="_Toc279701255"/>
      <w:bookmarkStart w:id="483" w:name="_Toc259093684"/>
      <w:bookmarkStart w:id="484" w:name="_Toc30676"/>
      <w:bookmarkStart w:id="485" w:name="_Toc6969"/>
      <w:bookmarkStart w:id="486"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58EF27CA">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17C48AA0">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20AF58F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8F2485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14:paraId="6572382B">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7F29E5BD">
      <w:pPr>
        <w:spacing w:line="360" w:lineRule="auto"/>
        <w:ind w:firstLine="482" w:firstLineChars="200"/>
        <w:outlineLvl w:val="0"/>
        <w:rPr>
          <w:rFonts w:ascii="宋体" w:hAnsi="宋体" w:cs="宋体"/>
          <w:b/>
          <w:color w:val="auto"/>
          <w:sz w:val="24"/>
        </w:rPr>
      </w:pPr>
      <w:bookmarkStart w:id="487" w:name="_Toc7102"/>
      <w:bookmarkStart w:id="488" w:name="_Toc259093687"/>
      <w:bookmarkStart w:id="489" w:name="_Toc487900368"/>
      <w:bookmarkStart w:id="490" w:name="_Toc8298"/>
      <w:bookmarkStart w:id="491" w:name="_Toc279701258"/>
      <w:bookmarkStart w:id="492" w:name="_Toc16959"/>
      <w:r>
        <w:rPr>
          <w:rFonts w:hint="eastAsia" w:ascii="宋体" w:hAnsi="宋体" w:cs="宋体"/>
          <w:b/>
          <w:color w:val="auto"/>
          <w:sz w:val="24"/>
        </w:rPr>
        <w:t>十四、乙方破产</w:t>
      </w:r>
      <w:bookmarkEnd w:id="487"/>
      <w:bookmarkEnd w:id="488"/>
      <w:bookmarkEnd w:id="489"/>
      <w:bookmarkEnd w:id="490"/>
      <w:bookmarkEnd w:id="491"/>
      <w:bookmarkEnd w:id="492"/>
    </w:p>
    <w:p w14:paraId="73173D95">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02CFF1">
      <w:pPr>
        <w:spacing w:line="360" w:lineRule="auto"/>
        <w:ind w:firstLine="482" w:firstLineChars="200"/>
        <w:outlineLvl w:val="0"/>
        <w:rPr>
          <w:rFonts w:ascii="宋体" w:hAnsi="宋体" w:cs="宋体"/>
          <w:b/>
          <w:color w:val="auto"/>
          <w:sz w:val="24"/>
        </w:rPr>
      </w:pPr>
      <w:bookmarkStart w:id="493" w:name="_Toc15387"/>
      <w:bookmarkStart w:id="494" w:name="_Toc29333"/>
      <w:bookmarkStart w:id="495" w:name="_Toc6134"/>
      <w:r>
        <w:rPr>
          <w:rFonts w:hint="eastAsia" w:ascii="宋体" w:hAnsi="宋体" w:cs="宋体"/>
          <w:b/>
          <w:color w:val="auto"/>
          <w:sz w:val="24"/>
        </w:rPr>
        <w:t>十五、合同中止、终止</w:t>
      </w:r>
      <w:bookmarkEnd w:id="493"/>
      <w:bookmarkEnd w:id="494"/>
      <w:bookmarkEnd w:id="495"/>
    </w:p>
    <w:p w14:paraId="36A5A420">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6321C782">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49114D27">
      <w:pPr>
        <w:spacing w:line="360" w:lineRule="auto"/>
        <w:ind w:firstLine="480" w:firstLineChars="200"/>
        <w:rPr>
          <w:rFonts w:ascii="宋体" w:hAnsi="宋体" w:cs="宋体"/>
          <w:color w:val="auto"/>
          <w:sz w:val="24"/>
        </w:rPr>
      </w:pPr>
      <w:r>
        <w:rPr>
          <w:rFonts w:hint="eastAsia" w:ascii="宋体" w:hAnsi="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22AB484C">
      <w:pPr>
        <w:spacing w:line="360" w:lineRule="auto"/>
        <w:ind w:firstLine="480" w:firstLineChars="200"/>
        <w:rPr>
          <w:color w:val="auto"/>
        </w:rPr>
      </w:pPr>
      <w:r>
        <w:rPr>
          <w:rFonts w:hint="eastAsia" w:ascii="宋体" w:hAnsi="宋体" w:cs="宋体"/>
          <w:color w:val="auto"/>
          <w:sz w:val="24"/>
        </w:rPr>
        <w:t>4.出现违约行为的，甲方有权终止或解除合同。</w:t>
      </w:r>
    </w:p>
    <w:bookmarkEnd w:id="468"/>
    <w:bookmarkEnd w:id="469"/>
    <w:bookmarkEnd w:id="470"/>
    <w:bookmarkEnd w:id="471"/>
    <w:p w14:paraId="5FEBA665">
      <w:pPr>
        <w:spacing w:line="360" w:lineRule="auto"/>
        <w:ind w:firstLine="482" w:firstLineChars="200"/>
        <w:outlineLvl w:val="0"/>
        <w:rPr>
          <w:rFonts w:ascii="宋体" w:hAnsi="宋体" w:cs="宋体"/>
          <w:b/>
          <w:color w:val="auto"/>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14:paraId="3DC2FB63">
      <w:pPr>
        <w:spacing w:line="360" w:lineRule="auto"/>
        <w:ind w:firstLine="480" w:firstLineChars="200"/>
        <w:rPr>
          <w:rFonts w:ascii="宋体" w:hAnsi="宋体"/>
          <w:color w:val="auto"/>
          <w:sz w:val="24"/>
        </w:rPr>
      </w:pPr>
      <w:bookmarkStart w:id="502" w:name="_Toc18401"/>
      <w:bookmarkStart w:id="503" w:name="_Toc27674"/>
      <w:bookmarkStart w:id="504" w:name="_Toc30599"/>
      <w:bookmarkStart w:id="505" w:name="_Toc259093691"/>
      <w:bookmarkStart w:id="506" w:name="_Toc4355"/>
      <w:bookmarkStart w:id="507" w:name="_Toc487900372"/>
      <w:bookmarkStart w:id="508" w:name="_Toc18540"/>
      <w:bookmarkStart w:id="509" w:name="_Toc279701262"/>
      <w:r>
        <w:rPr>
          <w:rFonts w:hint="eastAsia" w:ascii="宋体" w:hAnsi="宋体"/>
          <w:color w:val="auto"/>
          <w:sz w:val="24"/>
        </w:rPr>
        <w:t>1.任何一方因履行合同等问题而以</w:t>
      </w:r>
      <w:r>
        <w:rPr>
          <w:rFonts w:hint="eastAsia" w:ascii="宋体" w:hAnsi="宋体"/>
          <w:b/>
          <w:bCs/>
          <w:color w:val="auto"/>
          <w:sz w:val="24"/>
          <w:u w:val="single"/>
        </w:rPr>
        <w:t>合同第二章尾部所列明的电子邮件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11000C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14:paraId="71F8AEF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14:paraId="212B880E">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5FF1DA25">
      <w:pPr>
        <w:spacing w:line="360" w:lineRule="auto"/>
        <w:ind w:firstLine="482" w:firstLineChars="200"/>
        <w:outlineLvl w:val="0"/>
        <w:rPr>
          <w:rFonts w:ascii="宋体" w:hAnsi="宋体" w:cs="宋体"/>
          <w:b/>
          <w:color w:val="auto"/>
          <w:sz w:val="24"/>
        </w:rPr>
      </w:pPr>
      <w:bookmarkStart w:id="510" w:name="_Toc18567"/>
      <w:bookmarkStart w:id="511" w:name="_Toc279701263"/>
      <w:bookmarkStart w:id="512" w:name="_Toc10330"/>
      <w:bookmarkStart w:id="513" w:name="_Toc487900373"/>
      <w:bookmarkStart w:id="514" w:name="_Toc12773"/>
      <w:bookmarkStart w:id="515" w:name="_Toc259093692"/>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14:paraId="77969A22">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1.合同使用汉语书写、变更和解释；</w:t>
      </w:r>
    </w:p>
    <w:p w14:paraId="057C59D3">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14:paraId="3247BEF2">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64D761DE">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1327C52">
      <w:pPr>
        <w:jc w:val="center"/>
        <w:rPr>
          <w:rFonts w:ascii="宋体" w:hAnsi="宋体" w:eastAsia="宋体" w:cs="Times New Roman"/>
          <w:b/>
          <w:color w:val="auto"/>
        </w:rPr>
      </w:pPr>
    </w:p>
    <w:tbl>
      <w:tblPr>
        <w:tblStyle w:val="19"/>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8C685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0967B8">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095A8B6">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rPr>
              <w:t>***公司</w:t>
            </w:r>
          </w:p>
        </w:tc>
      </w:tr>
      <w:tr w14:paraId="7A1D7E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58D7BDA">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EF32BBF">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14:paraId="127D86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BE42C1">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2312ACB">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w:t>
            </w:r>
          </w:p>
        </w:tc>
      </w:tr>
      <w:tr w14:paraId="60869D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504D55A">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r>
              <w:rPr>
                <w:rFonts w:hint="eastAsia" w:ascii="宋体" w:hAnsi="宋体" w:eastAsia="宋体" w:cs="Times New Roman"/>
                <w:color w:val="auto"/>
                <w:sz w:val="24"/>
              </w:rPr>
              <w:t>：</w:t>
            </w:r>
            <w:r>
              <w:rPr>
                <w:rFonts w:hint="eastAsia" w:eastAsia="宋体" w:cs="仿宋" w:asciiTheme="minorEastAsia" w:hAnsiTheme="minorEastAsia"/>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36B69449">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p>
        </w:tc>
      </w:tr>
      <w:tr w14:paraId="65A79C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6047481">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A07DBBD">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66FEBC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11C8C74">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A829A24">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开户银行：</w:t>
            </w:r>
          </w:p>
        </w:tc>
      </w:tr>
      <w:tr w14:paraId="753659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E19E90">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3412B98">
            <w:pPr>
              <w:spacing w:line="360" w:lineRule="auto"/>
              <w:rPr>
                <w:rFonts w:ascii="宋体" w:hAnsi="宋体" w:cs="Times New Roman"/>
                <w:color w:val="auto"/>
                <w:sz w:val="24"/>
              </w:rPr>
            </w:pPr>
            <w:r>
              <w:rPr>
                <w:rFonts w:hint="eastAsia" w:ascii="宋体" w:hAnsi="宋体" w:eastAsia="宋体" w:cs="Times New Roman"/>
                <w:color w:val="auto"/>
                <w:sz w:val="24"/>
                <w:lang w:val="zh-CN"/>
              </w:rPr>
              <w:t>开户账号：</w:t>
            </w:r>
          </w:p>
        </w:tc>
      </w:tr>
    </w:tbl>
    <w:p w14:paraId="19A31B43">
      <w:pPr>
        <w:jc w:val="center"/>
        <w:rPr>
          <w:rFonts w:ascii="宋体" w:hAnsi="宋体" w:eastAsia="宋体" w:cs="Times New Roman"/>
          <w:b/>
          <w:color w:val="auto"/>
        </w:rPr>
      </w:pPr>
    </w:p>
    <w:p w14:paraId="7D04704A">
      <w:pPr>
        <w:jc w:val="center"/>
        <w:rPr>
          <w:rFonts w:ascii="宋体" w:hAnsi="宋体" w:eastAsia="宋体" w:cs="Times New Roman"/>
          <w:b/>
          <w:color w:val="auto"/>
        </w:rPr>
      </w:pPr>
    </w:p>
    <w:p w14:paraId="1B7E564F">
      <w:pPr>
        <w:pStyle w:val="28"/>
        <w:spacing w:line="560" w:lineRule="exact"/>
        <w:ind w:left="0" w:leftChars="0" w:firstLine="0" w:firstLineChars="0"/>
        <w:rPr>
          <w:rFonts w:ascii="宋体" w:hAnsi="宋体" w:cs="Times New Roman"/>
          <w:b/>
          <w:color w:val="auto"/>
          <w:szCs w:val="24"/>
        </w:rPr>
      </w:pPr>
      <w:r>
        <w:rPr>
          <w:rFonts w:hint="eastAsia" w:ascii="宋体" w:hAnsi="宋体" w:cs="宋体"/>
          <w:color w:val="auto"/>
          <w:kern w:val="0"/>
        </w:rPr>
        <w:br w:type="page"/>
      </w:r>
    </w:p>
    <w:p w14:paraId="666FB564">
      <w:pPr>
        <w:pStyle w:val="28"/>
        <w:pageBreakBefore w:val="0"/>
        <w:kinsoku/>
        <w:wordWrap/>
        <w:overflowPunct/>
        <w:topLinePunct w:val="0"/>
        <w:bidi w:val="0"/>
        <w:spacing w:line="480" w:lineRule="exact"/>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第三章  安全协议</w:t>
      </w:r>
    </w:p>
    <w:p w14:paraId="585642EC">
      <w:pPr>
        <w:pageBreakBefore w:val="0"/>
        <w:widowControl/>
        <w:kinsoku/>
        <w:wordWrap/>
        <w:overflowPunct/>
        <w:topLinePunct w:val="0"/>
        <w:bidi w:val="0"/>
        <w:spacing w:line="48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发包单位：</w:t>
      </w:r>
      <w:r>
        <w:rPr>
          <w:rFonts w:hint="eastAsia" w:ascii="宋体" w:hAnsi="宋体" w:eastAsia="宋体" w:cs="宋体"/>
          <w:color w:val="auto"/>
          <w:kern w:val="0"/>
          <w:sz w:val="24"/>
          <w:szCs w:val="24"/>
          <w:u w:val="single"/>
          <w:lang w:bidi="ar"/>
        </w:rPr>
        <w:t>杭州临江环境能源有限公司</w:t>
      </w:r>
      <w:r>
        <w:rPr>
          <w:rFonts w:hint="eastAsia" w:ascii="宋体" w:hAnsi="宋体" w:eastAsia="宋体" w:cs="宋体"/>
          <w:color w:val="auto"/>
          <w:kern w:val="0"/>
          <w:sz w:val="24"/>
          <w:szCs w:val="24"/>
          <w:lang w:bidi="ar"/>
        </w:rPr>
        <w:t xml:space="preserve">（简称甲方） </w:t>
      </w:r>
    </w:p>
    <w:p w14:paraId="32076D15">
      <w:pPr>
        <w:pageBreakBefore w:val="0"/>
        <w:widowControl/>
        <w:kinsoku/>
        <w:wordWrap/>
        <w:overflowPunct/>
        <w:topLinePunct w:val="0"/>
        <w:bidi w:val="0"/>
        <w:spacing w:line="48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承包单位：</w:t>
      </w:r>
      <w:r>
        <w:rPr>
          <w:rFonts w:hint="eastAsia" w:ascii="宋体" w:hAnsi="宋体" w:eastAsia="宋体" w:cs="宋体"/>
          <w:color w:val="auto"/>
          <w:kern w:val="0"/>
          <w:sz w:val="24"/>
          <w:szCs w:val="24"/>
          <w:u w:val="single"/>
          <w:lang w:eastAsia="zh-CN" w:bidi="ar"/>
        </w:rPr>
        <w:t xml:space="preserve">  ***有限公司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（简称乙方） </w:t>
      </w:r>
    </w:p>
    <w:p w14:paraId="798712D5">
      <w:pPr>
        <w:pageBreakBefore w:val="0"/>
        <w:widowControl/>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甲方将</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eastAsia="zh-CN" w:bidi="ar"/>
        </w:rPr>
        <w:t xml:space="preserve">    2025年三固运行中心飞灰中控大屏采购项目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5A09E67">
      <w:pPr>
        <w:pageBreakBefore w:val="0"/>
        <w:widowControl/>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一、服务项目 </w:t>
      </w:r>
    </w:p>
    <w:p w14:paraId="559A1252">
      <w:pPr>
        <w:pageBreakBefore w:val="0"/>
        <w:widowControl/>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1.项目名称：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eastAsia="zh-CN" w:bidi="ar"/>
        </w:rPr>
        <w:t xml:space="preserve">     2025年三固运行中心飞灰中控大屏采购项目</w:t>
      </w:r>
      <w:r>
        <w:rPr>
          <w:rFonts w:hint="eastAsia" w:ascii="宋体" w:hAnsi="宋体" w:eastAsia="宋体" w:cs="宋体"/>
          <w:color w:val="auto"/>
          <w:kern w:val="0"/>
          <w:sz w:val="24"/>
          <w:szCs w:val="24"/>
          <w:u w:val="single"/>
          <w:lang w:bidi="ar"/>
        </w:rPr>
        <w:t xml:space="preserve">           </w:t>
      </w:r>
    </w:p>
    <w:p w14:paraId="0C9651F7">
      <w:pPr>
        <w:pageBreakBefore w:val="0"/>
        <w:widowControl/>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2.项目地址：位于浙江省杭</w:t>
      </w:r>
      <w:r>
        <w:rPr>
          <w:rFonts w:hint="eastAsia" w:ascii="宋体" w:hAnsi="宋体" w:eastAsia="宋体" w:cs="宋体"/>
          <w:color w:val="auto"/>
          <w:kern w:val="0"/>
          <w:sz w:val="24"/>
          <w:szCs w:val="24"/>
          <w:lang w:eastAsia="zh-CN" w:bidi="ar"/>
        </w:rPr>
        <w:t>州市</w:t>
      </w:r>
      <w:r>
        <w:rPr>
          <w:rFonts w:hint="eastAsia" w:ascii="宋体" w:hAnsi="宋体" w:eastAsia="宋体" w:cs="宋体"/>
          <w:color w:val="auto"/>
          <w:kern w:val="0"/>
          <w:sz w:val="24"/>
          <w:szCs w:val="24"/>
          <w:lang w:bidi="ar"/>
        </w:rPr>
        <w:t xml:space="preserve">钱塘区临江街道杭州临江环境能源有限公司厂区内。 </w:t>
      </w:r>
    </w:p>
    <w:p w14:paraId="79A3918D">
      <w:pPr>
        <w:pageBreakBefore w:val="0"/>
        <w:kinsoku/>
        <w:wordWrap/>
        <w:overflowPunct/>
        <w:topLinePunct w:val="0"/>
        <w:bidi w:val="0"/>
        <w:spacing w:line="480" w:lineRule="exact"/>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二、甲方职责</w:t>
      </w:r>
    </w:p>
    <w:p w14:paraId="33D5562D">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1.甲方对乙方资质进行审查，确保符合要求，并为乙方正常服务场所工作提供便利</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2025年三固运行中心飞灰中控大屏采购项目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项目实施前就各实施区域的现状及周边情况向乙方进行交底。如：实施项目周边的电缆线、消防管道及排水沟及周边车辆行驶情况等。</w:t>
      </w:r>
    </w:p>
    <w:p w14:paraId="4071E294">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2.为本项目指定专人负责具体的联系沟通工作。</w:t>
      </w:r>
    </w:p>
    <w:p w14:paraId="122ADEBC">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3.做好与本项目有关的其他各级单位的沟通协调工作。</w:t>
      </w:r>
    </w:p>
    <w:p w14:paraId="5F16A785">
      <w:pPr>
        <w:pageBreakBefore w:val="0"/>
        <w:kinsoku/>
        <w:wordWrap/>
        <w:overflowPunct/>
        <w:topLinePunct w:val="0"/>
        <w:bidi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三、乙方职责</w:t>
      </w:r>
    </w:p>
    <w:p w14:paraId="1F68E799">
      <w:pPr>
        <w:pageBreakBefore w:val="0"/>
        <w:kinsoku/>
        <w:wordWrap/>
        <w:overflowPunct/>
        <w:topLinePunct w:val="0"/>
        <w:bidi w:val="0"/>
        <w:adjustRightIn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072F5CCF">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2.乙方在项目服务期间，必须对工作人员进行安全生产教育，落实安全技术交底工作，确保各类专业技术人员持证上岗。</w:t>
      </w:r>
    </w:p>
    <w:p w14:paraId="03427889">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3.乙方应遵守甲方相关的安全生产管理制度，在禁烟区内严禁吸烟以及擅自动用各类明火（动用需经审批），并在现场设置灭火器材及警示标识。</w:t>
      </w:r>
    </w:p>
    <w:p w14:paraId="5F0CEC10">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4.乙方在项目服务期间应严格按照用电规范要求，严禁私拉乱接电线，各类电器、照明设备必须使用防爆产品或设置防爆装置。</w:t>
      </w:r>
    </w:p>
    <w:p w14:paraId="1D46DE10">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5.乙方内部要建立安全生产检查制度、落实自查自检，按“定人、定时间、定措施”的隐患整改原则，消除现场不安全因素。</w:t>
      </w:r>
    </w:p>
    <w:p w14:paraId="188CD5AF">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安全、规范、文明、科学作业，不损坏甲方的地上地下各类设施，确保项目实施区域安全有序。</w:t>
      </w:r>
    </w:p>
    <w:p w14:paraId="3FDCD43A">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7.接受甲方的监督检查。</w:t>
      </w:r>
    </w:p>
    <w:p w14:paraId="0448F2E0">
      <w:pPr>
        <w:pageBreakBefore w:val="0"/>
        <w:kinsoku/>
        <w:wordWrap/>
        <w:overflowPunct/>
        <w:topLinePunct w:val="0"/>
        <w:bidi w:val="0"/>
        <w:spacing w:line="48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四、违约责任</w:t>
      </w:r>
    </w:p>
    <w:p w14:paraId="3E807FCF">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1.在项目服务过程中，乙方必须做到安全生产，并服从甲方管理人员的调度指挥，有下列行为的，乙方扣罚履约保证金500-1000元/次：</w:t>
      </w:r>
    </w:p>
    <w:p w14:paraId="4DB6AB2B">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不服从甲方指挥，强令冒险作业；</w:t>
      </w:r>
    </w:p>
    <w:p w14:paraId="5A8BC1FE">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未按要求参加甲方组织的各项安全检查、会议活动；</w:t>
      </w:r>
    </w:p>
    <w:p w14:paraId="1181B540">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工作人员在禁烟区擅自动火、吸烟；</w:t>
      </w:r>
    </w:p>
    <w:p w14:paraId="7D3ED1E5">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4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④</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工作人员未按规定穿戴劳动防护用品，经劝说不听或不服从管理的；</w:t>
      </w:r>
    </w:p>
    <w:p w14:paraId="079AD7C9">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5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⑤</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项目服务过程造成环境影响。</w:t>
      </w:r>
    </w:p>
    <w:p w14:paraId="6BF0FE38">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2.乙方在项目服务过程中有下列行为的，扣罚履约保证金5000元/次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同时甲方有权立即解除与乙方之间的所有服务合同</w:t>
      </w:r>
      <w:r>
        <w:rPr>
          <w:rFonts w:hint="eastAsia" w:ascii="宋体" w:hAnsi="宋体" w:eastAsia="宋体" w:cs="宋体"/>
          <w:color w:val="auto"/>
          <w:sz w:val="24"/>
          <w:szCs w:val="24"/>
        </w:rPr>
        <w:t>：</w:t>
      </w:r>
    </w:p>
    <w:p w14:paraId="2FA69CD0">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由于乙方原因造成甲方被主管单位、新闻媒体、12345公开电话投诉或其他上级有关部门书面警告等通报批评的；</w:t>
      </w:r>
    </w:p>
    <w:p w14:paraId="1E660113">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乙方未履行职责，经甲方三次书面警告的，进行停业整顿的，每次停业整顿</w:t>
      </w:r>
      <w:r>
        <w:rPr>
          <w:rFonts w:hint="eastAsia" w:ascii="宋体" w:hAnsi="宋体" w:eastAsia="宋体" w:cs="宋体"/>
          <w:color w:val="auto"/>
          <w:sz w:val="24"/>
          <w:szCs w:val="24"/>
          <w:lang w:eastAsia="zh-CN"/>
        </w:rPr>
        <w:t>；</w:t>
      </w:r>
    </w:p>
    <w:p w14:paraId="1913B049">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乙方或者乙方工作人员发生重大安全事故的。</w:t>
      </w:r>
    </w:p>
    <w:p w14:paraId="740912CC">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3.乙方项目服务人员无证驾驶车辆（设备）、特殊工种无证上岗、消防器材配置缺损已提醒二十四小时无改进措施等现象，扣罚保证金2000元/人·次。</w:t>
      </w:r>
    </w:p>
    <w:p w14:paraId="3C947BD3">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4.乙方在项目服务过程中，对甲方的设施、绿化道路造成影响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乙方应按甲方要求及时进行原貌恢复或清理，如乙方未能及时进行处理的，甲方有权委托相关部门执行，相应费用在乙方履约保证金中扣除。</w:t>
      </w:r>
    </w:p>
    <w:p w14:paraId="23745E0C">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775DB94">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lang w:eastAsia="zh-CN"/>
        </w:rPr>
        <w:t>送往</w:t>
      </w:r>
      <w:r>
        <w:rPr>
          <w:rFonts w:hint="eastAsia" w:ascii="宋体" w:hAnsi="宋体" w:eastAsia="宋体" w:cs="宋体"/>
          <w:color w:val="auto"/>
          <w:sz w:val="24"/>
          <w:szCs w:val="24"/>
        </w:rPr>
        <w:t>就近医院。</w:t>
      </w:r>
    </w:p>
    <w:p w14:paraId="7C7A58E4">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7.在项目服务期间，乙方发生的安全事故以及造成的人员或财产损失由乙方全额负责。</w:t>
      </w:r>
    </w:p>
    <w:p w14:paraId="7FC8C891">
      <w:pPr>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8.其他违反甲方相关安全规章制度的现象，根据违规情况每次酌情扣罚履约保证金200—1000元。</w:t>
      </w:r>
    </w:p>
    <w:p w14:paraId="64B9A891">
      <w:pPr>
        <w:pageBreakBefore w:val="0"/>
        <w:kinsoku/>
        <w:wordWrap/>
        <w:overflowPunct/>
        <w:topLinePunct w:val="0"/>
        <w:bidi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五、其他</w:t>
      </w:r>
    </w:p>
    <w:p w14:paraId="2135A6B4">
      <w:pPr>
        <w:pageBreakBefore w:val="0"/>
        <w:widowControl/>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本协议有效期为双方签署之日起至双方权利义务履行完毕为止。有效期内发生的违约事实，有效期后发现的适用本协议。</w:t>
      </w:r>
    </w:p>
    <w:p w14:paraId="438E9467">
      <w:pPr>
        <w:pStyle w:val="28"/>
        <w:spacing w:line="560" w:lineRule="exact"/>
        <w:ind w:left="0" w:leftChars="0" w:firstLine="0" w:firstLineChars="0"/>
        <w:jc w:val="center"/>
        <w:rPr>
          <w:rFonts w:hint="eastAsia" w:ascii="宋体" w:hAnsi="宋体"/>
          <w:b/>
          <w:color w:val="auto"/>
          <w:szCs w:val="24"/>
        </w:rPr>
      </w:pPr>
    </w:p>
    <w:p w14:paraId="5CE7C245">
      <w:pPr>
        <w:pStyle w:val="28"/>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w:t>
      </w:r>
      <w:r>
        <w:rPr>
          <w:rFonts w:hint="eastAsia" w:ascii="宋体" w:hAnsi="宋体"/>
          <w:b/>
          <w:color w:val="auto"/>
          <w:szCs w:val="24"/>
          <w:lang w:val="en-US" w:eastAsia="zh-CN"/>
        </w:rPr>
        <w:t>四</w:t>
      </w:r>
      <w:r>
        <w:rPr>
          <w:rFonts w:hint="eastAsia" w:ascii="宋体" w:hAnsi="宋体"/>
          <w:b/>
          <w:color w:val="auto"/>
          <w:szCs w:val="24"/>
        </w:rPr>
        <w:t>章  廉洁协议</w:t>
      </w:r>
    </w:p>
    <w:p w14:paraId="230CA510">
      <w:pPr>
        <w:pStyle w:val="9"/>
        <w:ind w:firstLine="0" w:firstLineChars="0"/>
        <w:rPr>
          <w:color w:val="auto"/>
        </w:rPr>
      </w:pPr>
    </w:p>
    <w:p w14:paraId="1C2792A9">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390AC910">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14:paraId="16949898">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A73961B">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14:paraId="68A5310E">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甲、乙双方应共同严格遵守国家和省市以及采购人主管部门关于市场准入、项目招标投标、市场经济活动等有关法律法规和相关政策，以及项目廉政建设的各项规定。</w:t>
      </w:r>
    </w:p>
    <w:p w14:paraId="0DE681E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14:paraId="0FDCFA81">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14:paraId="3A6D548D">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14:paraId="47995BCC">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14:paraId="4C9A1395">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甲、乙双方如发现对方人员在业务活动中有违规、违纪、违法行为的，应及时提醒对方并督促其纠正，或直接向对方法定代表人、纪检监察部门及检察机关如实反映情况。</w:t>
      </w:r>
    </w:p>
    <w:p w14:paraId="70A9CE1B">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14:paraId="0A56F557">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14:paraId="2DF13BBC">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礼品和各种有价证券、支付凭证及其他贵重物品；不得接受乙方以任何名义支付的回扣、好处费、感谢费或其他经济利益。</w:t>
      </w:r>
    </w:p>
    <w:p w14:paraId="264EBF84">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6006F071">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不得利用职务便利向乙方介绍或指定单位（或个人）、物资供应商；不得利用职务便利向乙方推销或指定使用物资设备等。</w:t>
      </w:r>
    </w:p>
    <w:p w14:paraId="2A204547">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14:paraId="2DE1B922">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14:paraId="183EA20D">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14:paraId="14A3E0EC">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14:paraId="6E397937">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14:paraId="7979ABFC">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AF7D9">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不得接受甲方介绍或指定的单位和物资供应商；不得接受甲方推销或指定使用的物资设备。</w:t>
      </w:r>
    </w:p>
    <w:p w14:paraId="7374AF90">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14:paraId="7D3E2697">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对甲方及其个人索要钱物、介绍或指定单位和物资供应商、推销或指定使用物资设备、借用占用车辆等行为予以拒绝，并及时主动向乙方上级纪检监察组织报告。</w:t>
      </w:r>
    </w:p>
    <w:p w14:paraId="06541EF1">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14:paraId="7DFF7ED6">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14:paraId="07F95B09">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14:paraId="664644FA">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14:paraId="4DDEDEAC">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4FCC6281">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BFAE651">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乙方贿赂甲方人员的，被纪检监察部门或检察机关立案查处的，甲方有权终止项目合同，由此造成甲方的损失以及一切费用均由乙方承担。</w:t>
      </w:r>
    </w:p>
    <w:p w14:paraId="217F0EF7">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14:paraId="5763C289">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073F1B2">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14:paraId="31B53142">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14:paraId="1A66D5C2">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14:paraId="48BECF59">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3869C3B4">
      <w:pPr>
        <w:rPr>
          <w:color w:val="auto"/>
        </w:rPr>
      </w:pPr>
    </w:p>
    <w:p w14:paraId="16A719D4">
      <w:pPr>
        <w:rPr>
          <w:color w:val="auto"/>
        </w:rPr>
      </w:pPr>
    </w:p>
    <w:p w14:paraId="7355EA3A">
      <w:pPr>
        <w:rPr>
          <w:color w:val="auto"/>
        </w:rPr>
      </w:pPr>
    </w:p>
    <w:p w14:paraId="16F4E19A">
      <w:pPr>
        <w:rPr>
          <w:color w:val="auto"/>
        </w:rPr>
      </w:pPr>
    </w:p>
    <w:p w14:paraId="61DFE1D4">
      <w:pPr>
        <w:rPr>
          <w:color w:val="auto"/>
        </w:rPr>
      </w:pPr>
    </w:p>
    <w:p w14:paraId="3E2A2894">
      <w:pPr>
        <w:rPr>
          <w:color w:val="auto"/>
        </w:rPr>
      </w:pPr>
    </w:p>
    <w:p w14:paraId="45A9CDB5">
      <w:pPr>
        <w:rPr>
          <w:color w:val="auto"/>
        </w:rPr>
      </w:pPr>
    </w:p>
    <w:p w14:paraId="384AD6EA">
      <w:pPr>
        <w:rPr>
          <w:color w:val="auto"/>
        </w:rPr>
      </w:pPr>
    </w:p>
    <w:p w14:paraId="653FC990">
      <w:pPr>
        <w:rPr>
          <w:color w:val="auto"/>
        </w:rPr>
      </w:pPr>
    </w:p>
    <w:p w14:paraId="241ABB13">
      <w:pPr>
        <w:rPr>
          <w:color w:val="auto"/>
        </w:rPr>
      </w:pPr>
    </w:p>
    <w:p w14:paraId="027019C0">
      <w:pPr>
        <w:rPr>
          <w:color w:val="auto"/>
        </w:rPr>
      </w:pPr>
    </w:p>
    <w:p w14:paraId="2F9657CB">
      <w:pPr>
        <w:rPr>
          <w:color w:val="auto"/>
        </w:rPr>
      </w:pPr>
    </w:p>
    <w:p w14:paraId="2FD55974">
      <w:pPr>
        <w:rPr>
          <w:color w:val="auto"/>
        </w:rPr>
      </w:pPr>
    </w:p>
    <w:p w14:paraId="6BCA2847">
      <w:pPr>
        <w:rPr>
          <w:color w:val="auto"/>
        </w:rPr>
      </w:pPr>
    </w:p>
    <w:p w14:paraId="0292BF03">
      <w:pPr>
        <w:rPr>
          <w:color w:val="auto"/>
        </w:rPr>
      </w:pPr>
    </w:p>
    <w:p w14:paraId="28B8BB55">
      <w:pPr>
        <w:rPr>
          <w:color w:val="auto"/>
        </w:rPr>
      </w:pPr>
    </w:p>
    <w:p w14:paraId="649FEA17">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38D457FB">
      <w:pPr>
        <w:pStyle w:val="4"/>
        <w:spacing w:after="120" w:line="700" w:lineRule="exact"/>
        <w:ind w:left="0" w:firstLine="0"/>
        <w:rPr>
          <w:rFonts w:ascii="Times New Roman" w:hAnsi="Times New Roman" w:eastAsia="宋体" w:cs="Times New Roman"/>
          <w:color w:val="auto"/>
          <w:sz w:val="32"/>
        </w:rPr>
      </w:pPr>
      <w:r>
        <w:rPr>
          <w:rFonts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10795" b="952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a:effectLst/>
                      </wps:spPr>
                      <wps:txbx>
                        <w:txbxContent>
                          <w:p w14:paraId="699025C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7UB0dgAAAAKAQAADwAAAAAAAAABACAAAAAiAAAAZHJzL2Rvd25yZXYueG1sUEsBAhQAFAAA&#10;AAgAh07iQGKmAQsoAgAAbwQAAA4AAAAAAAAAAQAgAAAAJwEAAGRycy9lMm9Eb2MueG1sUEsFBgAA&#10;AAAGAAYAWQEAAMEFAAAAAA==&#10;">
                <v:fill on="t" focussize="0,0"/>
                <v:stroke weight="1.5pt" color="#FF0000" joinstyle="miter"/>
                <v:imagedata o:title=""/>
                <o:lock v:ext="edit" aspectratio="f"/>
                <v:textbox>
                  <w:txbxContent>
                    <w:p w14:paraId="699025C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02D5599">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35E5E004">
      <w:pPr>
        <w:spacing w:line="360" w:lineRule="auto"/>
        <w:rPr>
          <w:rFonts w:ascii="Times New Roman" w:hAnsi="Times New Roman" w:eastAsia="Cambria Math" w:cs="Times New Roman"/>
          <w:color w:val="auto"/>
          <w:sz w:val="96"/>
          <w:szCs w:val="22"/>
        </w:rPr>
      </w:pPr>
    </w:p>
    <w:p w14:paraId="33FDA167">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30E497F7">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开启时启封</w:t>
      </w:r>
    </w:p>
    <w:p w14:paraId="44C68F13">
      <w:pPr>
        <w:spacing w:line="360" w:lineRule="auto"/>
        <w:rPr>
          <w:rFonts w:ascii="宋体" w:hAnsi="宋体" w:eastAsia="宋体" w:cs="宋体"/>
          <w:color w:val="auto"/>
          <w:sz w:val="44"/>
          <w:szCs w:val="44"/>
        </w:rPr>
      </w:pPr>
    </w:p>
    <w:p w14:paraId="21AFEF4A">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2025年三固运行中心飞灰中控大屏采购项目</w:t>
      </w:r>
    </w:p>
    <w:p w14:paraId="525E6067">
      <w:pPr>
        <w:spacing w:line="480" w:lineRule="auto"/>
        <w:ind w:firstLine="840" w:firstLineChars="300"/>
        <w:rPr>
          <w:rFonts w:hint="eastAsia" w:ascii="宋体" w:hAnsi="宋体" w:eastAsia="宋体" w:cs="宋体"/>
          <w:color w:val="auto"/>
          <w:sz w:val="28"/>
          <w:szCs w:val="22"/>
          <w:u w:val="single"/>
          <w:lang w:eastAsia="zh-CN"/>
        </w:rPr>
      </w:pPr>
      <w:r>
        <w:rPr>
          <w:rFonts w:hint="eastAsia" w:ascii="宋体" w:hAnsi="宋体" w:eastAsia="宋体" w:cs="宋体"/>
          <w:color w:val="auto"/>
          <w:sz w:val="28"/>
          <w:szCs w:val="22"/>
        </w:rPr>
        <w:t>采购项目编号：</w:t>
      </w:r>
      <w:r>
        <w:rPr>
          <w:rFonts w:hint="eastAsia" w:ascii="宋体" w:hAnsi="宋体" w:eastAsia="宋体" w:cs="宋体"/>
          <w:color w:val="auto"/>
          <w:sz w:val="28"/>
          <w:szCs w:val="22"/>
          <w:u w:val="single"/>
          <w:lang w:eastAsia="zh-CN"/>
        </w:rPr>
        <w:t>202512013</w:t>
      </w:r>
    </w:p>
    <w:p w14:paraId="3082F2D0">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7FF6B3FB">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p>
    <w:p w14:paraId="3B29F36C">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p>
    <w:p w14:paraId="0691BFE0">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p>
    <w:p w14:paraId="6AD27DC9">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p>
    <w:p w14:paraId="035F5C85">
      <w:pPr>
        <w:spacing w:line="360" w:lineRule="auto"/>
        <w:jc w:val="center"/>
        <w:outlineLvl w:val="0"/>
        <w:rPr>
          <w:rFonts w:cs="仿宋" w:asciiTheme="minorEastAsia" w:hAnsiTheme="minorEastAsia"/>
          <w:b/>
          <w:color w:val="auto"/>
          <w:kern w:val="0"/>
          <w:sz w:val="36"/>
          <w:szCs w:val="36"/>
        </w:rPr>
      </w:pPr>
    </w:p>
    <w:p w14:paraId="67707A42">
      <w:pPr>
        <w:spacing w:line="360" w:lineRule="auto"/>
        <w:jc w:val="center"/>
        <w:outlineLvl w:val="0"/>
        <w:rPr>
          <w:rFonts w:cs="仿宋" w:asciiTheme="minorEastAsia" w:hAnsiTheme="minorEastAsia"/>
          <w:b/>
          <w:color w:val="auto"/>
          <w:kern w:val="0"/>
          <w:sz w:val="36"/>
          <w:szCs w:val="36"/>
        </w:rPr>
      </w:pPr>
    </w:p>
    <w:p w14:paraId="6804B658">
      <w:pPr>
        <w:spacing w:line="360" w:lineRule="auto"/>
        <w:jc w:val="center"/>
        <w:outlineLvl w:val="0"/>
        <w:rPr>
          <w:rFonts w:cs="仿宋" w:asciiTheme="minorEastAsia" w:hAnsiTheme="minorEastAsia"/>
          <w:b/>
          <w:color w:val="auto"/>
          <w:kern w:val="0"/>
          <w:sz w:val="36"/>
          <w:szCs w:val="36"/>
        </w:rPr>
      </w:pPr>
    </w:p>
    <w:p w14:paraId="302C7D06">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6FA9DDCB">
      <w:pPr>
        <w:spacing w:line="360" w:lineRule="auto"/>
        <w:jc w:val="center"/>
        <w:outlineLvl w:val="0"/>
        <w:rPr>
          <w:rFonts w:cs="仿宋" w:asciiTheme="minorEastAsia" w:hAnsiTheme="minorEastAsia"/>
          <w:b/>
          <w:color w:val="auto"/>
          <w:kern w:val="0"/>
          <w:sz w:val="36"/>
          <w:szCs w:val="36"/>
        </w:rPr>
      </w:pPr>
    </w:p>
    <w:p w14:paraId="68C6EF7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675EF09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5893855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063CBF9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（3）业绩证明材料…………………………………………………………（页码）</w:t>
      </w:r>
    </w:p>
    <w:p w14:paraId="6AB71F5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（4）本项目其他资格要求（如果有）……………………………………（页码）</w:t>
      </w:r>
    </w:p>
    <w:p w14:paraId="4FBC6B37">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（5）本项目的询价保证金银行电子回单（如果有）……………………（页码）</w:t>
      </w:r>
    </w:p>
    <w:p w14:paraId="5DF9B1E3">
      <w:pPr>
        <w:rPr>
          <w:color w:val="auto"/>
        </w:rPr>
      </w:pPr>
    </w:p>
    <w:p w14:paraId="332DFB44">
      <w:pPr>
        <w:snapToGrid w:val="0"/>
        <w:spacing w:line="360" w:lineRule="auto"/>
        <w:ind w:right="480"/>
        <w:jc w:val="center"/>
        <w:rPr>
          <w:rFonts w:cs="仿宋" w:asciiTheme="minorEastAsia" w:hAnsiTheme="minorEastAsia"/>
          <w:b/>
          <w:color w:val="auto"/>
          <w:kern w:val="0"/>
          <w:sz w:val="32"/>
          <w:szCs w:val="32"/>
        </w:rPr>
      </w:pPr>
    </w:p>
    <w:p w14:paraId="4A53C1FD">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0DB8325F">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14:paraId="1ADCEE0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A291FC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rPr>
        <w:t>2025年三固运行中心飞灰中控大屏采购项目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rPr>
        <w:t>】采购活动，郑重承诺：</w:t>
      </w:r>
    </w:p>
    <w:p w14:paraId="107BAB73">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3CE7D0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99564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5B20F0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0CECD0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B5A0B5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D75DC4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3616FA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（二）近三年内，未被“信用中国”(www.creditchina.gov.cn)、中国政府采购网(www.ccgp.gov.cn)等官方网站列入失信被执行人名单、重大税收违法失信主体名单、政府采购严重违法失信行为名单。</w:t>
      </w:r>
    </w:p>
    <w:p w14:paraId="4DD28A9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41DB5D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1A4D98EA">
      <w:pPr>
        <w:snapToGrid w:val="0"/>
        <w:spacing w:line="360" w:lineRule="auto"/>
        <w:ind w:firstLine="480" w:firstLineChars="200"/>
        <w:rPr>
          <w:rFonts w:cs="仿宋" w:asciiTheme="minorEastAsia" w:hAnsiTheme="minorEastAsia"/>
          <w:color w:val="auto"/>
          <w:sz w:val="24"/>
        </w:rPr>
      </w:pPr>
    </w:p>
    <w:p w14:paraId="2F2C4F84">
      <w:pPr>
        <w:snapToGrid w:val="0"/>
        <w:spacing w:line="360" w:lineRule="auto"/>
        <w:ind w:firstLine="480" w:firstLineChars="200"/>
        <w:rPr>
          <w:rFonts w:cs="仿宋" w:asciiTheme="minorEastAsia" w:hAnsiTheme="minorEastAsia"/>
          <w:color w:val="auto"/>
          <w:sz w:val="24"/>
        </w:rPr>
      </w:pPr>
    </w:p>
    <w:p w14:paraId="36CF214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09E3E41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月日</w:t>
      </w:r>
    </w:p>
    <w:p w14:paraId="28A2BB34">
      <w:pPr>
        <w:snapToGrid w:val="0"/>
        <w:spacing w:line="360" w:lineRule="auto"/>
        <w:ind w:right="480"/>
        <w:jc w:val="center"/>
        <w:rPr>
          <w:rFonts w:cs="仿宋" w:asciiTheme="minorEastAsia" w:hAnsiTheme="minorEastAsia"/>
          <w:b/>
          <w:color w:val="auto"/>
          <w:kern w:val="0"/>
          <w:sz w:val="32"/>
          <w:szCs w:val="32"/>
        </w:rPr>
      </w:pPr>
    </w:p>
    <w:p w14:paraId="643434E6">
      <w:pPr>
        <w:rPr>
          <w:color w:val="auto"/>
        </w:rPr>
      </w:pPr>
    </w:p>
    <w:p w14:paraId="11ACB6F4">
      <w:pPr>
        <w:pStyle w:val="7"/>
        <w:rPr>
          <w:color w:val="auto"/>
        </w:rPr>
      </w:pPr>
    </w:p>
    <w:p w14:paraId="3D648F10">
      <w:pPr>
        <w:pStyle w:val="8"/>
        <w:rPr>
          <w:color w:val="auto"/>
        </w:rPr>
      </w:pPr>
    </w:p>
    <w:p w14:paraId="5F1923E6">
      <w:pPr>
        <w:rPr>
          <w:color w:val="auto"/>
        </w:rPr>
      </w:pPr>
    </w:p>
    <w:p w14:paraId="254BB4B7">
      <w:pPr>
        <w:pStyle w:val="7"/>
        <w:rPr>
          <w:color w:val="auto"/>
        </w:rPr>
      </w:pPr>
    </w:p>
    <w:p w14:paraId="0CE7AACA">
      <w:pPr>
        <w:pStyle w:val="8"/>
        <w:rPr>
          <w:color w:val="auto"/>
        </w:rPr>
      </w:pPr>
    </w:p>
    <w:p w14:paraId="032BAF89">
      <w:pPr>
        <w:rPr>
          <w:color w:val="auto"/>
        </w:rPr>
      </w:pPr>
    </w:p>
    <w:p w14:paraId="01B15041">
      <w:pPr>
        <w:pStyle w:val="7"/>
        <w:rPr>
          <w:color w:val="auto"/>
        </w:rPr>
      </w:pPr>
    </w:p>
    <w:p w14:paraId="69E8B60B">
      <w:pPr>
        <w:pStyle w:val="8"/>
        <w:rPr>
          <w:color w:val="auto"/>
        </w:rPr>
      </w:pPr>
    </w:p>
    <w:p w14:paraId="20A8C76E">
      <w:pPr>
        <w:rPr>
          <w:color w:val="auto"/>
        </w:rPr>
      </w:pPr>
    </w:p>
    <w:p w14:paraId="5F192BAC">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F6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B69B293">
            <w:pPr>
              <w:pStyle w:val="7"/>
              <w:jc w:val="center"/>
              <w:rPr>
                <w:color w:val="auto"/>
                <w:lang w:val="en-US"/>
              </w:rPr>
            </w:pPr>
            <w:r>
              <w:rPr>
                <w:rFonts w:hint="eastAsia"/>
                <w:color w:val="auto"/>
                <w:lang w:val="en-US"/>
              </w:rPr>
              <w:t>（有效期内的营业执照）</w:t>
            </w:r>
          </w:p>
          <w:p w14:paraId="423C3497">
            <w:pPr>
              <w:pStyle w:val="31"/>
              <w:adjustRightInd w:val="0"/>
              <w:spacing w:line="360" w:lineRule="auto"/>
              <w:rPr>
                <w:rFonts w:cs="仿宋" w:asciiTheme="minorEastAsia" w:hAnsiTheme="minorEastAsia" w:eastAsiaTheme="minorEastAsia"/>
                <w:bCs/>
                <w:color w:val="auto"/>
                <w:sz w:val="24"/>
              </w:rPr>
            </w:pPr>
          </w:p>
        </w:tc>
      </w:tr>
    </w:tbl>
    <w:p w14:paraId="0A7FA387">
      <w:pPr>
        <w:pStyle w:val="7"/>
        <w:rPr>
          <w:color w:val="auto"/>
          <w:lang w:val="en-US"/>
        </w:rPr>
      </w:pPr>
    </w:p>
    <w:p w14:paraId="6E2AF3C3">
      <w:pPr>
        <w:spacing w:line="360" w:lineRule="auto"/>
        <w:ind w:firstLine="643" w:firstLineChars="200"/>
        <w:rPr>
          <w:rFonts w:cs="仿宋" w:asciiTheme="minorEastAsia" w:hAnsiTheme="minorEastAsia"/>
          <w:b/>
          <w:color w:val="auto"/>
          <w:kern w:val="0"/>
          <w:sz w:val="32"/>
          <w:szCs w:val="32"/>
        </w:rPr>
      </w:pPr>
    </w:p>
    <w:p w14:paraId="41CDA282">
      <w:pPr>
        <w:pStyle w:val="17"/>
        <w:rPr>
          <w:rFonts w:cs="仿宋" w:asciiTheme="minorEastAsia" w:hAnsiTheme="minorEastAsia"/>
          <w:b/>
          <w:color w:val="auto"/>
        </w:rPr>
      </w:pPr>
    </w:p>
    <w:p w14:paraId="7C070E1E">
      <w:pPr>
        <w:rPr>
          <w:color w:val="auto"/>
        </w:rPr>
      </w:pPr>
    </w:p>
    <w:p w14:paraId="5D41FB2D">
      <w:pPr>
        <w:snapToGrid w:val="0"/>
        <w:spacing w:line="360" w:lineRule="auto"/>
        <w:ind w:right="480"/>
        <w:jc w:val="center"/>
        <w:rPr>
          <w:rFonts w:cs="仿宋" w:asciiTheme="minorEastAsia" w:hAnsiTheme="minorEastAsia"/>
          <w:b/>
          <w:color w:val="auto"/>
          <w:kern w:val="0"/>
          <w:sz w:val="32"/>
          <w:szCs w:val="32"/>
        </w:rPr>
      </w:pPr>
    </w:p>
    <w:p w14:paraId="50EE963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三、业绩证明材料</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07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AEE74E3">
            <w:pPr>
              <w:pStyle w:val="31"/>
              <w:adjustRightInd w:val="0"/>
              <w:spacing w:line="360" w:lineRule="auto"/>
              <w:rPr>
                <w:rFonts w:cs="仿宋" w:asciiTheme="minorEastAsia" w:hAnsiTheme="minorEastAsia"/>
                <w:bCs/>
                <w:color w:val="auto"/>
                <w:sz w:val="24"/>
                <w:u w:val="single"/>
              </w:rPr>
            </w:pPr>
          </w:p>
          <w:p w14:paraId="50CE57B7">
            <w:pPr>
              <w:pStyle w:val="31"/>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rPr>
              <w:t>供应商提供自2023年1月1日</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含</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rPr>
              <w:t>起至少完成过1</w:t>
            </w:r>
            <w:r>
              <w:rPr>
                <w:rFonts w:hint="eastAsia" w:cs="仿宋" w:asciiTheme="minorEastAsia" w:hAnsiTheme="minorEastAsia"/>
                <w:bCs/>
                <w:color w:val="auto"/>
                <w:sz w:val="24"/>
                <w:u w:val="single"/>
                <w:lang w:val="en-US" w:eastAsia="zh-CN"/>
              </w:rPr>
              <w:t>例大屏销售</w:t>
            </w:r>
            <w:r>
              <w:rPr>
                <w:rFonts w:hint="eastAsia" w:cs="仿宋" w:asciiTheme="minorEastAsia" w:hAnsiTheme="minorEastAsia"/>
                <w:bCs/>
                <w:color w:val="auto"/>
                <w:sz w:val="24"/>
                <w:u w:val="single"/>
              </w:rPr>
              <w:t>业绩（同时提供合同复印件，以合同签订时间为准）。</w:t>
            </w:r>
          </w:p>
        </w:tc>
      </w:tr>
    </w:tbl>
    <w:p w14:paraId="0C27B738">
      <w:pPr>
        <w:spacing w:line="360" w:lineRule="auto"/>
        <w:ind w:firstLine="643" w:firstLineChars="200"/>
        <w:jc w:val="center"/>
        <w:rPr>
          <w:rFonts w:cs="仿宋" w:asciiTheme="minorEastAsia" w:hAnsiTheme="minorEastAsia"/>
          <w:b/>
          <w:color w:val="auto"/>
          <w:kern w:val="0"/>
          <w:sz w:val="32"/>
          <w:szCs w:val="32"/>
        </w:rPr>
      </w:pPr>
    </w:p>
    <w:p w14:paraId="58871E21">
      <w:pPr>
        <w:spacing w:line="360" w:lineRule="auto"/>
        <w:ind w:firstLine="643" w:firstLineChars="200"/>
        <w:jc w:val="center"/>
        <w:rPr>
          <w:rFonts w:cs="仿宋" w:asciiTheme="minorEastAsia" w:hAnsiTheme="minorEastAsia"/>
          <w:b/>
          <w:color w:val="auto"/>
          <w:kern w:val="0"/>
          <w:sz w:val="32"/>
          <w:szCs w:val="32"/>
        </w:rPr>
      </w:pPr>
    </w:p>
    <w:p w14:paraId="4A5A30FB">
      <w:pPr>
        <w:spacing w:line="360" w:lineRule="auto"/>
        <w:ind w:firstLine="643" w:firstLineChars="200"/>
        <w:jc w:val="center"/>
        <w:rPr>
          <w:rFonts w:cs="仿宋" w:asciiTheme="minorEastAsia" w:hAnsiTheme="minorEastAsia"/>
          <w:b/>
          <w:color w:val="auto"/>
          <w:kern w:val="0"/>
          <w:sz w:val="32"/>
          <w:szCs w:val="32"/>
        </w:rPr>
      </w:pPr>
    </w:p>
    <w:p w14:paraId="56018FE9">
      <w:pPr>
        <w:spacing w:line="360" w:lineRule="auto"/>
        <w:ind w:firstLine="643" w:firstLineChars="200"/>
        <w:jc w:val="center"/>
        <w:rPr>
          <w:rFonts w:cs="仿宋" w:asciiTheme="minorEastAsia" w:hAnsiTheme="minorEastAsia"/>
          <w:b/>
          <w:color w:val="auto"/>
          <w:kern w:val="0"/>
          <w:sz w:val="32"/>
          <w:szCs w:val="32"/>
        </w:rPr>
      </w:pPr>
    </w:p>
    <w:p w14:paraId="02B6434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四、本项目其他资格要求</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DD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D7E7347">
            <w:pPr>
              <w:pStyle w:val="8"/>
              <w:jc w:val="center"/>
              <w:rPr>
                <w:rFonts w:cs="仿宋" w:asciiTheme="minorEastAsia" w:hAnsiTheme="minorEastAsia"/>
                <w:bCs/>
                <w:color w:val="auto"/>
              </w:rPr>
            </w:pPr>
            <w:r>
              <w:rPr>
                <w:rFonts w:hint="eastAsia" w:cs="仿宋" w:asciiTheme="minorEastAsia" w:hAnsiTheme="minorEastAsia"/>
                <w:bCs/>
                <w:color w:val="auto"/>
              </w:rPr>
              <w:t>（</w:t>
            </w:r>
            <w:r>
              <w:rPr>
                <w:rFonts w:hint="eastAsia" w:cs="仿宋" w:asciiTheme="minorEastAsia" w:hAnsiTheme="minorEastAsia"/>
                <w:bCs/>
                <w:color w:val="auto"/>
                <w:lang w:val="en-US"/>
              </w:rPr>
              <w:t>若有则提供，</w:t>
            </w:r>
            <w:r>
              <w:rPr>
                <w:rFonts w:hint="eastAsia" w:cs="仿宋" w:asciiTheme="minorEastAsia" w:hAnsiTheme="minorEastAsia"/>
                <w:bCs/>
                <w:color w:val="auto"/>
              </w:rPr>
              <w:t>未要求的，无需提供）</w:t>
            </w:r>
          </w:p>
          <w:p w14:paraId="7684801B">
            <w:pPr>
              <w:pStyle w:val="31"/>
              <w:adjustRightInd w:val="0"/>
              <w:spacing w:line="360" w:lineRule="auto"/>
              <w:rPr>
                <w:rFonts w:cs="仿宋" w:asciiTheme="minorEastAsia" w:hAnsiTheme="minorEastAsia" w:eastAsiaTheme="minorEastAsia"/>
                <w:bCs/>
                <w:color w:val="auto"/>
                <w:sz w:val="24"/>
              </w:rPr>
            </w:pPr>
          </w:p>
        </w:tc>
      </w:tr>
    </w:tbl>
    <w:p w14:paraId="666EF59D">
      <w:pPr>
        <w:rPr>
          <w:color w:val="auto"/>
        </w:rPr>
      </w:pPr>
    </w:p>
    <w:p w14:paraId="6DE489EC">
      <w:pPr>
        <w:pStyle w:val="7"/>
        <w:rPr>
          <w:color w:val="auto"/>
        </w:rPr>
      </w:pPr>
    </w:p>
    <w:p w14:paraId="043F470C">
      <w:pPr>
        <w:pStyle w:val="7"/>
        <w:rPr>
          <w:color w:val="auto"/>
        </w:rPr>
      </w:pPr>
    </w:p>
    <w:p w14:paraId="0EE1646B">
      <w:pPr>
        <w:pStyle w:val="7"/>
        <w:jc w:val="center"/>
        <w:rPr>
          <w:rFonts w:cs="仿宋" w:asciiTheme="minorEastAsia" w:hAnsiTheme="minorEastAsia"/>
          <w:b/>
          <w:snapToGrid/>
          <w:color w:val="auto"/>
          <w:kern w:val="0"/>
          <w:sz w:val="32"/>
          <w:szCs w:val="32"/>
          <w:lang w:val="en-US"/>
        </w:rPr>
      </w:pPr>
      <w:r>
        <w:rPr>
          <w:rFonts w:hint="eastAsia" w:cs="仿宋" w:asciiTheme="minorEastAsia" w:hAnsiTheme="minorEastAsia"/>
          <w:b/>
          <w:snapToGrid/>
          <w:color w:val="auto"/>
          <w:kern w:val="0"/>
          <w:sz w:val="32"/>
          <w:szCs w:val="32"/>
          <w:lang w:val="en-US"/>
        </w:rPr>
        <w:t>五、询价保证金银行电子回单</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F9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7AC0902">
            <w:pPr>
              <w:pStyle w:val="8"/>
              <w:jc w:val="center"/>
              <w:rPr>
                <w:rFonts w:cs="仿宋" w:asciiTheme="minorEastAsia" w:hAnsiTheme="minorEastAsia"/>
                <w:bCs/>
                <w:color w:val="auto"/>
              </w:rPr>
            </w:pPr>
            <w:r>
              <w:rPr>
                <w:rFonts w:hint="eastAsia" w:cs="仿宋" w:asciiTheme="minorEastAsia" w:hAnsiTheme="minorEastAsia"/>
                <w:bCs/>
                <w:color w:val="auto"/>
              </w:rPr>
              <w:t>（</w:t>
            </w:r>
            <w:r>
              <w:rPr>
                <w:rFonts w:hint="eastAsia" w:cs="仿宋" w:asciiTheme="minorEastAsia" w:hAnsiTheme="minorEastAsia"/>
                <w:bCs/>
                <w:color w:val="auto"/>
                <w:lang w:val="en-US"/>
              </w:rPr>
              <w:t>若有则提供，</w:t>
            </w:r>
            <w:r>
              <w:rPr>
                <w:rFonts w:hint="eastAsia" w:cs="仿宋" w:asciiTheme="minorEastAsia" w:hAnsiTheme="minorEastAsia"/>
                <w:bCs/>
                <w:color w:val="auto"/>
              </w:rPr>
              <w:t>未要求的，无需提供）</w:t>
            </w:r>
          </w:p>
          <w:p w14:paraId="584B6FAA">
            <w:pPr>
              <w:pStyle w:val="31"/>
              <w:adjustRightInd w:val="0"/>
              <w:spacing w:line="360" w:lineRule="auto"/>
              <w:rPr>
                <w:rFonts w:cs="仿宋" w:asciiTheme="minorEastAsia" w:hAnsiTheme="minorEastAsia" w:eastAsiaTheme="minorEastAsia"/>
                <w:bCs/>
                <w:color w:val="auto"/>
                <w:sz w:val="24"/>
              </w:rPr>
            </w:pPr>
          </w:p>
        </w:tc>
      </w:tr>
    </w:tbl>
    <w:p w14:paraId="5EA24C7B">
      <w:pP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br w:type="page"/>
      </w:r>
    </w:p>
    <w:p w14:paraId="4DA1B678">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54ADDF11">
      <w:pPr>
        <w:spacing w:line="360" w:lineRule="auto"/>
        <w:jc w:val="center"/>
        <w:outlineLvl w:val="0"/>
        <w:rPr>
          <w:rFonts w:cs="仿宋" w:asciiTheme="minorEastAsia" w:hAnsiTheme="minorEastAsia"/>
          <w:b/>
          <w:color w:val="auto"/>
          <w:kern w:val="0"/>
          <w:sz w:val="24"/>
        </w:rPr>
      </w:pPr>
    </w:p>
    <w:p w14:paraId="6046259E">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2E8DAA3F">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5B2938D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79E6D1E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1B189F7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（4）商务技术偏离表……………………………………………………………（页码）</w:t>
      </w:r>
    </w:p>
    <w:p w14:paraId="0441437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36D4C9E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（6）供应商股东信息及出资比例信息表………………………………………（页码）</w:t>
      </w:r>
    </w:p>
    <w:p w14:paraId="7BA75FA8">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（7）供应商服务质量保证承诺函………………………………………………（页码）</w:t>
      </w:r>
    </w:p>
    <w:p w14:paraId="51A0CD9E">
      <w:pPr>
        <w:snapToGrid w:val="0"/>
        <w:spacing w:line="360" w:lineRule="auto"/>
        <w:rPr>
          <w:rFonts w:cs="仿宋" w:asciiTheme="minorEastAsia" w:hAnsiTheme="minorEastAsia"/>
          <w:color w:val="auto"/>
          <w:sz w:val="24"/>
        </w:rPr>
      </w:pPr>
    </w:p>
    <w:p w14:paraId="0C8EC0AD">
      <w:pPr>
        <w:pStyle w:val="8"/>
        <w:rPr>
          <w:color w:val="auto"/>
        </w:rPr>
      </w:pPr>
    </w:p>
    <w:p w14:paraId="2FD4B96B">
      <w:pPr>
        <w:pStyle w:val="8"/>
        <w:ind w:firstLine="0"/>
        <w:rPr>
          <w:color w:val="auto"/>
        </w:rPr>
      </w:pPr>
    </w:p>
    <w:p w14:paraId="558D46F6">
      <w:pPr>
        <w:pStyle w:val="15"/>
        <w:rPr>
          <w:color w:val="auto"/>
        </w:rPr>
      </w:pPr>
    </w:p>
    <w:p w14:paraId="721A8416">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0A451F71">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0EF9480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C9DCDE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rPr>
        <w:t>2025年三固运行中心飞灰中控大屏采购项目【项目编号：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6E7F8D8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605C63D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156127F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7106DFA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17DBA9F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2D336DA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428E8D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242832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5405C6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868F59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71EB49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19986BC6">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0FE433D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1A23572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54843E1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47AB8F9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6F76FF0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06DDB82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0B6CBCCB">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456424BA">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7C7E410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3B96948C">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2A20581B">
      <w:pPr>
        <w:snapToGrid w:val="0"/>
        <w:spacing w:line="360" w:lineRule="auto"/>
        <w:ind w:left="210" w:leftChars="100" w:firstLine="480" w:firstLineChars="200"/>
        <w:rPr>
          <w:rFonts w:cs="仿宋" w:asciiTheme="minorEastAsia" w:hAnsiTheme="minorEastAsia"/>
          <w:color w:val="auto"/>
          <w:sz w:val="24"/>
        </w:rPr>
      </w:pPr>
      <w:r>
        <w:rPr>
          <w:rFonts w:cs="仿宋" w:asciiTheme="minorEastAsia" w:hAnsiTheme="minorEastAsia"/>
          <w:color w:val="auto"/>
          <w:sz w:val="24"/>
        </w:rPr>
        <w:t>5</w:t>
      </w:r>
      <w:r>
        <w:rPr>
          <w:rFonts w:hint="eastAsia" w:cs="仿宋" w:asciiTheme="minorEastAsia" w:hAnsiTheme="minorEastAsia"/>
          <w:color w:val="auto"/>
          <w:sz w:val="24"/>
        </w:rPr>
        <w:t>.其他补充说明:</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rPr>
        <w:t>。</w:t>
      </w:r>
    </w:p>
    <w:p w14:paraId="4D154374">
      <w:pPr>
        <w:pStyle w:val="7"/>
        <w:rPr>
          <w:color w:val="auto"/>
        </w:rPr>
      </w:pPr>
    </w:p>
    <w:p w14:paraId="798169DF">
      <w:pPr>
        <w:pStyle w:val="8"/>
        <w:rPr>
          <w:color w:val="auto"/>
        </w:rPr>
      </w:pPr>
    </w:p>
    <w:p w14:paraId="7D4418E4">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7079D18C">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14:paraId="4EF0136F">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23C1A9F">
      <w:pPr>
        <w:snapToGrid w:val="0"/>
        <w:spacing w:line="360" w:lineRule="auto"/>
        <w:rPr>
          <w:rFonts w:cs="仿宋" w:asciiTheme="minorEastAsia" w:hAnsiTheme="minorEastAsia"/>
          <w:color w:val="auto"/>
          <w:kern w:val="0"/>
          <w:sz w:val="24"/>
        </w:rPr>
      </w:pPr>
    </w:p>
    <w:p w14:paraId="0565962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5B8E678F">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rPr>
        <w:t>2025年三固运行中心飞灰中控大屏采购项目【项目编号：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u w:val="single"/>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其在报价、合同签订、合同履行等过程中的一切活动本公司均予承认</w:t>
      </w:r>
      <w:r>
        <w:rPr>
          <w:rFonts w:hint="eastAsia" w:cs="仿宋" w:asciiTheme="minorEastAsia" w:hAnsiTheme="minorEastAsia"/>
          <w:color w:val="auto"/>
          <w:kern w:val="0"/>
          <w:sz w:val="24"/>
          <w:lang w:val="zh-CN"/>
        </w:rPr>
        <w:t>，其法律后果由我方承担。</w:t>
      </w:r>
    </w:p>
    <w:p w14:paraId="46A436A7">
      <w:pPr>
        <w:snapToGrid w:val="0"/>
        <w:spacing w:line="360" w:lineRule="auto"/>
        <w:rPr>
          <w:rFonts w:cs="仿宋" w:asciiTheme="minorEastAsia" w:hAnsiTheme="minorEastAsia"/>
          <w:color w:val="auto"/>
          <w:kern w:val="0"/>
          <w:sz w:val="24"/>
          <w:lang w:val="zh-CN"/>
        </w:rPr>
      </w:pPr>
    </w:p>
    <w:p w14:paraId="45603AA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自年月日起至年月日止（不小于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2FFAFC48">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69074B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1629D6FD">
      <w:pPr>
        <w:snapToGrid w:val="0"/>
        <w:spacing w:line="360" w:lineRule="auto"/>
        <w:rPr>
          <w:rFonts w:cs="仿宋" w:asciiTheme="minorEastAsia" w:hAnsiTheme="minorEastAsia"/>
          <w:color w:val="auto"/>
          <w:kern w:val="0"/>
          <w:sz w:val="24"/>
          <w:lang w:val="zh-CN"/>
        </w:rPr>
      </w:pPr>
    </w:p>
    <w:p w14:paraId="16FC91F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供应商名称：（公章）</w:t>
      </w:r>
    </w:p>
    <w:p w14:paraId="080AB095">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法定代表人签字：</w:t>
      </w:r>
    </w:p>
    <w:p w14:paraId="11044E11">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3C1B14E4">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718DFCB7">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474C16B7">
      <w:pPr>
        <w:jc w:val="center"/>
        <w:rPr>
          <w:rFonts w:cs="仿宋" w:asciiTheme="minorEastAsia" w:hAnsiTheme="minorEastAsia"/>
          <w:b/>
          <w:color w:val="auto"/>
          <w:kern w:val="0"/>
          <w:sz w:val="32"/>
          <w:szCs w:val="32"/>
          <w:lang w:val="zh-CN"/>
        </w:rPr>
      </w:pPr>
    </w:p>
    <w:p w14:paraId="383D6E83">
      <w:pPr>
        <w:jc w:val="center"/>
        <w:rPr>
          <w:rFonts w:cs="仿宋" w:asciiTheme="minorEastAsia" w:hAnsiTheme="minorEastAsia"/>
          <w:b/>
          <w:color w:val="auto"/>
          <w:kern w:val="0"/>
          <w:sz w:val="32"/>
          <w:szCs w:val="32"/>
          <w:lang w:val="zh-CN"/>
        </w:rPr>
      </w:pPr>
    </w:p>
    <w:p w14:paraId="1DAD1237">
      <w:pPr>
        <w:jc w:val="center"/>
        <w:rPr>
          <w:rFonts w:cs="仿宋" w:asciiTheme="minorEastAsia" w:hAnsiTheme="minorEastAsia"/>
          <w:b/>
          <w:color w:val="auto"/>
          <w:kern w:val="0"/>
          <w:sz w:val="32"/>
          <w:szCs w:val="32"/>
          <w:lang w:val="zh-CN"/>
        </w:rPr>
      </w:pPr>
    </w:p>
    <w:p w14:paraId="01D597D2">
      <w:pPr>
        <w:jc w:val="center"/>
        <w:rPr>
          <w:rFonts w:cs="仿宋" w:asciiTheme="minorEastAsia" w:hAnsiTheme="minorEastAsia"/>
          <w:b/>
          <w:color w:val="auto"/>
          <w:kern w:val="0"/>
          <w:sz w:val="32"/>
          <w:szCs w:val="32"/>
          <w:lang w:val="zh-CN"/>
        </w:rPr>
      </w:pPr>
    </w:p>
    <w:p w14:paraId="529866E2">
      <w:pPr>
        <w:jc w:val="center"/>
        <w:rPr>
          <w:rFonts w:cs="仿宋" w:asciiTheme="minorEastAsia" w:hAnsiTheme="minorEastAsia"/>
          <w:b/>
          <w:color w:val="auto"/>
          <w:kern w:val="0"/>
          <w:sz w:val="32"/>
          <w:szCs w:val="32"/>
          <w:lang w:val="zh-CN"/>
        </w:rPr>
      </w:pPr>
    </w:p>
    <w:p w14:paraId="64C2B822">
      <w:pPr>
        <w:jc w:val="center"/>
        <w:rPr>
          <w:rFonts w:cs="仿宋" w:asciiTheme="minorEastAsia" w:hAnsiTheme="minorEastAsia"/>
          <w:b/>
          <w:color w:val="auto"/>
          <w:kern w:val="0"/>
          <w:sz w:val="32"/>
          <w:szCs w:val="32"/>
          <w:lang w:val="zh-CN"/>
        </w:rPr>
      </w:pPr>
    </w:p>
    <w:p w14:paraId="5F6741BE">
      <w:pPr>
        <w:jc w:val="center"/>
        <w:rPr>
          <w:rFonts w:cs="仿宋" w:asciiTheme="minorEastAsia" w:hAnsiTheme="minorEastAsia"/>
          <w:b/>
          <w:color w:val="auto"/>
          <w:kern w:val="0"/>
          <w:sz w:val="32"/>
          <w:szCs w:val="32"/>
          <w:lang w:val="zh-CN"/>
        </w:rPr>
      </w:pPr>
    </w:p>
    <w:p w14:paraId="02949B96">
      <w:pPr>
        <w:jc w:val="center"/>
        <w:rPr>
          <w:rFonts w:cs="仿宋" w:asciiTheme="minorEastAsia" w:hAnsiTheme="minorEastAsia"/>
          <w:b/>
          <w:color w:val="auto"/>
          <w:kern w:val="0"/>
          <w:sz w:val="32"/>
          <w:szCs w:val="32"/>
          <w:lang w:val="zh-CN"/>
        </w:rPr>
      </w:pPr>
    </w:p>
    <w:p w14:paraId="264D389C">
      <w:pPr>
        <w:jc w:val="center"/>
        <w:rPr>
          <w:rFonts w:cs="仿宋" w:asciiTheme="minorEastAsia" w:hAnsiTheme="minorEastAsia"/>
          <w:b/>
          <w:color w:val="auto"/>
          <w:kern w:val="0"/>
          <w:sz w:val="32"/>
          <w:szCs w:val="32"/>
          <w:lang w:val="zh-CN"/>
        </w:rPr>
      </w:pPr>
    </w:p>
    <w:p w14:paraId="367C8B6E">
      <w:pPr>
        <w:pStyle w:val="7"/>
        <w:rPr>
          <w:rFonts w:cs="仿宋" w:asciiTheme="minorEastAsia" w:hAnsiTheme="minorEastAsia"/>
          <w:b/>
          <w:color w:val="auto"/>
          <w:kern w:val="0"/>
          <w:sz w:val="32"/>
          <w:szCs w:val="32"/>
        </w:rPr>
      </w:pPr>
    </w:p>
    <w:p w14:paraId="48413C83">
      <w:pPr>
        <w:pStyle w:val="8"/>
        <w:rPr>
          <w:rFonts w:cs="仿宋" w:asciiTheme="minorEastAsia" w:hAnsiTheme="minorEastAsia"/>
          <w:b/>
          <w:color w:val="auto"/>
          <w:kern w:val="0"/>
          <w:sz w:val="32"/>
          <w:szCs w:val="32"/>
        </w:rPr>
      </w:pPr>
    </w:p>
    <w:p w14:paraId="19999774">
      <w:pPr>
        <w:rPr>
          <w:rFonts w:cs="仿宋" w:asciiTheme="minorEastAsia" w:hAnsiTheme="minorEastAsia"/>
          <w:b/>
          <w:color w:val="auto"/>
          <w:kern w:val="0"/>
          <w:sz w:val="32"/>
          <w:szCs w:val="32"/>
          <w:lang w:val="zh-CN"/>
        </w:rPr>
      </w:pPr>
    </w:p>
    <w:p w14:paraId="71354F15">
      <w:pPr>
        <w:pStyle w:val="7"/>
        <w:rPr>
          <w:rFonts w:cs="仿宋" w:asciiTheme="minorEastAsia" w:hAnsiTheme="minorEastAsia"/>
          <w:b/>
          <w:color w:val="auto"/>
          <w:kern w:val="0"/>
          <w:sz w:val="32"/>
          <w:szCs w:val="32"/>
        </w:rPr>
      </w:pPr>
    </w:p>
    <w:p w14:paraId="0315139D">
      <w:pPr>
        <w:pStyle w:val="8"/>
        <w:rPr>
          <w:color w:val="auto"/>
        </w:rPr>
      </w:pPr>
    </w:p>
    <w:p w14:paraId="5603A1A8">
      <w:pPr>
        <w:rPr>
          <w:color w:val="auto"/>
        </w:rPr>
      </w:pPr>
    </w:p>
    <w:p w14:paraId="7F063F4C">
      <w:pPr>
        <w:pStyle w:val="31"/>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BA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8AA12C1">
            <w:pPr>
              <w:pStyle w:val="31"/>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17E56502">
            <w:pPr>
              <w:pStyle w:val="31"/>
              <w:adjustRightInd w:val="0"/>
              <w:spacing w:line="360" w:lineRule="auto"/>
              <w:rPr>
                <w:rFonts w:cs="仿宋" w:asciiTheme="minorEastAsia" w:hAnsiTheme="minorEastAsia" w:eastAsiaTheme="minorEastAsia"/>
                <w:bCs/>
                <w:color w:val="auto"/>
                <w:sz w:val="24"/>
              </w:rPr>
            </w:pPr>
          </w:p>
        </w:tc>
      </w:tr>
    </w:tbl>
    <w:p w14:paraId="1B38E98A">
      <w:pPr>
        <w:snapToGrid w:val="0"/>
        <w:spacing w:line="360" w:lineRule="auto"/>
        <w:ind w:firstLine="576"/>
        <w:jc w:val="center"/>
        <w:rPr>
          <w:rFonts w:cs="仿宋" w:asciiTheme="minorEastAsia" w:hAnsiTheme="minorEastAsia"/>
          <w:color w:val="auto"/>
          <w:kern w:val="0"/>
          <w:sz w:val="24"/>
          <w:lang w:val="zh-CN"/>
        </w:rPr>
      </w:pPr>
    </w:p>
    <w:p w14:paraId="539D2419">
      <w:pPr>
        <w:snapToGrid w:val="0"/>
        <w:spacing w:line="360" w:lineRule="auto"/>
        <w:ind w:firstLine="576"/>
        <w:jc w:val="center"/>
        <w:rPr>
          <w:rFonts w:cs="仿宋" w:asciiTheme="minorEastAsia" w:hAnsiTheme="minorEastAsia"/>
          <w:color w:val="auto"/>
          <w:kern w:val="0"/>
          <w:sz w:val="24"/>
          <w:lang w:val="zh-CN"/>
        </w:rPr>
      </w:pPr>
    </w:p>
    <w:p w14:paraId="165A7890">
      <w:pPr>
        <w:pStyle w:val="31"/>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20D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5C5E5FD">
            <w:pPr>
              <w:pStyle w:val="31"/>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9C5286B">
            <w:pPr>
              <w:pStyle w:val="31"/>
              <w:adjustRightInd w:val="0"/>
              <w:spacing w:line="360" w:lineRule="auto"/>
              <w:rPr>
                <w:rFonts w:cs="仿宋" w:asciiTheme="minorEastAsia" w:hAnsiTheme="minorEastAsia" w:eastAsiaTheme="minorEastAsia"/>
                <w:bCs/>
                <w:color w:val="auto"/>
                <w:sz w:val="24"/>
              </w:rPr>
            </w:pPr>
          </w:p>
        </w:tc>
      </w:tr>
    </w:tbl>
    <w:p w14:paraId="398B541E">
      <w:pPr>
        <w:snapToGrid w:val="0"/>
        <w:spacing w:line="360" w:lineRule="auto"/>
        <w:ind w:firstLine="576"/>
        <w:jc w:val="center"/>
        <w:rPr>
          <w:rFonts w:cs="仿宋" w:asciiTheme="minorEastAsia" w:hAnsiTheme="minorEastAsia"/>
          <w:color w:val="auto"/>
          <w:kern w:val="0"/>
          <w:sz w:val="24"/>
          <w:lang w:val="zh-CN"/>
        </w:rPr>
      </w:pPr>
    </w:p>
    <w:p w14:paraId="507F9F53">
      <w:pPr>
        <w:snapToGrid w:val="0"/>
        <w:spacing w:line="360" w:lineRule="auto"/>
        <w:ind w:firstLine="576"/>
        <w:rPr>
          <w:rFonts w:cs="仿宋" w:asciiTheme="minorEastAsia" w:hAnsiTheme="minorEastAsia"/>
          <w:color w:val="auto"/>
          <w:kern w:val="0"/>
          <w:sz w:val="24"/>
          <w:lang w:val="zh-CN"/>
        </w:rPr>
      </w:pPr>
    </w:p>
    <w:p w14:paraId="20B34B71">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40F9B601">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D6E8B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0BF4B5C0">
      <w:pPr>
        <w:jc w:val="center"/>
        <w:rPr>
          <w:rFonts w:cs="仿宋" w:asciiTheme="minorEastAsia" w:hAnsiTheme="minorEastAsia"/>
          <w:b/>
          <w:color w:val="auto"/>
          <w:kern w:val="0"/>
          <w:sz w:val="32"/>
          <w:szCs w:val="32"/>
        </w:rPr>
      </w:pPr>
    </w:p>
    <w:tbl>
      <w:tblPr>
        <w:tblStyle w:val="19"/>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AD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1C3BB7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0CB70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77AD990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3F7BF16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4EA8F5E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2B2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A0F6CB">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386CA9C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22E7FB0B">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33F586D6">
            <w:pPr>
              <w:jc w:val="center"/>
              <w:rPr>
                <w:rFonts w:cs="仿宋" w:asciiTheme="minorEastAsia" w:hAnsiTheme="minorEastAsia"/>
                <w:color w:val="auto"/>
                <w:sz w:val="24"/>
              </w:rPr>
            </w:pPr>
          </w:p>
          <w:p w14:paraId="38ADB800">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E827014">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1BB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5FF333">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473E1F7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24E932B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1EA45626">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B27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0DE37E9">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0EA0735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响应文件满足询价采购文件的其他实质性要求。</w:t>
            </w:r>
          </w:p>
        </w:tc>
        <w:tc>
          <w:tcPr>
            <w:tcW w:w="3395" w:type="dxa"/>
            <w:vAlign w:val="center"/>
          </w:tcPr>
          <w:p w14:paraId="4B6580A4">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70DDDB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6934F475">
      <w:pPr>
        <w:jc w:val="center"/>
        <w:rPr>
          <w:rFonts w:cs="仿宋" w:asciiTheme="minorEastAsia" w:hAnsiTheme="minorEastAsia"/>
          <w:b/>
          <w:color w:val="auto"/>
          <w:kern w:val="0"/>
          <w:sz w:val="32"/>
          <w:szCs w:val="32"/>
        </w:rPr>
      </w:pPr>
    </w:p>
    <w:p w14:paraId="189C950D">
      <w:pPr>
        <w:jc w:val="center"/>
        <w:rPr>
          <w:rFonts w:cs="仿宋" w:asciiTheme="minorEastAsia" w:hAnsiTheme="minorEastAsia"/>
          <w:b/>
          <w:color w:val="auto"/>
          <w:kern w:val="0"/>
          <w:sz w:val="32"/>
          <w:szCs w:val="32"/>
        </w:rPr>
      </w:pPr>
    </w:p>
    <w:p w14:paraId="112F8FEA">
      <w:pPr>
        <w:jc w:val="center"/>
        <w:rPr>
          <w:rFonts w:cs="仿宋" w:asciiTheme="minorEastAsia" w:hAnsiTheme="minorEastAsia"/>
          <w:b/>
          <w:color w:val="auto"/>
          <w:kern w:val="0"/>
          <w:sz w:val="32"/>
          <w:szCs w:val="32"/>
        </w:rPr>
      </w:pPr>
    </w:p>
    <w:p w14:paraId="003FC727">
      <w:pPr>
        <w:jc w:val="center"/>
        <w:rPr>
          <w:rFonts w:cs="仿宋" w:asciiTheme="minorEastAsia" w:hAnsiTheme="minorEastAsia"/>
          <w:b/>
          <w:color w:val="auto"/>
          <w:kern w:val="0"/>
          <w:sz w:val="32"/>
          <w:szCs w:val="32"/>
        </w:rPr>
      </w:pPr>
    </w:p>
    <w:p w14:paraId="41B9BA6E">
      <w:pPr>
        <w:jc w:val="center"/>
        <w:rPr>
          <w:rFonts w:cs="仿宋" w:asciiTheme="minorEastAsia" w:hAnsiTheme="minorEastAsia"/>
          <w:b/>
          <w:color w:val="auto"/>
          <w:kern w:val="0"/>
          <w:sz w:val="32"/>
          <w:szCs w:val="32"/>
        </w:rPr>
      </w:pPr>
    </w:p>
    <w:p w14:paraId="12BCA935">
      <w:pPr>
        <w:jc w:val="center"/>
        <w:rPr>
          <w:rFonts w:cs="仿宋" w:asciiTheme="minorEastAsia" w:hAnsiTheme="minorEastAsia"/>
          <w:b/>
          <w:color w:val="auto"/>
          <w:kern w:val="0"/>
          <w:sz w:val="32"/>
          <w:szCs w:val="32"/>
        </w:rPr>
      </w:pPr>
    </w:p>
    <w:p w14:paraId="76DCD42F">
      <w:pPr>
        <w:jc w:val="center"/>
        <w:rPr>
          <w:rFonts w:cs="仿宋" w:asciiTheme="minorEastAsia" w:hAnsiTheme="minorEastAsia"/>
          <w:b/>
          <w:color w:val="auto"/>
          <w:kern w:val="0"/>
          <w:sz w:val="32"/>
          <w:szCs w:val="32"/>
        </w:rPr>
      </w:pPr>
    </w:p>
    <w:p w14:paraId="4A554DDE">
      <w:pPr>
        <w:jc w:val="center"/>
        <w:rPr>
          <w:rFonts w:cs="仿宋" w:asciiTheme="minorEastAsia" w:hAnsiTheme="minorEastAsia"/>
          <w:b/>
          <w:color w:val="auto"/>
          <w:kern w:val="0"/>
          <w:sz w:val="32"/>
          <w:szCs w:val="32"/>
        </w:rPr>
      </w:pPr>
    </w:p>
    <w:p w14:paraId="0B9E0BB9">
      <w:pPr>
        <w:jc w:val="center"/>
        <w:rPr>
          <w:rFonts w:cs="仿宋" w:asciiTheme="minorEastAsia" w:hAnsiTheme="minorEastAsia"/>
          <w:b/>
          <w:color w:val="auto"/>
          <w:kern w:val="0"/>
          <w:sz w:val="32"/>
          <w:szCs w:val="32"/>
        </w:rPr>
      </w:pPr>
    </w:p>
    <w:p w14:paraId="115CF3AE">
      <w:pPr>
        <w:jc w:val="center"/>
        <w:rPr>
          <w:rFonts w:cs="仿宋" w:asciiTheme="minorEastAsia" w:hAnsiTheme="minorEastAsia"/>
          <w:b/>
          <w:color w:val="auto"/>
          <w:kern w:val="0"/>
          <w:sz w:val="32"/>
          <w:szCs w:val="32"/>
        </w:rPr>
      </w:pPr>
    </w:p>
    <w:p w14:paraId="2725CFDA">
      <w:pPr>
        <w:jc w:val="center"/>
        <w:rPr>
          <w:rFonts w:cs="仿宋" w:asciiTheme="minorEastAsia" w:hAnsiTheme="minorEastAsia"/>
          <w:b/>
          <w:color w:val="auto"/>
          <w:kern w:val="0"/>
          <w:sz w:val="32"/>
          <w:szCs w:val="32"/>
        </w:rPr>
      </w:pPr>
    </w:p>
    <w:p w14:paraId="21604E30">
      <w:pPr>
        <w:jc w:val="center"/>
        <w:rPr>
          <w:rFonts w:cs="仿宋" w:asciiTheme="minorEastAsia" w:hAnsiTheme="minorEastAsia"/>
          <w:b/>
          <w:color w:val="auto"/>
          <w:kern w:val="0"/>
          <w:sz w:val="32"/>
          <w:szCs w:val="32"/>
        </w:rPr>
      </w:pPr>
    </w:p>
    <w:p w14:paraId="5F1D684F">
      <w:pPr>
        <w:jc w:val="center"/>
        <w:rPr>
          <w:rFonts w:cs="仿宋" w:asciiTheme="minorEastAsia" w:hAnsiTheme="minorEastAsia"/>
          <w:b/>
          <w:color w:val="auto"/>
          <w:kern w:val="0"/>
          <w:sz w:val="32"/>
          <w:szCs w:val="32"/>
        </w:rPr>
      </w:pPr>
    </w:p>
    <w:p w14:paraId="2D536505">
      <w:pPr>
        <w:jc w:val="center"/>
        <w:rPr>
          <w:rFonts w:cs="仿宋" w:asciiTheme="minorEastAsia" w:hAnsiTheme="minorEastAsia"/>
          <w:b/>
          <w:color w:val="auto"/>
          <w:kern w:val="0"/>
          <w:sz w:val="32"/>
          <w:szCs w:val="32"/>
        </w:rPr>
      </w:pPr>
    </w:p>
    <w:p w14:paraId="55984EA1">
      <w:pPr>
        <w:jc w:val="center"/>
        <w:rPr>
          <w:rFonts w:cs="仿宋" w:asciiTheme="minorEastAsia" w:hAnsiTheme="minorEastAsia"/>
          <w:b/>
          <w:color w:val="auto"/>
          <w:kern w:val="0"/>
          <w:sz w:val="32"/>
          <w:szCs w:val="32"/>
        </w:rPr>
      </w:pPr>
    </w:p>
    <w:p w14:paraId="58E1A5A8">
      <w:pPr>
        <w:jc w:val="center"/>
        <w:rPr>
          <w:rFonts w:cs="仿宋" w:asciiTheme="minorEastAsia" w:hAnsiTheme="minorEastAsia"/>
          <w:b/>
          <w:color w:val="auto"/>
          <w:kern w:val="0"/>
          <w:sz w:val="32"/>
          <w:szCs w:val="32"/>
        </w:rPr>
      </w:pPr>
    </w:p>
    <w:p w14:paraId="62C5CE9A">
      <w:pPr>
        <w:jc w:val="center"/>
        <w:rPr>
          <w:rFonts w:cs="仿宋" w:asciiTheme="minorEastAsia" w:hAnsiTheme="minorEastAsia"/>
          <w:b/>
          <w:color w:val="auto"/>
          <w:kern w:val="0"/>
          <w:sz w:val="32"/>
          <w:szCs w:val="32"/>
        </w:rPr>
      </w:pPr>
    </w:p>
    <w:p w14:paraId="7C3A729F">
      <w:pPr>
        <w:jc w:val="center"/>
        <w:rPr>
          <w:rFonts w:cs="仿宋" w:asciiTheme="minorEastAsia" w:hAnsiTheme="minorEastAsia"/>
          <w:b/>
          <w:color w:val="auto"/>
          <w:kern w:val="0"/>
          <w:sz w:val="32"/>
          <w:szCs w:val="32"/>
        </w:rPr>
      </w:pPr>
    </w:p>
    <w:p w14:paraId="167CA4D8">
      <w:pPr>
        <w:jc w:val="center"/>
        <w:rPr>
          <w:rFonts w:cs="仿宋" w:asciiTheme="minorEastAsia" w:hAnsiTheme="minorEastAsia"/>
          <w:b/>
          <w:color w:val="auto"/>
          <w:kern w:val="0"/>
          <w:sz w:val="32"/>
          <w:szCs w:val="32"/>
        </w:rPr>
      </w:pPr>
    </w:p>
    <w:p w14:paraId="5DEA9B25">
      <w:pPr>
        <w:jc w:val="center"/>
        <w:rPr>
          <w:rFonts w:cs="仿宋" w:asciiTheme="minorEastAsia" w:hAnsiTheme="minorEastAsia"/>
          <w:b/>
          <w:color w:val="auto"/>
          <w:kern w:val="0"/>
          <w:sz w:val="32"/>
          <w:szCs w:val="32"/>
        </w:rPr>
      </w:pPr>
    </w:p>
    <w:p w14:paraId="302DF7EE">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四、商务技术偏离表</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AC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B36742">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0EC64F32">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14:paraId="4552B5EC">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D1130D6">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545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2B8A71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0536FE08">
            <w:pPr>
              <w:jc w:val="center"/>
              <w:rPr>
                <w:rFonts w:cs="仿宋" w:asciiTheme="minorEastAsia" w:hAnsiTheme="minorEastAsia"/>
                <w:b/>
                <w:color w:val="auto"/>
                <w:kern w:val="0"/>
                <w:sz w:val="32"/>
                <w:szCs w:val="32"/>
              </w:rPr>
            </w:pPr>
          </w:p>
        </w:tc>
        <w:tc>
          <w:tcPr>
            <w:tcW w:w="3546" w:type="dxa"/>
          </w:tcPr>
          <w:p w14:paraId="42605303">
            <w:pPr>
              <w:jc w:val="center"/>
              <w:rPr>
                <w:rFonts w:cs="仿宋" w:asciiTheme="minorEastAsia" w:hAnsiTheme="minorEastAsia"/>
                <w:b/>
                <w:color w:val="auto"/>
                <w:kern w:val="0"/>
                <w:sz w:val="32"/>
                <w:szCs w:val="32"/>
              </w:rPr>
            </w:pPr>
          </w:p>
        </w:tc>
        <w:tc>
          <w:tcPr>
            <w:tcW w:w="1276" w:type="dxa"/>
          </w:tcPr>
          <w:p w14:paraId="27C13FDB">
            <w:pPr>
              <w:jc w:val="center"/>
              <w:rPr>
                <w:rFonts w:cs="仿宋" w:asciiTheme="minorEastAsia" w:hAnsiTheme="minorEastAsia"/>
                <w:b/>
                <w:color w:val="auto"/>
                <w:kern w:val="0"/>
                <w:sz w:val="32"/>
                <w:szCs w:val="32"/>
              </w:rPr>
            </w:pPr>
          </w:p>
        </w:tc>
      </w:tr>
      <w:tr w14:paraId="4960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A34B1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387F47F7">
            <w:pPr>
              <w:jc w:val="center"/>
              <w:rPr>
                <w:rFonts w:cs="仿宋" w:asciiTheme="minorEastAsia" w:hAnsiTheme="minorEastAsia"/>
                <w:b/>
                <w:color w:val="auto"/>
                <w:kern w:val="0"/>
                <w:sz w:val="32"/>
                <w:szCs w:val="32"/>
              </w:rPr>
            </w:pPr>
          </w:p>
        </w:tc>
        <w:tc>
          <w:tcPr>
            <w:tcW w:w="3546" w:type="dxa"/>
          </w:tcPr>
          <w:p w14:paraId="246F9AB7">
            <w:pPr>
              <w:jc w:val="center"/>
              <w:rPr>
                <w:rFonts w:cs="仿宋" w:asciiTheme="minorEastAsia" w:hAnsiTheme="minorEastAsia"/>
                <w:b/>
                <w:color w:val="auto"/>
                <w:kern w:val="0"/>
                <w:sz w:val="32"/>
                <w:szCs w:val="32"/>
              </w:rPr>
            </w:pPr>
          </w:p>
        </w:tc>
        <w:tc>
          <w:tcPr>
            <w:tcW w:w="1276" w:type="dxa"/>
          </w:tcPr>
          <w:p w14:paraId="4BADE041">
            <w:pPr>
              <w:jc w:val="center"/>
              <w:rPr>
                <w:rFonts w:cs="仿宋" w:asciiTheme="minorEastAsia" w:hAnsiTheme="minorEastAsia"/>
                <w:b/>
                <w:color w:val="auto"/>
                <w:kern w:val="0"/>
                <w:sz w:val="32"/>
                <w:szCs w:val="32"/>
              </w:rPr>
            </w:pPr>
          </w:p>
        </w:tc>
      </w:tr>
      <w:tr w14:paraId="409C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6DFB3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77BA975E">
            <w:pPr>
              <w:jc w:val="center"/>
              <w:rPr>
                <w:rFonts w:cs="仿宋" w:asciiTheme="minorEastAsia" w:hAnsiTheme="minorEastAsia"/>
                <w:b/>
                <w:color w:val="auto"/>
                <w:kern w:val="0"/>
                <w:sz w:val="32"/>
                <w:szCs w:val="32"/>
              </w:rPr>
            </w:pPr>
          </w:p>
        </w:tc>
        <w:tc>
          <w:tcPr>
            <w:tcW w:w="3546" w:type="dxa"/>
          </w:tcPr>
          <w:p w14:paraId="0C81086C">
            <w:pPr>
              <w:jc w:val="center"/>
              <w:rPr>
                <w:rFonts w:cs="仿宋" w:asciiTheme="minorEastAsia" w:hAnsiTheme="minorEastAsia"/>
                <w:b/>
                <w:color w:val="auto"/>
                <w:kern w:val="0"/>
                <w:sz w:val="32"/>
                <w:szCs w:val="32"/>
              </w:rPr>
            </w:pPr>
          </w:p>
        </w:tc>
        <w:tc>
          <w:tcPr>
            <w:tcW w:w="1276" w:type="dxa"/>
          </w:tcPr>
          <w:p w14:paraId="6D310AF6">
            <w:pPr>
              <w:jc w:val="center"/>
              <w:rPr>
                <w:rFonts w:cs="仿宋" w:asciiTheme="minorEastAsia" w:hAnsiTheme="minorEastAsia"/>
                <w:b/>
                <w:color w:val="auto"/>
                <w:kern w:val="0"/>
                <w:sz w:val="32"/>
                <w:szCs w:val="32"/>
              </w:rPr>
            </w:pPr>
          </w:p>
        </w:tc>
      </w:tr>
    </w:tbl>
    <w:p w14:paraId="2851296D">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94F2E14">
      <w:pPr>
        <w:jc w:val="center"/>
        <w:rPr>
          <w:rFonts w:cs="仿宋" w:asciiTheme="minorEastAsia" w:hAnsiTheme="minorEastAsia"/>
          <w:b/>
          <w:color w:val="auto"/>
          <w:kern w:val="0"/>
          <w:sz w:val="32"/>
          <w:szCs w:val="32"/>
        </w:rPr>
      </w:pPr>
    </w:p>
    <w:p w14:paraId="3768AF94">
      <w:pPr>
        <w:jc w:val="center"/>
        <w:rPr>
          <w:rFonts w:cs="仿宋" w:asciiTheme="minorEastAsia" w:hAnsiTheme="minorEastAsia"/>
          <w:b/>
          <w:color w:val="auto"/>
          <w:kern w:val="0"/>
          <w:sz w:val="32"/>
          <w:szCs w:val="32"/>
        </w:rPr>
      </w:pPr>
    </w:p>
    <w:p w14:paraId="70616A30">
      <w:pPr>
        <w:jc w:val="center"/>
        <w:rPr>
          <w:rFonts w:cs="仿宋" w:asciiTheme="minorEastAsia" w:hAnsiTheme="minorEastAsia"/>
          <w:b/>
          <w:color w:val="auto"/>
          <w:kern w:val="0"/>
          <w:sz w:val="32"/>
          <w:szCs w:val="32"/>
        </w:rPr>
      </w:pPr>
    </w:p>
    <w:p w14:paraId="18A0AD7D">
      <w:pPr>
        <w:jc w:val="center"/>
        <w:rPr>
          <w:rFonts w:cs="仿宋" w:asciiTheme="minorEastAsia" w:hAnsiTheme="minorEastAsia"/>
          <w:b/>
          <w:color w:val="auto"/>
          <w:kern w:val="0"/>
          <w:sz w:val="32"/>
          <w:szCs w:val="32"/>
        </w:rPr>
      </w:pPr>
    </w:p>
    <w:p w14:paraId="0AF8E2F8">
      <w:pPr>
        <w:jc w:val="center"/>
        <w:rPr>
          <w:rFonts w:cs="仿宋" w:asciiTheme="minorEastAsia" w:hAnsiTheme="minorEastAsia"/>
          <w:b/>
          <w:color w:val="auto"/>
          <w:kern w:val="0"/>
          <w:sz w:val="32"/>
          <w:szCs w:val="32"/>
        </w:rPr>
      </w:pPr>
    </w:p>
    <w:p w14:paraId="0013C861">
      <w:pPr>
        <w:jc w:val="center"/>
        <w:rPr>
          <w:rFonts w:cs="仿宋" w:asciiTheme="minorEastAsia" w:hAnsiTheme="minorEastAsia"/>
          <w:b/>
          <w:color w:val="auto"/>
          <w:kern w:val="0"/>
          <w:sz w:val="32"/>
          <w:szCs w:val="32"/>
        </w:rPr>
      </w:pPr>
    </w:p>
    <w:p w14:paraId="02F6DD0E">
      <w:pPr>
        <w:jc w:val="center"/>
        <w:rPr>
          <w:rFonts w:cs="仿宋" w:asciiTheme="minorEastAsia" w:hAnsiTheme="minorEastAsia"/>
          <w:b/>
          <w:color w:val="auto"/>
          <w:kern w:val="0"/>
          <w:sz w:val="32"/>
          <w:szCs w:val="32"/>
        </w:rPr>
      </w:pPr>
    </w:p>
    <w:p w14:paraId="29202EFA">
      <w:pPr>
        <w:jc w:val="center"/>
        <w:rPr>
          <w:rFonts w:cs="仿宋" w:asciiTheme="minorEastAsia" w:hAnsiTheme="minorEastAsia"/>
          <w:b/>
          <w:color w:val="auto"/>
          <w:kern w:val="0"/>
          <w:sz w:val="32"/>
          <w:szCs w:val="32"/>
        </w:rPr>
      </w:pPr>
    </w:p>
    <w:p w14:paraId="303F3A0F">
      <w:pPr>
        <w:jc w:val="center"/>
        <w:rPr>
          <w:rFonts w:cs="仿宋" w:asciiTheme="minorEastAsia" w:hAnsiTheme="minorEastAsia"/>
          <w:b/>
          <w:color w:val="auto"/>
          <w:kern w:val="0"/>
          <w:sz w:val="32"/>
          <w:szCs w:val="32"/>
        </w:rPr>
      </w:pPr>
    </w:p>
    <w:p w14:paraId="367264AC">
      <w:pPr>
        <w:jc w:val="center"/>
        <w:rPr>
          <w:rFonts w:cs="仿宋" w:asciiTheme="minorEastAsia" w:hAnsiTheme="minorEastAsia"/>
          <w:b/>
          <w:color w:val="auto"/>
          <w:kern w:val="0"/>
          <w:sz w:val="32"/>
          <w:szCs w:val="32"/>
        </w:rPr>
      </w:pPr>
    </w:p>
    <w:p w14:paraId="6D49A6DC">
      <w:pPr>
        <w:jc w:val="center"/>
        <w:rPr>
          <w:rFonts w:cs="仿宋" w:asciiTheme="minorEastAsia" w:hAnsiTheme="minorEastAsia"/>
          <w:b/>
          <w:color w:val="auto"/>
          <w:kern w:val="0"/>
          <w:sz w:val="32"/>
          <w:szCs w:val="32"/>
        </w:rPr>
      </w:pPr>
    </w:p>
    <w:p w14:paraId="39B82B9B">
      <w:pPr>
        <w:jc w:val="center"/>
        <w:rPr>
          <w:rFonts w:cs="仿宋" w:asciiTheme="minorEastAsia" w:hAnsiTheme="minorEastAsia"/>
          <w:b/>
          <w:color w:val="auto"/>
          <w:kern w:val="0"/>
          <w:sz w:val="32"/>
          <w:szCs w:val="32"/>
        </w:rPr>
      </w:pPr>
    </w:p>
    <w:p w14:paraId="23CC8310">
      <w:pPr>
        <w:jc w:val="center"/>
        <w:rPr>
          <w:rFonts w:cs="仿宋" w:asciiTheme="minorEastAsia" w:hAnsiTheme="minorEastAsia"/>
          <w:b/>
          <w:color w:val="auto"/>
          <w:kern w:val="0"/>
          <w:sz w:val="32"/>
          <w:szCs w:val="32"/>
        </w:rPr>
      </w:pPr>
    </w:p>
    <w:p w14:paraId="4A562DB1">
      <w:pPr>
        <w:jc w:val="center"/>
        <w:rPr>
          <w:rFonts w:cs="仿宋" w:asciiTheme="minorEastAsia" w:hAnsiTheme="minorEastAsia"/>
          <w:b/>
          <w:color w:val="auto"/>
          <w:kern w:val="0"/>
          <w:sz w:val="32"/>
          <w:szCs w:val="32"/>
        </w:rPr>
      </w:pPr>
    </w:p>
    <w:p w14:paraId="0FFFE308">
      <w:pPr>
        <w:jc w:val="center"/>
        <w:rPr>
          <w:rFonts w:cs="仿宋" w:asciiTheme="minorEastAsia" w:hAnsiTheme="minorEastAsia"/>
          <w:b/>
          <w:color w:val="auto"/>
          <w:kern w:val="0"/>
          <w:sz w:val="32"/>
          <w:szCs w:val="32"/>
        </w:rPr>
      </w:pPr>
    </w:p>
    <w:p w14:paraId="2B04DE3F">
      <w:pPr>
        <w:jc w:val="center"/>
        <w:rPr>
          <w:rFonts w:cs="仿宋" w:asciiTheme="minorEastAsia" w:hAnsiTheme="minorEastAsia"/>
          <w:b/>
          <w:color w:val="auto"/>
          <w:kern w:val="0"/>
          <w:sz w:val="32"/>
          <w:szCs w:val="32"/>
        </w:rPr>
      </w:pPr>
    </w:p>
    <w:p w14:paraId="489227C3">
      <w:pPr>
        <w:jc w:val="center"/>
        <w:rPr>
          <w:rFonts w:cs="仿宋" w:asciiTheme="minorEastAsia" w:hAnsiTheme="minorEastAsia"/>
          <w:b/>
          <w:color w:val="auto"/>
          <w:kern w:val="0"/>
          <w:sz w:val="32"/>
          <w:szCs w:val="32"/>
        </w:rPr>
      </w:pPr>
    </w:p>
    <w:p w14:paraId="360B0F31">
      <w:pPr>
        <w:jc w:val="center"/>
        <w:rPr>
          <w:rFonts w:cs="仿宋" w:asciiTheme="minorEastAsia" w:hAnsiTheme="minorEastAsia"/>
          <w:b/>
          <w:color w:val="auto"/>
          <w:kern w:val="0"/>
          <w:sz w:val="32"/>
          <w:szCs w:val="32"/>
        </w:rPr>
      </w:pPr>
    </w:p>
    <w:p w14:paraId="5CB9B045">
      <w:pPr>
        <w:jc w:val="center"/>
        <w:rPr>
          <w:rFonts w:cs="仿宋" w:asciiTheme="minorEastAsia" w:hAnsiTheme="minorEastAsia"/>
          <w:b/>
          <w:color w:val="auto"/>
          <w:kern w:val="0"/>
          <w:sz w:val="32"/>
          <w:szCs w:val="32"/>
        </w:rPr>
      </w:pPr>
    </w:p>
    <w:p w14:paraId="40C85C13">
      <w:pPr>
        <w:jc w:val="center"/>
        <w:rPr>
          <w:rFonts w:cs="仿宋" w:asciiTheme="minorEastAsia" w:hAnsiTheme="minorEastAsia"/>
          <w:b/>
          <w:color w:val="auto"/>
          <w:kern w:val="0"/>
          <w:sz w:val="32"/>
          <w:szCs w:val="32"/>
        </w:rPr>
      </w:pPr>
    </w:p>
    <w:p w14:paraId="60EA3EB1">
      <w:pPr>
        <w:jc w:val="center"/>
        <w:rPr>
          <w:rFonts w:cs="仿宋" w:asciiTheme="minorEastAsia" w:hAnsiTheme="minorEastAsia"/>
          <w:b/>
          <w:color w:val="auto"/>
          <w:kern w:val="0"/>
          <w:sz w:val="32"/>
          <w:szCs w:val="32"/>
        </w:rPr>
      </w:pPr>
    </w:p>
    <w:p w14:paraId="0257A16A">
      <w:pPr>
        <w:jc w:val="center"/>
        <w:rPr>
          <w:rFonts w:cs="仿宋" w:asciiTheme="minorEastAsia" w:hAnsiTheme="minorEastAsia"/>
          <w:b/>
          <w:color w:val="auto"/>
          <w:kern w:val="0"/>
          <w:sz w:val="32"/>
          <w:szCs w:val="32"/>
        </w:rPr>
      </w:pPr>
    </w:p>
    <w:p w14:paraId="6183264B">
      <w:pPr>
        <w:jc w:val="center"/>
        <w:rPr>
          <w:rFonts w:cs="仿宋" w:asciiTheme="minorEastAsia" w:hAnsiTheme="minorEastAsia"/>
          <w:b/>
          <w:color w:val="auto"/>
          <w:kern w:val="0"/>
          <w:sz w:val="32"/>
          <w:szCs w:val="32"/>
        </w:rPr>
      </w:pPr>
    </w:p>
    <w:p w14:paraId="0416F137">
      <w:pPr>
        <w:jc w:val="center"/>
        <w:rPr>
          <w:rFonts w:cs="仿宋" w:asciiTheme="minorEastAsia" w:hAnsiTheme="minorEastAsia"/>
          <w:b/>
          <w:color w:val="auto"/>
          <w:kern w:val="0"/>
          <w:sz w:val="32"/>
          <w:szCs w:val="32"/>
        </w:rPr>
      </w:pPr>
    </w:p>
    <w:p w14:paraId="09AD10C9">
      <w:pPr>
        <w:jc w:val="center"/>
        <w:rPr>
          <w:rFonts w:cs="仿宋" w:asciiTheme="minorEastAsia" w:hAnsiTheme="minorEastAsia"/>
          <w:b/>
          <w:color w:val="auto"/>
          <w:kern w:val="0"/>
          <w:sz w:val="32"/>
          <w:szCs w:val="32"/>
        </w:rPr>
      </w:pPr>
    </w:p>
    <w:p w14:paraId="1F915F85">
      <w:pPr>
        <w:jc w:val="center"/>
        <w:rPr>
          <w:rFonts w:cs="仿宋" w:asciiTheme="minorEastAsia" w:hAnsiTheme="minorEastAsia"/>
          <w:b/>
          <w:color w:val="auto"/>
          <w:kern w:val="0"/>
          <w:sz w:val="32"/>
          <w:szCs w:val="32"/>
        </w:rPr>
      </w:pPr>
    </w:p>
    <w:p w14:paraId="35DC5989">
      <w:pPr>
        <w:jc w:val="center"/>
        <w:rPr>
          <w:rFonts w:cs="仿宋" w:asciiTheme="minorEastAsia" w:hAnsiTheme="minorEastAsia"/>
          <w:b/>
          <w:color w:val="auto"/>
          <w:kern w:val="0"/>
          <w:sz w:val="32"/>
          <w:szCs w:val="32"/>
        </w:rPr>
      </w:pPr>
    </w:p>
    <w:p w14:paraId="65899EC1">
      <w:pPr>
        <w:jc w:val="center"/>
        <w:rPr>
          <w:rFonts w:cs="仿宋" w:asciiTheme="minorEastAsia" w:hAnsiTheme="minorEastAsia"/>
          <w:b/>
          <w:color w:val="auto"/>
          <w:kern w:val="0"/>
          <w:sz w:val="32"/>
          <w:szCs w:val="32"/>
        </w:rPr>
      </w:pPr>
    </w:p>
    <w:p w14:paraId="535CE65D">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五、</w:t>
      </w:r>
      <w:r>
        <w:rPr>
          <w:rFonts w:hint="eastAsia" w:cs="仿宋" w:asciiTheme="minorEastAsia" w:hAnsiTheme="minorEastAsia"/>
          <w:b/>
          <w:color w:val="auto"/>
          <w:kern w:val="0"/>
          <w:sz w:val="32"/>
          <w:szCs w:val="32"/>
          <w:lang w:val="zh-CN"/>
        </w:rPr>
        <w:t>供应商廉洁自律承诺书</w:t>
      </w:r>
    </w:p>
    <w:p w14:paraId="10A80BD6">
      <w:pPr>
        <w:snapToGrid w:val="0"/>
        <w:spacing w:line="360" w:lineRule="auto"/>
        <w:rPr>
          <w:rFonts w:cs="仿宋" w:asciiTheme="minorEastAsia" w:hAnsiTheme="minorEastAsia"/>
          <w:color w:val="auto"/>
          <w:sz w:val="24"/>
        </w:rPr>
      </w:pPr>
    </w:p>
    <w:p w14:paraId="31460B28">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3013DFA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EC4C52B">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1E672EEB">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436BF90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5BC916B">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3A3FD629">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F9684C2">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4843312E">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43C03EE2">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141520FD">
      <w:pPr>
        <w:autoSpaceDE w:val="0"/>
        <w:autoSpaceDN w:val="0"/>
        <w:spacing w:line="360" w:lineRule="auto"/>
        <w:ind w:left="2"/>
        <w:jc w:val="left"/>
        <w:rPr>
          <w:rFonts w:cs="仿宋" w:asciiTheme="minorEastAsia" w:hAnsiTheme="minorEastAsia"/>
          <w:color w:val="auto"/>
          <w:kern w:val="0"/>
          <w:sz w:val="24"/>
          <w:lang w:val="zh-CN"/>
        </w:rPr>
      </w:pPr>
    </w:p>
    <w:p w14:paraId="63C3AEDF">
      <w:pPr>
        <w:autoSpaceDE w:val="0"/>
        <w:autoSpaceDN w:val="0"/>
        <w:spacing w:line="360" w:lineRule="auto"/>
        <w:ind w:left="2"/>
        <w:jc w:val="left"/>
        <w:rPr>
          <w:rFonts w:cs="仿宋" w:asciiTheme="minorEastAsia" w:hAnsiTheme="minorEastAsia"/>
          <w:color w:val="auto"/>
          <w:kern w:val="0"/>
          <w:sz w:val="24"/>
          <w:lang w:val="zh-CN"/>
        </w:rPr>
      </w:pPr>
    </w:p>
    <w:p w14:paraId="3883EFD5">
      <w:pPr>
        <w:autoSpaceDE w:val="0"/>
        <w:autoSpaceDN w:val="0"/>
        <w:spacing w:line="360" w:lineRule="auto"/>
        <w:ind w:left="2"/>
        <w:jc w:val="left"/>
        <w:rPr>
          <w:rFonts w:cs="仿宋" w:asciiTheme="minorEastAsia" w:hAnsiTheme="minorEastAsia"/>
          <w:color w:val="auto"/>
          <w:kern w:val="0"/>
          <w:sz w:val="24"/>
          <w:lang w:val="zh-CN"/>
        </w:rPr>
      </w:pPr>
    </w:p>
    <w:p w14:paraId="042B8432">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22FD82EA">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DE475F5">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5B4E3405">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3412664">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六</w:t>
      </w:r>
      <w:r>
        <w:rPr>
          <w:rFonts w:hint="eastAsia" w:cs="仿宋" w:asciiTheme="minorEastAsia" w:hAnsiTheme="minorEastAsia"/>
          <w:b/>
          <w:color w:val="auto"/>
          <w:kern w:val="0"/>
          <w:sz w:val="32"/>
          <w:szCs w:val="32"/>
          <w:lang w:val="zh-CN"/>
        </w:rPr>
        <w:t>、供应商股东信息及出资比例信息表</w:t>
      </w:r>
    </w:p>
    <w:p w14:paraId="0352C593">
      <w:pPr>
        <w:pStyle w:val="14"/>
        <w:rPr>
          <w:color w:val="auto"/>
          <w:lang w:val="zh-CN"/>
        </w:rPr>
      </w:pPr>
    </w:p>
    <w:p w14:paraId="5DD171FF">
      <w:pPr>
        <w:rPr>
          <w:color w:val="auto"/>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5C8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3932F4E">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14:paraId="77514744">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14:paraId="1C0EAB36">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14:paraId="1888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AA6FC0C">
            <w:pPr>
              <w:spacing w:line="360" w:lineRule="auto"/>
              <w:rPr>
                <w:rFonts w:ascii="宋体" w:hAnsi="宋体" w:eastAsia="宋体" w:cs="宋体"/>
                <w:b/>
                <w:color w:val="auto"/>
                <w:kern w:val="0"/>
                <w:sz w:val="24"/>
              </w:rPr>
            </w:pPr>
          </w:p>
        </w:tc>
        <w:tc>
          <w:tcPr>
            <w:tcW w:w="2482" w:type="dxa"/>
          </w:tcPr>
          <w:p w14:paraId="26FCF729">
            <w:pPr>
              <w:spacing w:line="360" w:lineRule="auto"/>
              <w:rPr>
                <w:rFonts w:ascii="宋体" w:hAnsi="宋体" w:eastAsia="宋体" w:cs="宋体"/>
                <w:b/>
                <w:color w:val="auto"/>
                <w:kern w:val="0"/>
                <w:sz w:val="24"/>
              </w:rPr>
            </w:pPr>
          </w:p>
        </w:tc>
        <w:tc>
          <w:tcPr>
            <w:tcW w:w="2881" w:type="dxa"/>
          </w:tcPr>
          <w:p w14:paraId="4A2BF2B1">
            <w:pPr>
              <w:spacing w:line="360" w:lineRule="auto"/>
              <w:rPr>
                <w:rFonts w:ascii="宋体" w:hAnsi="宋体" w:eastAsia="宋体" w:cs="宋体"/>
                <w:b/>
                <w:color w:val="auto"/>
                <w:kern w:val="0"/>
                <w:sz w:val="24"/>
              </w:rPr>
            </w:pPr>
          </w:p>
        </w:tc>
      </w:tr>
      <w:tr w14:paraId="0FE3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2BF3419">
            <w:pPr>
              <w:spacing w:line="360" w:lineRule="auto"/>
              <w:rPr>
                <w:rFonts w:ascii="宋体" w:hAnsi="宋体" w:eastAsia="宋体" w:cs="宋体"/>
                <w:b/>
                <w:color w:val="auto"/>
                <w:kern w:val="0"/>
                <w:sz w:val="24"/>
              </w:rPr>
            </w:pPr>
          </w:p>
        </w:tc>
        <w:tc>
          <w:tcPr>
            <w:tcW w:w="2482" w:type="dxa"/>
          </w:tcPr>
          <w:p w14:paraId="055B5187">
            <w:pPr>
              <w:spacing w:line="360" w:lineRule="auto"/>
              <w:rPr>
                <w:rFonts w:ascii="宋体" w:hAnsi="宋体" w:eastAsia="宋体" w:cs="宋体"/>
                <w:b/>
                <w:color w:val="auto"/>
                <w:kern w:val="0"/>
                <w:sz w:val="24"/>
              </w:rPr>
            </w:pPr>
          </w:p>
        </w:tc>
        <w:tc>
          <w:tcPr>
            <w:tcW w:w="2881" w:type="dxa"/>
          </w:tcPr>
          <w:p w14:paraId="09403FBD">
            <w:pPr>
              <w:spacing w:line="360" w:lineRule="auto"/>
              <w:rPr>
                <w:rFonts w:ascii="宋体" w:hAnsi="宋体" w:eastAsia="宋体" w:cs="宋体"/>
                <w:b/>
                <w:color w:val="auto"/>
                <w:kern w:val="0"/>
                <w:sz w:val="24"/>
              </w:rPr>
            </w:pPr>
          </w:p>
        </w:tc>
      </w:tr>
      <w:tr w14:paraId="633A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D68C48D">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14:paraId="5A9BA27C">
            <w:pPr>
              <w:spacing w:line="360" w:lineRule="auto"/>
              <w:rPr>
                <w:rFonts w:ascii="宋体" w:hAnsi="宋体" w:eastAsia="宋体" w:cs="宋体"/>
                <w:b/>
                <w:color w:val="auto"/>
                <w:kern w:val="0"/>
                <w:sz w:val="24"/>
              </w:rPr>
            </w:pPr>
          </w:p>
        </w:tc>
        <w:tc>
          <w:tcPr>
            <w:tcW w:w="2881" w:type="dxa"/>
          </w:tcPr>
          <w:p w14:paraId="15EF0AC2">
            <w:pPr>
              <w:spacing w:line="360" w:lineRule="auto"/>
              <w:rPr>
                <w:rFonts w:ascii="宋体" w:hAnsi="宋体" w:eastAsia="宋体" w:cs="宋体"/>
                <w:b/>
                <w:color w:val="auto"/>
                <w:kern w:val="0"/>
                <w:sz w:val="24"/>
              </w:rPr>
            </w:pPr>
          </w:p>
        </w:tc>
      </w:tr>
    </w:tbl>
    <w:p w14:paraId="3C3C3C2E">
      <w:pPr>
        <w:spacing w:line="360" w:lineRule="auto"/>
        <w:rPr>
          <w:rFonts w:ascii="宋体" w:hAnsi="宋体" w:eastAsia="宋体" w:cs="宋体"/>
          <w:color w:val="auto"/>
          <w:kern w:val="0"/>
          <w:sz w:val="24"/>
        </w:rPr>
      </w:pPr>
    </w:p>
    <w:p w14:paraId="598236BC">
      <w:pPr>
        <w:spacing w:line="360" w:lineRule="auto"/>
        <w:rPr>
          <w:rFonts w:ascii="宋体" w:hAnsi="宋体" w:eastAsia="宋体" w:cs="宋体"/>
          <w:color w:val="auto"/>
          <w:kern w:val="0"/>
          <w:sz w:val="24"/>
        </w:rPr>
      </w:pPr>
    </w:p>
    <w:p w14:paraId="5ACE4ADB">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2B07A066">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508F7A8C">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0B50CE20">
      <w:pPr>
        <w:spacing w:line="360" w:lineRule="auto"/>
        <w:rPr>
          <w:rFonts w:ascii="宋体" w:hAnsi="宋体" w:eastAsia="宋体" w:cs="宋体"/>
          <w:b/>
          <w:bCs/>
          <w:color w:val="auto"/>
          <w:sz w:val="24"/>
        </w:rPr>
      </w:pPr>
    </w:p>
    <w:p w14:paraId="7C5506C6">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1A39516C">
      <w:pPr>
        <w:pStyle w:val="14"/>
        <w:rPr>
          <w:color w:val="auto"/>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50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DEE7F84">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14:paraId="1BA5A6D6">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存在管理关系的单位全称</w:t>
            </w:r>
          </w:p>
        </w:tc>
      </w:tr>
      <w:tr w14:paraId="5021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FE4ABFF">
            <w:pPr>
              <w:spacing w:line="360" w:lineRule="auto"/>
              <w:rPr>
                <w:rFonts w:ascii="宋体" w:hAnsi="宋体" w:eastAsia="宋体" w:cs="宋体"/>
                <w:b/>
                <w:color w:val="auto"/>
                <w:kern w:val="0"/>
                <w:sz w:val="24"/>
              </w:rPr>
            </w:pPr>
          </w:p>
        </w:tc>
        <w:tc>
          <w:tcPr>
            <w:tcW w:w="5387" w:type="dxa"/>
            <w:vAlign w:val="center"/>
          </w:tcPr>
          <w:p w14:paraId="2BF0220E">
            <w:pPr>
              <w:spacing w:line="360" w:lineRule="auto"/>
              <w:rPr>
                <w:rFonts w:ascii="宋体" w:hAnsi="宋体" w:eastAsia="宋体" w:cs="宋体"/>
                <w:b/>
                <w:color w:val="auto"/>
                <w:kern w:val="0"/>
                <w:sz w:val="24"/>
              </w:rPr>
            </w:pPr>
          </w:p>
        </w:tc>
      </w:tr>
      <w:tr w14:paraId="53B5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E191BC">
            <w:pPr>
              <w:spacing w:line="360" w:lineRule="auto"/>
              <w:rPr>
                <w:rFonts w:ascii="宋体" w:hAnsi="宋体" w:eastAsia="宋体" w:cs="宋体"/>
                <w:b/>
                <w:color w:val="auto"/>
                <w:kern w:val="0"/>
                <w:sz w:val="24"/>
              </w:rPr>
            </w:pPr>
          </w:p>
        </w:tc>
        <w:tc>
          <w:tcPr>
            <w:tcW w:w="5387" w:type="dxa"/>
            <w:vAlign w:val="center"/>
          </w:tcPr>
          <w:p w14:paraId="6E0F1B63">
            <w:pPr>
              <w:spacing w:line="360" w:lineRule="auto"/>
              <w:rPr>
                <w:rFonts w:ascii="宋体" w:hAnsi="宋体" w:eastAsia="宋体" w:cs="宋体"/>
                <w:b/>
                <w:color w:val="auto"/>
                <w:kern w:val="0"/>
                <w:sz w:val="24"/>
              </w:rPr>
            </w:pPr>
          </w:p>
        </w:tc>
      </w:tr>
      <w:tr w14:paraId="0568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70C0667">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14:paraId="6C9648DC">
            <w:pPr>
              <w:spacing w:line="360" w:lineRule="auto"/>
              <w:rPr>
                <w:rFonts w:ascii="宋体" w:hAnsi="宋体" w:eastAsia="宋体" w:cs="宋体"/>
                <w:b/>
                <w:color w:val="auto"/>
                <w:kern w:val="0"/>
                <w:sz w:val="24"/>
              </w:rPr>
            </w:pPr>
          </w:p>
        </w:tc>
      </w:tr>
    </w:tbl>
    <w:p w14:paraId="1F6FB81A">
      <w:pPr>
        <w:spacing w:line="360" w:lineRule="auto"/>
        <w:rPr>
          <w:rFonts w:ascii="宋体" w:hAnsi="宋体" w:eastAsia="宋体" w:cs="宋体"/>
          <w:color w:val="auto"/>
          <w:kern w:val="0"/>
          <w:sz w:val="24"/>
        </w:rPr>
      </w:pPr>
    </w:p>
    <w:p w14:paraId="501085B6">
      <w:pPr>
        <w:spacing w:line="360" w:lineRule="auto"/>
        <w:rPr>
          <w:rFonts w:ascii="宋体" w:hAnsi="宋体" w:eastAsia="宋体" w:cs="宋体"/>
          <w:color w:val="auto"/>
          <w:kern w:val="0"/>
          <w:sz w:val="24"/>
        </w:rPr>
      </w:pPr>
    </w:p>
    <w:p w14:paraId="4D026414">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2D888A23">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78520B44">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1840C2E6">
      <w:pPr>
        <w:spacing w:line="360" w:lineRule="auto"/>
        <w:rPr>
          <w:rFonts w:ascii="宋体" w:hAnsi="宋体" w:eastAsia="宋体" w:cs="宋体"/>
          <w:b/>
          <w:color w:val="auto"/>
          <w:kern w:val="0"/>
          <w:sz w:val="24"/>
        </w:rPr>
      </w:pPr>
    </w:p>
    <w:p w14:paraId="15688592">
      <w:pPr>
        <w:spacing w:line="360" w:lineRule="auto"/>
        <w:rPr>
          <w:rFonts w:ascii="宋体" w:hAnsi="宋体" w:eastAsia="宋体" w:cs="宋体"/>
          <w:b/>
          <w:color w:val="auto"/>
          <w:kern w:val="0"/>
          <w:sz w:val="24"/>
        </w:rPr>
      </w:pPr>
    </w:p>
    <w:p w14:paraId="23381C7D">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2B37A48F">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298C905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54DB8A6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D73FBB1">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268625B8">
      <w:pPr>
        <w:snapToGrid w:val="0"/>
        <w:spacing w:line="360" w:lineRule="auto"/>
        <w:rPr>
          <w:rFonts w:ascii="宋体" w:hAnsi="宋体" w:eastAsia="宋体" w:cs="宋体"/>
          <w:color w:val="auto"/>
          <w:sz w:val="24"/>
        </w:rPr>
      </w:pPr>
    </w:p>
    <w:p w14:paraId="4AC8D681">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21CE4CE8">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cs="仿宋" w:asciiTheme="minorEastAsia" w:hAnsiTheme="minorEastAsia"/>
          <w:color w:val="auto"/>
          <w:sz w:val="24"/>
          <w:u w:val="single"/>
        </w:rPr>
        <w:t>2025年三固运行中心飞灰中控大屏采购项目【项目编号：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u w:val="single"/>
        </w:rPr>
        <w:t>】的</w:t>
      </w:r>
      <w:r>
        <w:rPr>
          <w:rFonts w:hint="eastAsia" w:ascii="宋体" w:hAnsi="宋体" w:eastAsia="宋体" w:cs="宋体"/>
          <w:color w:val="auto"/>
          <w:sz w:val="24"/>
        </w:rPr>
        <w:t>活动，并作如下承诺：</w:t>
      </w:r>
    </w:p>
    <w:p w14:paraId="6060296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1.我公司所供产品均为生产合格产品或正规销售渠道进货。如采购人需要，可以提供生产厂家到我公司的完整供应链销售凭证。</w:t>
      </w:r>
    </w:p>
    <w:p w14:paraId="5CAAB85A">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175A78DB">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299091AD">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5934B23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23B9EEBC">
      <w:pPr>
        <w:snapToGrid w:val="0"/>
        <w:spacing w:line="360" w:lineRule="auto"/>
        <w:rPr>
          <w:rFonts w:ascii="宋体" w:hAnsi="宋体" w:eastAsia="宋体" w:cs="宋体"/>
          <w:color w:val="auto"/>
          <w:sz w:val="24"/>
        </w:rPr>
      </w:pPr>
    </w:p>
    <w:p w14:paraId="77C58028">
      <w:pPr>
        <w:snapToGrid w:val="0"/>
        <w:spacing w:line="360" w:lineRule="auto"/>
        <w:rPr>
          <w:rFonts w:ascii="宋体" w:hAnsi="宋体" w:eastAsia="宋体" w:cs="宋体"/>
          <w:color w:val="auto"/>
          <w:sz w:val="24"/>
        </w:rPr>
      </w:pPr>
    </w:p>
    <w:p w14:paraId="0DE32DF9">
      <w:pPr>
        <w:snapToGrid w:val="0"/>
        <w:spacing w:line="360" w:lineRule="auto"/>
        <w:rPr>
          <w:rFonts w:ascii="宋体" w:hAnsi="宋体" w:eastAsia="宋体" w:cs="宋体"/>
          <w:color w:val="auto"/>
          <w:sz w:val="24"/>
        </w:rPr>
      </w:pPr>
    </w:p>
    <w:p w14:paraId="5EE33A85">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70E42E29">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2025年 月  日</w:t>
      </w:r>
    </w:p>
    <w:p w14:paraId="6A2FCA5C">
      <w:pPr>
        <w:spacing w:line="360" w:lineRule="auto"/>
        <w:jc w:val="center"/>
        <w:outlineLvl w:val="0"/>
        <w:rPr>
          <w:rFonts w:cs="仿宋" w:asciiTheme="minorEastAsia" w:hAnsiTheme="minorEastAsia"/>
          <w:b/>
          <w:color w:val="auto"/>
          <w:kern w:val="0"/>
          <w:sz w:val="36"/>
          <w:szCs w:val="36"/>
        </w:rPr>
      </w:pPr>
    </w:p>
    <w:p w14:paraId="217A21F4">
      <w:pPr>
        <w:spacing w:line="360" w:lineRule="auto"/>
        <w:jc w:val="center"/>
        <w:outlineLvl w:val="0"/>
        <w:rPr>
          <w:rFonts w:cs="仿宋" w:asciiTheme="minorEastAsia" w:hAnsiTheme="minorEastAsia"/>
          <w:b/>
          <w:color w:val="auto"/>
          <w:kern w:val="0"/>
          <w:sz w:val="36"/>
          <w:szCs w:val="36"/>
        </w:rPr>
      </w:pPr>
    </w:p>
    <w:p w14:paraId="2FD220E1">
      <w:pPr>
        <w:spacing w:line="360" w:lineRule="auto"/>
        <w:jc w:val="center"/>
        <w:outlineLvl w:val="0"/>
        <w:rPr>
          <w:rFonts w:cs="仿宋" w:asciiTheme="minorEastAsia" w:hAnsiTheme="minorEastAsia"/>
          <w:b/>
          <w:color w:val="auto"/>
          <w:kern w:val="0"/>
          <w:sz w:val="36"/>
          <w:szCs w:val="36"/>
        </w:rPr>
      </w:pPr>
    </w:p>
    <w:p w14:paraId="17B9D67F">
      <w:pPr>
        <w:spacing w:line="360" w:lineRule="auto"/>
        <w:outlineLvl w:val="0"/>
        <w:rPr>
          <w:rFonts w:cs="仿宋" w:asciiTheme="minorEastAsia" w:hAnsiTheme="minorEastAsia"/>
          <w:b/>
          <w:color w:val="auto"/>
          <w:kern w:val="0"/>
          <w:sz w:val="36"/>
          <w:szCs w:val="36"/>
        </w:rPr>
      </w:pPr>
    </w:p>
    <w:p w14:paraId="21084B10">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4425A492">
      <w:pPr>
        <w:pStyle w:val="4"/>
        <w:jc w:val="center"/>
        <w:rPr>
          <w:color w:val="auto"/>
          <w:sz w:val="32"/>
          <w:szCs w:val="32"/>
        </w:rPr>
      </w:pPr>
      <w:r>
        <w:rPr>
          <w:rFonts w:hint="eastAsia"/>
          <w:color w:val="auto"/>
          <w:sz w:val="32"/>
          <w:szCs w:val="32"/>
        </w:rPr>
        <w:t>一 、 报价函</w:t>
      </w:r>
    </w:p>
    <w:p w14:paraId="5B41062C">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444C5E6E">
      <w:pPr>
        <w:pStyle w:val="33"/>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rPr>
        <w:t>2025年三固运行中心飞灰中控大屏采购项目【项目编号：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u w:val="single"/>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pacing w:val="-3"/>
          <w:sz w:val="24"/>
        </w:rPr>
        <w:t>元）的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70E9D5DE">
      <w:pPr>
        <w:pStyle w:val="33"/>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0BC61DD4">
      <w:pPr>
        <w:pStyle w:val="33"/>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0852E61A">
      <w:pPr>
        <w:pStyle w:val="33"/>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4.如我方在响应过程中，发生询价文件规定的采购人可以没收询价保证金的情形的，我方同意采购人没收我方缴纳的全部询价保证金。</w:t>
      </w:r>
    </w:p>
    <w:p w14:paraId="37D43229">
      <w:pPr>
        <w:pStyle w:val="33"/>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u w:val="single"/>
        </w:rPr>
        <w:t>（其他补充说明</w:t>
      </w:r>
      <w:r>
        <w:rPr>
          <w:rFonts w:hint="eastAsia" w:ascii="宋体" w:hAnsi="宋体" w:eastAsia="宋体" w:cs="宋体"/>
          <w:color w:val="auto"/>
          <w:sz w:val="24"/>
          <w:u w:val="single"/>
        </w:rPr>
        <w:t>）</w:t>
      </w:r>
      <w:r>
        <w:rPr>
          <w:rFonts w:hint="eastAsia" w:ascii="宋体" w:hAnsi="宋体" w:eastAsia="宋体" w:cs="宋体"/>
          <w:color w:val="auto"/>
          <w:sz w:val="24"/>
        </w:rPr>
        <w:t>。</w:t>
      </w:r>
    </w:p>
    <w:p w14:paraId="35CFCBA1">
      <w:pPr>
        <w:pStyle w:val="7"/>
        <w:ind w:firstLine="480" w:firstLineChars="200"/>
        <w:jc w:val="left"/>
        <w:rPr>
          <w:rFonts w:hAnsi="宋体" w:cs="宋体"/>
          <w:color w:val="auto"/>
        </w:rPr>
      </w:pPr>
    </w:p>
    <w:p w14:paraId="5FC958A7">
      <w:pPr>
        <w:pStyle w:val="7"/>
        <w:ind w:firstLine="480" w:firstLineChars="200"/>
        <w:jc w:val="left"/>
        <w:rPr>
          <w:rFonts w:hAnsi="宋体" w:cs="宋体"/>
          <w:color w:val="auto"/>
        </w:rPr>
      </w:pPr>
    </w:p>
    <w:p w14:paraId="27AFDB80">
      <w:pPr>
        <w:pStyle w:val="7"/>
        <w:jc w:val="left"/>
        <w:rPr>
          <w:rFonts w:hAnsi="宋体" w:cs="宋体"/>
          <w:color w:val="auto"/>
        </w:rPr>
      </w:pPr>
      <w:r>
        <w:rPr>
          <w:rFonts w:hint="eastAsia" w:hAnsi="宋体" w:cs="宋体"/>
          <w:color w:val="auto"/>
        </w:rPr>
        <w:t>供应商名称：（盖单位公章）</w:t>
      </w:r>
    </w:p>
    <w:p w14:paraId="391BEE3B">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12C87FB4">
      <w:pPr>
        <w:pStyle w:val="7"/>
        <w:tabs>
          <w:tab w:val="left" w:pos="4101"/>
        </w:tabs>
        <w:jc w:val="left"/>
        <w:rPr>
          <w:rFonts w:hAnsi="宋体" w:cs="宋体"/>
          <w:color w:val="auto"/>
        </w:rPr>
      </w:pPr>
      <w:r>
        <w:rPr>
          <w:rFonts w:hint="eastAsia" w:hAnsi="宋体" w:cs="宋体"/>
          <w:color w:val="auto"/>
        </w:rPr>
        <w:t>地址：</w:t>
      </w:r>
    </w:p>
    <w:p w14:paraId="082C491D">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36EEF3D8">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14:paraId="7EF0820C">
      <w:pPr>
        <w:pStyle w:val="34"/>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140E3EF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5D0BCFCD">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rPr>
        <w:t>2025年三固运行中心飞灰中控大屏采购项目【项目编号：</w:t>
      </w:r>
      <w:r>
        <w:rPr>
          <w:rFonts w:hint="eastAsia" w:cs="仿宋" w:asciiTheme="minorEastAsia" w:hAnsiTheme="minorEastAsia"/>
          <w:color w:val="auto"/>
          <w:sz w:val="24"/>
          <w:u w:val="single"/>
          <w:lang w:eastAsia="zh-CN"/>
        </w:rPr>
        <w:t>202512013</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11243AF2">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9"/>
        <w:tblW w:w="49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75"/>
        <w:gridCol w:w="2459"/>
        <w:gridCol w:w="4864"/>
        <w:gridCol w:w="700"/>
        <w:gridCol w:w="1334"/>
        <w:gridCol w:w="1181"/>
        <w:gridCol w:w="1181"/>
      </w:tblGrid>
      <w:tr w14:paraId="66B80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51" w:type="pct"/>
            <w:tcBorders>
              <w:tl2br w:val="nil"/>
              <w:tr2bl w:val="nil"/>
            </w:tcBorders>
            <w:shd w:val="clear" w:color="auto" w:fill="auto"/>
            <w:vAlign w:val="center"/>
          </w:tcPr>
          <w:p w14:paraId="3F2A7A2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序号</w:t>
            </w:r>
          </w:p>
        </w:tc>
        <w:tc>
          <w:tcPr>
            <w:tcW w:w="530" w:type="pct"/>
            <w:tcBorders>
              <w:tl2br w:val="nil"/>
              <w:tr2bl w:val="nil"/>
            </w:tcBorders>
            <w:shd w:val="clear" w:color="auto" w:fill="auto"/>
            <w:vAlign w:val="center"/>
          </w:tcPr>
          <w:p w14:paraId="085E63F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物资名称</w:t>
            </w:r>
          </w:p>
        </w:tc>
        <w:tc>
          <w:tcPr>
            <w:tcW w:w="885" w:type="pct"/>
            <w:tcBorders>
              <w:tl2br w:val="nil"/>
              <w:tr2bl w:val="nil"/>
            </w:tcBorders>
            <w:shd w:val="clear" w:color="auto" w:fill="auto"/>
            <w:vAlign w:val="center"/>
          </w:tcPr>
          <w:p w14:paraId="15192CE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品牌</w:t>
            </w:r>
          </w:p>
        </w:tc>
        <w:tc>
          <w:tcPr>
            <w:tcW w:w="1750" w:type="pct"/>
            <w:tcBorders>
              <w:tl2br w:val="nil"/>
              <w:tr2bl w:val="nil"/>
            </w:tcBorders>
            <w:shd w:val="clear" w:color="auto" w:fill="auto"/>
            <w:vAlign w:val="center"/>
          </w:tcPr>
          <w:p w14:paraId="0AD9FB3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规格型号</w:t>
            </w:r>
          </w:p>
        </w:tc>
        <w:tc>
          <w:tcPr>
            <w:tcW w:w="251" w:type="pct"/>
            <w:tcBorders>
              <w:tl2br w:val="nil"/>
              <w:tr2bl w:val="nil"/>
            </w:tcBorders>
            <w:shd w:val="clear" w:color="auto" w:fill="auto"/>
            <w:vAlign w:val="center"/>
          </w:tcPr>
          <w:p w14:paraId="05F8A81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单位</w:t>
            </w:r>
          </w:p>
        </w:tc>
        <w:tc>
          <w:tcPr>
            <w:tcW w:w="479" w:type="pct"/>
            <w:tcBorders>
              <w:tl2br w:val="nil"/>
              <w:tr2bl w:val="nil"/>
            </w:tcBorders>
            <w:shd w:val="clear" w:color="auto" w:fill="auto"/>
            <w:vAlign w:val="center"/>
          </w:tcPr>
          <w:p w14:paraId="3613B0D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数量</w:t>
            </w:r>
          </w:p>
        </w:tc>
        <w:tc>
          <w:tcPr>
            <w:tcW w:w="424" w:type="pct"/>
            <w:tcBorders>
              <w:tl2br w:val="nil"/>
              <w:tr2bl w:val="nil"/>
            </w:tcBorders>
            <w:shd w:val="clear" w:color="auto" w:fill="auto"/>
            <w:vAlign w:val="top"/>
          </w:tcPr>
          <w:p w14:paraId="720F02A8">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2"/>
                <w:szCs w:val="22"/>
              </w:rPr>
              <w:t>含税单价（元）</w:t>
            </w:r>
          </w:p>
        </w:tc>
        <w:tc>
          <w:tcPr>
            <w:tcW w:w="424" w:type="pct"/>
            <w:tcBorders>
              <w:tl2br w:val="nil"/>
              <w:tr2bl w:val="nil"/>
            </w:tcBorders>
            <w:shd w:val="clear" w:color="auto" w:fill="auto"/>
            <w:vAlign w:val="top"/>
          </w:tcPr>
          <w:p w14:paraId="2F24E553">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22"/>
                <w:szCs w:val="22"/>
              </w:rPr>
              <w:t>含税金额（元）</w:t>
            </w:r>
          </w:p>
        </w:tc>
      </w:tr>
      <w:tr w14:paraId="1C5C3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1" w:type="pct"/>
            <w:tcBorders>
              <w:tl2br w:val="nil"/>
              <w:tr2bl w:val="nil"/>
            </w:tcBorders>
            <w:shd w:val="clear" w:color="auto" w:fill="FFFFFF"/>
            <w:vAlign w:val="center"/>
          </w:tcPr>
          <w:p w14:paraId="155E805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530" w:type="pct"/>
            <w:tcBorders>
              <w:tl2br w:val="nil"/>
              <w:tr2bl w:val="nil"/>
            </w:tcBorders>
            <w:shd w:val="clear" w:color="auto" w:fill="auto"/>
            <w:vAlign w:val="center"/>
          </w:tcPr>
          <w:p w14:paraId="51D7AFD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55英寸拼接屏</w:t>
            </w:r>
          </w:p>
        </w:tc>
        <w:tc>
          <w:tcPr>
            <w:tcW w:w="885" w:type="pct"/>
            <w:tcBorders>
              <w:tl2br w:val="nil"/>
              <w:tr2bl w:val="nil"/>
            </w:tcBorders>
            <w:shd w:val="clear" w:color="auto" w:fill="auto"/>
            <w:vAlign w:val="center"/>
          </w:tcPr>
          <w:p w14:paraId="6A36BAB0">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三星（中国）投资有限公司</w:t>
            </w:r>
          </w:p>
        </w:tc>
        <w:tc>
          <w:tcPr>
            <w:tcW w:w="1750" w:type="pct"/>
            <w:tcBorders>
              <w:tl2br w:val="nil"/>
              <w:tr2bl w:val="nil"/>
            </w:tcBorders>
            <w:shd w:val="clear" w:color="auto" w:fill="auto"/>
            <w:vAlign w:val="center"/>
          </w:tcPr>
          <w:p w14:paraId="3CA49446">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55</w:t>
            </w:r>
            <w:r>
              <w:rPr>
                <w:rFonts w:hint="eastAsia" w:ascii="宋体" w:hAnsi="宋体" w:eastAsia="宋体" w:cs="宋体"/>
                <w:color w:val="auto"/>
                <w:kern w:val="0"/>
                <w:sz w:val="18"/>
                <w:szCs w:val="18"/>
                <w:lang w:val="en-US" w:eastAsia="zh-CN"/>
              </w:rPr>
              <w:t>英寸</w:t>
            </w:r>
            <w:r>
              <w:rPr>
                <w:rFonts w:hint="eastAsia" w:ascii="宋体" w:hAnsi="宋体" w:eastAsia="宋体" w:cs="宋体"/>
                <w:color w:val="auto"/>
                <w:kern w:val="0"/>
                <w:sz w:val="18"/>
                <w:szCs w:val="18"/>
              </w:rPr>
              <w:t>“超窄边液晶屏；物理分辨率达到1920×1080，响应时间≤8ms。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LCD显示单元物理拼缝≤0.88mm 亮度达到620cd/㎡</w:t>
            </w:r>
            <w:r>
              <w:rPr>
                <w:rFonts w:hint="eastAsia" w:ascii="宋体" w:hAnsi="宋体" w:eastAsia="宋体" w:cs="宋体"/>
                <w:color w:val="auto"/>
                <w:kern w:val="0"/>
                <w:sz w:val="18"/>
                <w:szCs w:val="18"/>
                <w:lang w:val="en-US" w:eastAsia="zh-CN"/>
              </w:rPr>
              <w:t>及以上</w:t>
            </w:r>
            <w:r>
              <w:rPr>
                <w:rFonts w:hint="eastAsia" w:ascii="宋体" w:hAnsi="宋体" w:eastAsia="宋体" w:cs="宋体"/>
                <w:color w:val="auto"/>
                <w:kern w:val="0"/>
                <w:sz w:val="18"/>
                <w:szCs w:val="18"/>
              </w:rPr>
              <w:t>，对比度达到1200:1，图像显示清晰度≥950TVL，亮度鉴别等级为11级。通过CCC检测认证，并提供CCC认证证书</w:t>
            </w:r>
          </w:p>
        </w:tc>
        <w:tc>
          <w:tcPr>
            <w:tcW w:w="251" w:type="pct"/>
            <w:tcBorders>
              <w:tl2br w:val="nil"/>
              <w:tr2bl w:val="nil"/>
            </w:tcBorders>
            <w:shd w:val="clear" w:color="auto" w:fill="auto"/>
            <w:vAlign w:val="center"/>
          </w:tcPr>
          <w:p w14:paraId="1A186FFE">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块</w:t>
            </w:r>
          </w:p>
        </w:tc>
        <w:tc>
          <w:tcPr>
            <w:tcW w:w="479" w:type="pct"/>
            <w:tcBorders>
              <w:tl2br w:val="nil"/>
              <w:tr2bl w:val="nil"/>
            </w:tcBorders>
            <w:shd w:val="clear" w:color="auto" w:fill="auto"/>
            <w:vAlign w:val="center"/>
          </w:tcPr>
          <w:p w14:paraId="7A4215FF">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12</w:t>
            </w:r>
          </w:p>
        </w:tc>
        <w:tc>
          <w:tcPr>
            <w:tcW w:w="424" w:type="pct"/>
            <w:tcBorders>
              <w:tl2br w:val="nil"/>
              <w:tr2bl w:val="nil"/>
            </w:tcBorders>
            <w:shd w:val="clear" w:color="auto" w:fill="auto"/>
            <w:vAlign w:val="center"/>
          </w:tcPr>
          <w:p w14:paraId="4CC0AF0A">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1D5A9133">
            <w:pPr>
              <w:widowControl/>
              <w:jc w:val="center"/>
              <w:textAlignment w:val="center"/>
              <w:rPr>
                <w:rFonts w:hint="eastAsia" w:ascii="宋体" w:hAnsi="宋体" w:eastAsia="宋体" w:cs="宋体"/>
                <w:color w:val="auto"/>
                <w:kern w:val="0"/>
                <w:sz w:val="18"/>
                <w:szCs w:val="18"/>
              </w:rPr>
            </w:pPr>
          </w:p>
        </w:tc>
      </w:tr>
      <w:tr w14:paraId="4C27F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51" w:type="pct"/>
            <w:tcBorders>
              <w:tl2br w:val="nil"/>
              <w:tr2bl w:val="nil"/>
            </w:tcBorders>
            <w:shd w:val="clear" w:color="auto" w:fill="FFFFFF"/>
            <w:vAlign w:val="center"/>
          </w:tcPr>
          <w:p w14:paraId="0D4F7975">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530" w:type="pct"/>
            <w:tcBorders>
              <w:tl2br w:val="nil"/>
              <w:tr2bl w:val="nil"/>
            </w:tcBorders>
            <w:shd w:val="clear" w:color="auto" w:fill="auto"/>
            <w:vAlign w:val="center"/>
          </w:tcPr>
          <w:p w14:paraId="43F964B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落地机柜</w:t>
            </w:r>
          </w:p>
        </w:tc>
        <w:tc>
          <w:tcPr>
            <w:tcW w:w="885" w:type="pct"/>
            <w:tcBorders>
              <w:tl2br w:val="nil"/>
              <w:tr2bl w:val="nil"/>
            </w:tcBorders>
            <w:shd w:val="clear" w:color="auto" w:fill="auto"/>
            <w:vAlign w:val="center"/>
          </w:tcPr>
          <w:p w14:paraId="7500070A">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750" w:type="pct"/>
            <w:tcBorders>
              <w:tl2br w:val="nil"/>
              <w:tr2bl w:val="nil"/>
            </w:tcBorders>
            <w:shd w:val="clear" w:color="auto" w:fill="auto"/>
            <w:vAlign w:val="center"/>
          </w:tcPr>
          <w:p w14:paraId="5D1E02CD">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落地机柜尺寸见示意图文件、材料选用优质冷轧钢板、颜色黑色</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具体见下方图1、2、3</w:t>
            </w:r>
            <w:r>
              <w:rPr>
                <w:rFonts w:hint="eastAsia" w:ascii="宋体" w:hAnsi="宋体" w:eastAsia="宋体" w:cs="宋体"/>
                <w:color w:val="auto"/>
                <w:kern w:val="0"/>
                <w:sz w:val="18"/>
                <w:szCs w:val="18"/>
                <w:lang w:eastAsia="zh-CN"/>
              </w:rPr>
              <w:t>）</w:t>
            </w:r>
          </w:p>
        </w:tc>
        <w:tc>
          <w:tcPr>
            <w:tcW w:w="251" w:type="pct"/>
            <w:tcBorders>
              <w:tl2br w:val="nil"/>
              <w:tr2bl w:val="nil"/>
            </w:tcBorders>
            <w:shd w:val="clear" w:color="auto" w:fill="auto"/>
            <w:vAlign w:val="center"/>
          </w:tcPr>
          <w:p w14:paraId="0454B5FC">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479" w:type="pct"/>
            <w:tcBorders>
              <w:tl2br w:val="nil"/>
              <w:tr2bl w:val="nil"/>
            </w:tcBorders>
            <w:shd w:val="clear" w:color="auto" w:fill="auto"/>
            <w:vAlign w:val="center"/>
          </w:tcPr>
          <w:p w14:paraId="7D66A8A9">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w:t>
            </w:r>
          </w:p>
        </w:tc>
        <w:tc>
          <w:tcPr>
            <w:tcW w:w="424" w:type="pct"/>
            <w:tcBorders>
              <w:tl2br w:val="nil"/>
              <w:tr2bl w:val="nil"/>
            </w:tcBorders>
            <w:shd w:val="clear" w:color="auto" w:fill="auto"/>
            <w:vAlign w:val="center"/>
          </w:tcPr>
          <w:p w14:paraId="12BE7D4F">
            <w:pPr>
              <w:widowControl/>
              <w:jc w:val="center"/>
              <w:textAlignment w:val="center"/>
              <w:rPr>
                <w:rFonts w:hint="default" w:ascii="宋体" w:hAnsi="宋体" w:eastAsia="宋体" w:cs="宋体"/>
                <w:color w:val="auto"/>
                <w:kern w:val="0"/>
                <w:sz w:val="18"/>
                <w:szCs w:val="18"/>
                <w:lang w:val="en-US" w:eastAsia="zh-CN"/>
              </w:rPr>
            </w:pPr>
          </w:p>
        </w:tc>
        <w:tc>
          <w:tcPr>
            <w:tcW w:w="424" w:type="pct"/>
            <w:tcBorders>
              <w:tl2br w:val="nil"/>
              <w:tr2bl w:val="nil"/>
            </w:tcBorders>
            <w:shd w:val="clear" w:color="auto" w:fill="auto"/>
            <w:vAlign w:val="center"/>
          </w:tcPr>
          <w:p w14:paraId="77966D68">
            <w:pPr>
              <w:widowControl/>
              <w:jc w:val="center"/>
              <w:textAlignment w:val="center"/>
              <w:rPr>
                <w:rFonts w:hint="default" w:ascii="宋体" w:hAnsi="宋体" w:eastAsia="宋体" w:cs="宋体"/>
                <w:color w:val="auto"/>
                <w:kern w:val="0"/>
                <w:sz w:val="18"/>
                <w:szCs w:val="18"/>
                <w:lang w:val="en-US" w:eastAsia="zh-CN"/>
              </w:rPr>
            </w:pPr>
          </w:p>
        </w:tc>
      </w:tr>
      <w:tr w14:paraId="0B8B1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1" w:type="pct"/>
            <w:tcBorders>
              <w:tl2br w:val="nil"/>
              <w:tr2bl w:val="nil"/>
            </w:tcBorders>
            <w:shd w:val="clear" w:color="auto" w:fill="FFFFFF"/>
            <w:vAlign w:val="center"/>
          </w:tcPr>
          <w:p w14:paraId="77ED3DA9">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530" w:type="pct"/>
            <w:tcBorders>
              <w:tl2br w:val="nil"/>
              <w:tr2bl w:val="nil"/>
            </w:tcBorders>
            <w:shd w:val="clear" w:color="auto" w:fill="auto"/>
            <w:vAlign w:val="center"/>
          </w:tcPr>
          <w:p w14:paraId="31399A94">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视频解码器</w:t>
            </w:r>
          </w:p>
        </w:tc>
        <w:tc>
          <w:tcPr>
            <w:tcW w:w="885" w:type="pct"/>
            <w:tcBorders>
              <w:tl2br w:val="nil"/>
              <w:tr2bl w:val="nil"/>
            </w:tcBorders>
            <w:shd w:val="clear" w:color="auto" w:fill="auto"/>
            <w:vAlign w:val="center"/>
          </w:tcPr>
          <w:p w14:paraId="0FDFE8CE">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浙江大华技术股份有限公司</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杭州海康威视数字技术股份有限公司</w:t>
            </w:r>
            <w:r>
              <w:rPr>
                <w:rFonts w:hint="eastAsia" w:ascii="宋体" w:hAnsi="宋体" w:eastAsia="宋体" w:cs="宋体"/>
                <w:color w:val="auto"/>
                <w:kern w:val="0"/>
                <w:sz w:val="18"/>
                <w:szCs w:val="18"/>
              </w:rPr>
              <w:t>/三星（中国）投资有限公司</w:t>
            </w:r>
          </w:p>
        </w:tc>
        <w:tc>
          <w:tcPr>
            <w:tcW w:w="1750" w:type="pct"/>
            <w:tcBorders>
              <w:tl2br w:val="nil"/>
              <w:tr2bl w:val="nil"/>
            </w:tcBorders>
            <w:shd w:val="clear" w:color="auto" w:fill="auto"/>
            <w:vAlign w:val="center"/>
          </w:tcPr>
          <w:p w14:paraId="4A49722F">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8路HDMI进+</w:t>
            </w:r>
            <w:r>
              <w:rPr>
                <w:rFonts w:hint="eastAsia" w:ascii="宋体" w:hAnsi="宋体" w:eastAsia="宋体" w:cs="宋体"/>
                <w:color w:val="auto"/>
                <w:kern w:val="0"/>
                <w:sz w:val="18"/>
                <w:szCs w:val="18"/>
                <w:lang w:val="en-US" w:eastAsia="zh-CN"/>
              </w:rPr>
              <w:t>16</w:t>
            </w:r>
            <w:r>
              <w:rPr>
                <w:rFonts w:hint="eastAsia" w:ascii="宋体" w:hAnsi="宋体" w:eastAsia="宋体" w:cs="宋体"/>
                <w:color w:val="auto"/>
                <w:kern w:val="0"/>
                <w:sz w:val="18"/>
                <w:szCs w:val="18"/>
              </w:rPr>
              <w:t xml:space="preserve">路HDMI出 </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U标准机箱，满足中小规模的监控需求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标准机架式设计，运营级ATCA机箱系统  </w:t>
            </w:r>
          </w:p>
          <w:p w14:paraId="0009A28E">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整机解码能力：1</w:t>
            </w:r>
            <w:r>
              <w:rPr>
                <w:rFonts w:hint="eastAsia" w:ascii="宋体" w:hAnsi="宋体" w:eastAsia="宋体" w:cs="宋体"/>
                <w:color w:val="auto"/>
                <w:kern w:val="0"/>
                <w:sz w:val="18"/>
                <w:szCs w:val="18"/>
                <w:lang w:val="en-US" w:eastAsia="zh-CN"/>
              </w:rPr>
              <w:t>28</w:t>
            </w:r>
            <w:r>
              <w:rPr>
                <w:rFonts w:hint="eastAsia" w:ascii="宋体" w:hAnsi="宋体" w:eastAsia="宋体" w:cs="宋体"/>
                <w:color w:val="auto"/>
                <w:kern w:val="0"/>
                <w:sz w:val="18"/>
                <w:szCs w:val="18"/>
              </w:rPr>
              <w:t>路1080P</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整机编码能力：</w:t>
            </w:r>
            <w:r>
              <w:rPr>
                <w:rFonts w:hint="eastAsia" w:ascii="宋体" w:hAnsi="宋体" w:eastAsia="宋体" w:cs="宋体"/>
                <w:color w:val="auto"/>
                <w:kern w:val="0"/>
                <w:sz w:val="18"/>
                <w:szCs w:val="18"/>
                <w:lang w:val="en-US" w:eastAsia="zh-CN"/>
              </w:rPr>
              <w:t>8</w:t>
            </w:r>
            <w:r>
              <w:rPr>
                <w:rFonts w:hint="eastAsia" w:ascii="宋体" w:hAnsi="宋体" w:eastAsia="宋体" w:cs="宋体"/>
                <w:color w:val="auto"/>
                <w:kern w:val="0"/>
                <w:sz w:val="18"/>
                <w:szCs w:val="18"/>
              </w:rPr>
              <w:t>路1080P</w:t>
            </w:r>
          </w:p>
          <w:p w14:paraId="6A421B4B">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整机拼接能力：支持16个显示屏的任意大屏拼接，单输出口支持1/4/6/8/9/16/25画面分割显示解码支持H.265、H.264、MJPEG等主流的编码格式支持HDMI等输出显示</w:t>
            </w:r>
          </w:p>
        </w:tc>
        <w:tc>
          <w:tcPr>
            <w:tcW w:w="251" w:type="pct"/>
            <w:tcBorders>
              <w:tl2br w:val="nil"/>
              <w:tr2bl w:val="nil"/>
            </w:tcBorders>
            <w:shd w:val="clear" w:color="auto" w:fill="auto"/>
            <w:vAlign w:val="center"/>
          </w:tcPr>
          <w:p w14:paraId="12FE7F8D">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台</w:t>
            </w:r>
          </w:p>
        </w:tc>
        <w:tc>
          <w:tcPr>
            <w:tcW w:w="479" w:type="pct"/>
            <w:tcBorders>
              <w:tl2br w:val="nil"/>
              <w:tr2bl w:val="nil"/>
            </w:tcBorders>
            <w:shd w:val="clear" w:color="auto" w:fill="auto"/>
            <w:vAlign w:val="center"/>
          </w:tcPr>
          <w:p w14:paraId="02DF51E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424" w:type="pct"/>
            <w:tcBorders>
              <w:tl2br w:val="nil"/>
              <w:tr2bl w:val="nil"/>
            </w:tcBorders>
            <w:shd w:val="clear" w:color="auto" w:fill="auto"/>
            <w:vAlign w:val="center"/>
          </w:tcPr>
          <w:p w14:paraId="4F354E52">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2FF60C69">
            <w:pPr>
              <w:widowControl/>
              <w:jc w:val="center"/>
              <w:textAlignment w:val="center"/>
              <w:rPr>
                <w:rFonts w:hint="eastAsia" w:ascii="宋体" w:hAnsi="宋体" w:eastAsia="宋体" w:cs="宋体"/>
                <w:color w:val="auto"/>
                <w:kern w:val="0"/>
                <w:sz w:val="18"/>
                <w:szCs w:val="18"/>
              </w:rPr>
            </w:pPr>
          </w:p>
        </w:tc>
      </w:tr>
      <w:tr w14:paraId="05B68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51" w:type="pct"/>
            <w:tcBorders>
              <w:tl2br w:val="nil"/>
              <w:tr2bl w:val="nil"/>
            </w:tcBorders>
            <w:shd w:val="clear" w:color="auto" w:fill="FFFFFF"/>
            <w:vAlign w:val="center"/>
          </w:tcPr>
          <w:p w14:paraId="44716F1C">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530" w:type="pct"/>
            <w:tcBorders>
              <w:tl2br w:val="nil"/>
              <w:tr2bl w:val="nil"/>
            </w:tcBorders>
            <w:shd w:val="clear" w:color="auto" w:fill="auto"/>
            <w:vAlign w:val="center"/>
          </w:tcPr>
          <w:p w14:paraId="36C52366">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前端汇聚交换机</w:t>
            </w:r>
          </w:p>
        </w:tc>
        <w:tc>
          <w:tcPr>
            <w:tcW w:w="885" w:type="pct"/>
            <w:tcBorders>
              <w:tl2br w:val="nil"/>
              <w:tr2bl w:val="nil"/>
            </w:tcBorders>
            <w:shd w:val="clear" w:color="auto" w:fill="auto"/>
            <w:vAlign w:val="center"/>
          </w:tcPr>
          <w:p w14:paraId="4851679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思科、锐捷、华为或其他同档次及以上品牌</w:t>
            </w:r>
          </w:p>
        </w:tc>
        <w:tc>
          <w:tcPr>
            <w:tcW w:w="1750" w:type="pct"/>
            <w:tcBorders>
              <w:tl2br w:val="nil"/>
              <w:tr2bl w:val="nil"/>
            </w:tcBorders>
            <w:shd w:val="clear" w:color="auto" w:fill="auto"/>
            <w:vAlign w:val="center"/>
          </w:tcPr>
          <w:p w14:paraId="058FE93A">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24个10/100/1000Mbps自适应电口交换机，固化4个SFP+万兆光口，支持VLAN、ACL、端口镜像、端口聚合等功能</w:t>
            </w:r>
          </w:p>
        </w:tc>
        <w:tc>
          <w:tcPr>
            <w:tcW w:w="251" w:type="pct"/>
            <w:tcBorders>
              <w:tl2br w:val="nil"/>
              <w:tr2bl w:val="nil"/>
            </w:tcBorders>
            <w:shd w:val="clear" w:color="auto" w:fill="auto"/>
            <w:vAlign w:val="center"/>
          </w:tcPr>
          <w:p w14:paraId="7D66A94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台</w:t>
            </w:r>
          </w:p>
        </w:tc>
        <w:tc>
          <w:tcPr>
            <w:tcW w:w="479" w:type="pct"/>
            <w:tcBorders>
              <w:tl2br w:val="nil"/>
              <w:tr2bl w:val="nil"/>
            </w:tcBorders>
            <w:shd w:val="clear" w:color="auto" w:fill="auto"/>
            <w:vAlign w:val="center"/>
          </w:tcPr>
          <w:p w14:paraId="4D06467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1</w:t>
            </w:r>
          </w:p>
        </w:tc>
        <w:tc>
          <w:tcPr>
            <w:tcW w:w="424" w:type="pct"/>
            <w:tcBorders>
              <w:tl2br w:val="nil"/>
              <w:tr2bl w:val="nil"/>
            </w:tcBorders>
            <w:shd w:val="clear" w:color="auto" w:fill="auto"/>
            <w:vAlign w:val="center"/>
          </w:tcPr>
          <w:p w14:paraId="0B143046">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71AB5E89">
            <w:pPr>
              <w:widowControl/>
              <w:jc w:val="center"/>
              <w:textAlignment w:val="center"/>
              <w:rPr>
                <w:rFonts w:hint="eastAsia" w:ascii="宋体" w:hAnsi="宋体" w:eastAsia="宋体" w:cs="宋体"/>
                <w:color w:val="auto"/>
                <w:kern w:val="0"/>
                <w:sz w:val="18"/>
                <w:szCs w:val="18"/>
              </w:rPr>
            </w:pPr>
          </w:p>
        </w:tc>
      </w:tr>
      <w:tr w14:paraId="50911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51" w:type="pct"/>
            <w:tcBorders>
              <w:tl2br w:val="nil"/>
              <w:tr2bl w:val="nil"/>
            </w:tcBorders>
            <w:shd w:val="clear" w:color="auto" w:fill="FFFFFF"/>
            <w:vAlign w:val="center"/>
          </w:tcPr>
          <w:p w14:paraId="54AECDB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530" w:type="pct"/>
            <w:tcBorders>
              <w:tl2br w:val="nil"/>
              <w:tr2bl w:val="nil"/>
            </w:tcBorders>
            <w:shd w:val="clear" w:color="auto" w:fill="auto"/>
            <w:vAlign w:val="center"/>
          </w:tcPr>
          <w:p w14:paraId="1B8833AC">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光纤 HDMI 高清信号线</w:t>
            </w:r>
          </w:p>
        </w:tc>
        <w:tc>
          <w:tcPr>
            <w:tcW w:w="885" w:type="pct"/>
            <w:tcBorders>
              <w:tl2br w:val="nil"/>
              <w:tr2bl w:val="nil"/>
            </w:tcBorders>
            <w:shd w:val="clear" w:color="auto" w:fill="auto"/>
            <w:vAlign w:val="center"/>
          </w:tcPr>
          <w:p w14:paraId="1C58400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秋叶原、绿联、飞利浦或其他同档次及以上品牌</w:t>
            </w:r>
          </w:p>
        </w:tc>
        <w:tc>
          <w:tcPr>
            <w:tcW w:w="1750" w:type="pct"/>
            <w:tcBorders>
              <w:tl2br w:val="nil"/>
              <w:tr2bl w:val="nil"/>
            </w:tcBorders>
            <w:shd w:val="clear" w:color="auto" w:fill="auto"/>
            <w:vAlign w:val="center"/>
          </w:tcPr>
          <w:p w14:paraId="670D05B8">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15米长信号线，4K HDMI</w:t>
            </w:r>
          </w:p>
        </w:tc>
        <w:tc>
          <w:tcPr>
            <w:tcW w:w="251" w:type="pct"/>
            <w:tcBorders>
              <w:tl2br w:val="nil"/>
              <w:tr2bl w:val="nil"/>
            </w:tcBorders>
            <w:shd w:val="clear" w:color="auto" w:fill="auto"/>
            <w:vAlign w:val="center"/>
          </w:tcPr>
          <w:p w14:paraId="4587D56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条</w:t>
            </w:r>
          </w:p>
        </w:tc>
        <w:tc>
          <w:tcPr>
            <w:tcW w:w="479" w:type="pct"/>
            <w:tcBorders>
              <w:tl2br w:val="nil"/>
              <w:tr2bl w:val="nil"/>
            </w:tcBorders>
            <w:shd w:val="clear" w:color="auto" w:fill="auto"/>
            <w:vAlign w:val="center"/>
          </w:tcPr>
          <w:p w14:paraId="4D8AC35B">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rPr>
              <w:t>5</w:t>
            </w:r>
          </w:p>
        </w:tc>
        <w:tc>
          <w:tcPr>
            <w:tcW w:w="424" w:type="pct"/>
            <w:tcBorders>
              <w:tl2br w:val="nil"/>
              <w:tr2bl w:val="nil"/>
            </w:tcBorders>
            <w:shd w:val="clear" w:color="auto" w:fill="auto"/>
            <w:vAlign w:val="center"/>
          </w:tcPr>
          <w:p w14:paraId="57C72B56">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3A5BF0EF">
            <w:pPr>
              <w:widowControl/>
              <w:jc w:val="center"/>
              <w:textAlignment w:val="center"/>
              <w:rPr>
                <w:rFonts w:hint="eastAsia" w:ascii="宋体" w:hAnsi="宋体" w:eastAsia="宋体" w:cs="宋体"/>
                <w:color w:val="auto"/>
                <w:kern w:val="0"/>
                <w:sz w:val="18"/>
                <w:szCs w:val="18"/>
              </w:rPr>
            </w:pPr>
          </w:p>
        </w:tc>
      </w:tr>
      <w:tr w14:paraId="21461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51" w:type="pct"/>
            <w:tcBorders>
              <w:tl2br w:val="nil"/>
              <w:tr2bl w:val="nil"/>
            </w:tcBorders>
            <w:shd w:val="clear" w:color="auto" w:fill="FFFFFF"/>
            <w:vAlign w:val="center"/>
          </w:tcPr>
          <w:p w14:paraId="5FF19402">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530" w:type="pct"/>
            <w:tcBorders>
              <w:tl2br w:val="nil"/>
              <w:tr2bl w:val="nil"/>
            </w:tcBorders>
            <w:shd w:val="clear" w:color="auto" w:fill="auto"/>
            <w:vAlign w:val="center"/>
          </w:tcPr>
          <w:p w14:paraId="1483CE70">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LED条屏</w:t>
            </w:r>
          </w:p>
        </w:tc>
        <w:tc>
          <w:tcPr>
            <w:tcW w:w="885" w:type="pct"/>
            <w:tcBorders>
              <w:tl2br w:val="nil"/>
              <w:tr2bl w:val="nil"/>
            </w:tcBorders>
            <w:shd w:val="clear" w:color="auto" w:fill="auto"/>
            <w:vAlign w:val="center"/>
          </w:tcPr>
          <w:p w14:paraId="2DC327A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大华/海康/利亚德</w:t>
            </w:r>
          </w:p>
        </w:tc>
        <w:tc>
          <w:tcPr>
            <w:tcW w:w="1750" w:type="pct"/>
            <w:tcBorders>
              <w:tl2br w:val="nil"/>
              <w:tr2bl w:val="nil"/>
            </w:tcBorders>
            <w:shd w:val="clear" w:color="auto" w:fill="auto"/>
            <w:vAlign w:val="center"/>
          </w:tcPr>
          <w:p w14:paraId="6C1F456B">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P2.0全彩LED屏,模组尺寸320mm*160mm，条屏尺寸4800mm*320mm，含接收卡，视频处理器及播放软件等（高度0.3米）</w:t>
            </w:r>
          </w:p>
        </w:tc>
        <w:tc>
          <w:tcPr>
            <w:tcW w:w="251" w:type="pct"/>
            <w:tcBorders>
              <w:tl2br w:val="nil"/>
              <w:tr2bl w:val="nil"/>
            </w:tcBorders>
            <w:shd w:val="clear" w:color="auto" w:fill="auto"/>
            <w:vAlign w:val="center"/>
          </w:tcPr>
          <w:p w14:paraId="411C543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eastAsia="zh-CN"/>
              </w:rPr>
              <w:t>平方米</w:t>
            </w:r>
          </w:p>
        </w:tc>
        <w:tc>
          <w:tcPr>
            <w:tcW w:w="479" w:type="pct"/>
            <w:tcBorders>
              <w:tl2br w:val="nil"/>
              <w:tr2bl w:val="nil"/>
            </w:tcBorders>
            <w:shd w:val="clear" w:color="auto" w:fill="auto"/>
            <w:vAlign w:val="center"/>
          </w:tcPr>
          <w:p w14:paraId="215802DB">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1.536</w:t>
            </w:r>
          </w:p>
        </w:tc>
        <w:tc>
          <w:tcPr>
            <w:tcW w:w="424" w:type="pct"/>
            <w:tcBorders>
              <w:tl2br w:val="nil"/>
              <w:tr2bl w:val="nil"/>
            </w:tcBorders>
            <w:shd w:val="clear" w:color="auto" w:fill="auto"/>
            <w:vAlign w:val="center"/>
          </w:tcPr>
          <w:p w14:paraId="5DB6B593">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5D03887C">
            <w:pPr>
              <w:widowControl/>
              <w:jc w:val="center"/>
              <w:textAlignment w:val="center"/>
              <w:rPr>
                <w:rFonts w:hint="eastAsia" w:ascii="宋体" w:hAnsi="宋体" w:eastAsia="宋体" w:cs="宋体"/>
                <w:color w:val="auto"/>
                <w:kern w:val="0"/>
                <w:sz w:val="18"/>
                <w:szCs w:val="18"/>
              </w:rPr>
            </w:pPr>
          </w:p>
        </w:tc>
      </w:tr>
      <w:tr w14:paraId="22D95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51" w:type="pct"/>
            <w:tcBorders>
              <w:tl2br w:val="nil"/>
              <w:tr2bl w:val="nil"/>
            </w:tcBorders>
            <w:shd w:val="clear" w:color="auto" w:fill="FFFFFF"/>
            <w:vAlign w:val="center"/>
          </w:tcPr>
          <w:p w14:paraId="55861E96">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530" w:type="pct"/>
            <w:tcBorders>
              <w:tl2br w:val="nil"/>
              <w:tr2bl w:val="nil"/>
            </w:tcBorders>
            <w:shd w:val="clear" w:color="auto" w:fill="auto"/>
            <w:vAlign w:val="center"/>
          </w:tcPr>
          <w:p w14:paraId="3801AF77">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配套附件，配套中控室安装辅材</w:t>
            </w:r>
          </w:p>
        </w:tc>
        <w:tc>
          <w:tcPr>
            <w:tcW w:w="885" w:type="pct"/>
            <w:tcBorders>
              <w:tl2br w:val="nil"/>
              <w:tr2bl w:val="nil"/>
            </w:tcBorders>
            <w:shd w:val="clear" w:color="auto" w:fill="auto"/>
            <w:vAlign w:val="center"/>
          </w:tcPr>
          <w:p w14:paraId="0026F87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750" w:type="pct"/>
            <w:tcBorders>
              <w:tl2br w:val="nil"/>
              <w:tr2bl w:val="nil"/>
            </w:tcBorders>
            <w:shd w:val="clear" w:color="auto" w:fill="auto"/>
            <w:vAlign w:val="center"/>
          </w:tcPr>
          <w:p w14:paraId="6CDFB0A8">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配套辅件，包括但不限于螺丝、电源线、光纤跳线、3米无氧铜网络跳线、RJ45-RS232转接头、遥控器、24口金属理线架、机打线束标签、水晶头，PDU插座、光模块（千兆单模）等</w:t>
            </w:r>
          </w:p>
        </w:tc>
        <w:tc>
          <w:tcPr>
            <w:tcW w:w="251" w:type="pct"/>
            <w:tcBorders>
              <w:tl2br w:val="nil"/>
              <w:tr2bl w:val="nil"/>
            </w:tcBorders>
            <w:shd w:val="clear" w:color="auto" w:fill="auto"/>
            <w:vAlign w:val="center"/>
          </w:tcPr>
          <w:p w14:paraId="28880671">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若干</w:t>
            </w:r>
          </w:p>
        </w:tc>
        <w:tc>
          <w:tcPr>
            <w:tcW w:w="479" w:type="pct"/>
            <w:tcBorders>
              <w:tl2br w:val="nil"/>
              <w:tr2bl w:val="nil"/>
            </w:tcBorders>
            <w:shd w:val="clear" w:color="auto" w:fill="auto"/>
            <w:vAlign w:val="center"/>
          </w:tcPr>
          <w:p w14:paraId="6697F63B">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满足需求，自行配置</w:t>
            </w:r>
          </w:p>
        </w:tc>
        <w:tc>
          <w:tcPr>
            <w:tcW w:w="424" w:type="pct"/>
            <w:tcBorders>
              <w:tl2br w:val="nil"/>
              <w:tr2bl w:val="nil"/>
            </w:tcBorders>
            <w:shd w:val="clear" w:color="auto" w:fill="auto"/>
            <w:vAlign w:val="center"/>
          </w:tcPr>
          <w:p w14:paraId="311845C3">
            <w:pPr>
              <w:widowControl/>
              <w:jc w:val="center"/>
              <w:textAlignment w:val="center"/>
              <w:rPr>
                <w:rFonts w:hint="eastAsia" w:ascii="宋体" w:hAnsi="宋体" w:eastAsia="宋体" w:cs="宋体"/>
                <w:color w:val="auto"/>
                <w:kern w:val="0"/>
                <w:sz w:val="18"/>
                <w:szCs w:val="18"/>
              </w:rPr>
            </w:pPr>
          </w:p>
        </w:tc>
        <w:tc>
          <w:tcPr>
            <w:tcW w:w="424" w:type="pct"/>
            <w:tcBorders>
              <w:tl2br w:val="nil"/>
              <w:tr2bl w:val="nil"/>
            </w:tcBorders>
            <w:shd w:val="clear" w:color="auto" w:fill="auto"/>
            <w:vAlign w:val="center"/>
          </w:tcPr>
          <w:p w14:paraId="2F693983">
            <w:pPr>
              <w:widowControl/>
              <w:jc w:val="center"/>
              <w:textAlignment w:val="center"/>
              <w:rPr>
                <w:rFonts w:hint="eastAsia" w:ascii="宋体" w:hAnsi="宋体" w:eastAsia="宋体" w:cs="宋体"/>
                <w:color w:val="auto"/>
                <w:kern w:val="0"/>
                <w:sz w:val="18"/>
                <w:szCs w:val="18"/>
              </w:rPr>
            </w:pPr>
          </w:p>
        </w:tc>
      </w:tr>
      <w:tr w14:paraId="573C4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67" w:type="pct"/>
            <w:gridSpan w:val="3"/>
            <w:tcBorders>
              <w:tl2br w:val="nil"/>
              <w:tr2bl w:val="nil"/>
            </w:tcBorders>
            <w:shd w:val="clear" w:color="auto" w:fill="FFFFFF"/>
            <w:vAlign w:val="center"/>
          </w:tcPr>
          <w:p w14:paraId="0B514CC4">
            <w:pPr>
              <w:spacing w:line="360" w:lineRule="auto"/>
              <w:jc w:val="center"/>
              <w:rPr>
                <w:rFonts w:hint="eastAsia" w:ascii="宋体" w:hAnsi="宋体" w:eastAsia="宋体" w:cs="宋体"/>
                <w:color w:val="auto"/>
                <w:sz w:val="18"/>
                <w:szCs w:val="18"/>
                <w:lang w:val="en-US" w:eastAsia="zh-CN"/>
              </w:rPr>
            </w:pPr>
            <w:r>
              <w:rPr>
                <w:rFonts w:hint="eastAsia" w:cs="仿宋" w:asciiTheme="minorEastAsia" w:hAnsiTheme="minorEastAsia"/>
                <w:b/>
                <w:color w:val="auto"/>
                <w:sz w:val="24"/>
              </w:rPr>
              <w:t>响应报价合计（小写）</w:t>
            </w:r>
          </w:p>
        </w:tc>
        <w:tc>
          <w:tcPr>
            <w:tcW w:w="3332" w:type="pct"/>
            <w:gridSpan w:val="5"/>
            <w:tcBorders>
              <w:tl2br w:val="nil"/>
              <w:tr2bl w:val="nil"/>
            </w:tcBorders>
            <w:shd w:val="clear" w:color="auto" w:fill="auto"/>
            <w:vAlign w:val="center"/>
          </w:tcPr>
          <w:p w14:paraId="30ECCD65">
            <w:pPr>
              <w:spacing w:line="360" w:lineRule="auto"/>
              <w:jc w:val="center"/>
              <w:rPr>
                <w:rFonts w:hint="eastAsia" w:ascii="宋体" w:hAnsi="宋体" w:eastAsia="宋体" w:cs="宋体"/>
                <w:color w:val="auto"/>
                <w:kern w:val="0"/>
                <w:sz w:val="18"/>
                <w:szCs w:val="18"/>
              </w:rPr>
            </w:pPr>
          </w:p>
        </w:tc>
      </w:tr>
      <w:tr w14:paraId="4C4A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667" w:type="pct"/>
            <w:gridSpan w:val="3"/>
            <w:tcBorders>
              <w:tl2br w:val="nil"/>
              <w:tr2bl w:val="nil"/>
            </w:tcBorders>
            <w:shd w:val="clear" w:color="auto" w:fill="FFFFFF"/>
            <w:vAlign w:val="center"/>
          </w:tcPr>
          <w:p w14:paraId="68173168">
            <w:pPr>
              <w:spacing w:line="360" w:lineRule="auto"/>
              <w:jc w:val="center"/>
              <w:rPr>
                <w:rFonts w:hint="eastAsia" w:ascii="宋体" w:hAnsi="宋体" w:eastAsia="宋体" w:cs="宋体"/>
                <w:color w:val="auto"/>
                <w:sz w:val="18"/>
                <w:szCs w:val="18"/>
                <w:lang w:val="en-US" w:eastAsia="zh-CN"/>
              </w:rPr>
            </w:pPr>
            <w:r>
              <w:rPr>
                <w:rFonts w:hint="eastAsia" w:cs="仿宋" w:asciiTheme="minorEastAsia" w:hAnsiTheme="minorEastAsia"/>
                <w:b/>
                <w:color w:val="auto"/>
                <w:sz w:val="24"/>
              </w:rPr>
              <w:t>响应报价合计（大写）</w:t>
            </w:r>
          </w:p>
        </w:tc>
        <w:tc>
          <w:tcPr>
            <w:tcW w:w="3332" w:type="pct"/>
            <w:gridSpan w:val="5"/>
            <w:tcBorders>
              <w:tl2br w:val="nil"/>
              <w:tr2bl w:val="nil"/>
            </w:tcBorders>
            <w:shd w:val="clear" w:color="auto" w:fill="auto"/>
            <w:vAlign w:val="center"/>
          </w:tcPr>
          <w:p w14:paraId="2B18C7DE">
            <w:pPr>
              <w:spacing w:line="360" w:lineRule="auto"/>
              <w:jc w:val="center"/>
              <w:rPr>
                <w:rFonts w:hint="eastAsia" w:ascii="宋体" w:hAnsi="宋体" w:eastAsia="宋体" w:cs="宋体"/>
                <w:color w:val="auto"/>
                <w:kern w:val="0"/>
                <w:sz w:val="18"/>
                <w:szCs w:val="18"/>
              </w:rPr>
            </w:pPr>
          </w:p>
        </w:tc>
      </w:tr>
      <w:tr w14:paraId="5474E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667" w:type="pct"/>
            <w:gridSpan w:val="3"/>
            <w:tcBorders>
              <w:tl2br w:val="nil"/>
              <w:tr2bl w:val="nil"/>
            </w:tcBorders>
            <w:shd w:val="clear" w:color="auto" w:fill="FFFFFF"/>
            <w:vAlign w:val="center"/>
          </w:tcPr>
          <w:p w14:paraId="650DFA10">
            <w:pPr>
              <w:spacing w:line="360" w:lineRule="auto"/>
              <w:jc w:val="center"/>
              <w:rPr>
                <w:rFonts w:hint="eastAsia" w:ascii="宋体" w:hAnsi="宋体" w:eastAsia="宋体" w:cs="宋体"/>
                <w:color w:val="auto"/>
                <w:sz w:val="18"/>
                <w:szCs w:val="18"/>
                <w:lang w:val="en-US" w:eastAsia="zh-CN"/>
              </w:rPr>
            </w:pPr>
            <w:r>
              <w:rPr>
                <w:rFonts w:hint="eastAsia" w:cs="仿宋" w:asciiTheme="minorEastAsia" w:hAnsiTheme="minorEastAsia"/>
                <w:b/>
                <w:color w:val="auto"/>
                <w:sz w:val="24"/>
              </w:rPr>
              <w:t>税率</w:t>
            </w:r>
          </w:p>
        </w:tc>
        <w:tc>
          <w:tcPr>
            <w:tcW w:w="3332" w:type="pct"/>
            <w:gridSpan w:val="5"/>
            <w:tcBorders>
              <w:tl2br w:val="nil"/>
              <w:tr2bl w:val="nil"/>
            </w:tcBorders>
            <w:shd w:val="clear" w:color="auto" w:fill="auto"/>
            <w:vAlign w:val="center"/>
          </w:tcPr>
          <w:p w14:paraId="2461E62B">
            <w:pPr>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w:t>
            </w:r>
          </w:p>
        </w:tc>
      </w:tr>
      <w:tr w14:paraId="5627E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000" w:type="pct"/>
            <w:gridSpan w:val="8"/>
            <w:tcBorders>
              <w:tl2br w:val="nil"/>
              <w:tr2bl w:val="nil"/>
            </w:tcBorders>
            <w:shd w:val="clear" w:color="auto" w:fill="FFFFFF"/>
            <w:vAlign w:val="center"/>
          </w:tcPr>
          <w:p w14:paraId="6BE99A5D">
            <w:pPr>
              <w:pStyle w:val="18"/>
              <w:spacing w:line="240" w:lineRule="auto"/>
              <w:ind w:firstLine="0" w:firstLineChars="0"/>
              <w:jc w:val="center"/>
              <w:rPr>
                <w:rFonts w:hint="eastAsia" w:ascii="宋体" w:hAnsi="宋体" w:eastAsia="宋体" w:cs="宋体"/>
                <w:color w:val="auto"/>
                <w:kern w:val="0"/>
                <w:sz w:val="18"/>
                <w:szCs w:val="18"/>
              </w:rPr>
            </w:pPr>
            <w:r>
              <w:rPr>
                <w:rFonts w:hint="eastAsia" w:ascii="宋体" w:hAnsi="宋体" w:cs="宋体"/>
                <w:color w:val="auto"/>
                <w:kern w:val="0"/>
                <w:sz w:val="22"/>
                <w:szCs w:val="22"/>
              </w:rPr>
              <w:t>不含税总金额 =含税总金额/（1+税率）</w:t>
            </w:r>
          </w:p>
        </w:tc>
      </w:tr>
    </w:tbl>
    <w:p w14:paraId="74DCD3A9">
      <w:pPr>
        <w:snapToGrid w:val="0"/>
        <w:spacing w:line="360" w:lineRule="auto"/>
        <w:ind w:left="480"/>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685AD69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C2511D2">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6AAB060F">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6B143F4">
      <w:pPr>
        <w:pStyle w:val="10"/>
        <w:spacing w:before="100" w:beforeAutospacing="1" w:after="100" w:afterAutospacing="1" w:line="360" w:lineRule="auto"/>
        <w:rPr>
          <w:rFonts w:hAnsi="宋体" w:cs="宋体"/>
          <w:b/>
          <w:color w:val="auto"/>
        </w:rPr>
      </w:pPr>
      <w:r>
        <w:rPr>
          <w:rFonts w:hint="eastAsia" w:cs="仿宋" w:asciiTheme="minorEastAsia" w:hAnsiTheme="minorEastAsia"/>
          <w:b/>
          <w:color w:val="auto"/>
          <w:spacing w:val="6"/>
          <w:sz w:val="32"/>
          <w:szCs w:val="32"/>
        </w:rPr>
        <w:t>附件</w:t>
      </w:r>
      <w:r>
        <w:rPr>
          <w:rFonts w:hint="eastAsia" w:hAnsi="宋体" w:cs="宋体"/>
          <w:b/>
          <w:color w:val="auto"/>
          <w:sz w:val="32"/>
          <w:szCs w:val="32"/>
        </w:rPr>
        <w:t xml:space="preserve">1    </w:t>
      </w:r>
    </w:p>
    <w:p w14:paraId="6D000AA2">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474B4B3">
      <w:pPr>
        <w:snapToGrid w:val="0"/>
        <w:spacing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17C7F13D">
      <w:pPr>
        <w:snapToGrid w:val="0"/>
        <w:spacing w:line="360" w:lineRule="auto"/>
        <w:rPr>
          <w:rFonts w:ascii="宋体" w:hAnsi="宋体" w:cs="宋体"/>
          <w:color w:val="auto"/>
          <w:sz w:val="24"/>
          <w:u w:val="dotted"/>
        </w:rPr>
      </w:pPr>
      <w:r>
        <w:rPr>
          <w:rFonts w:hint="eastAsia" w:ascii="宋体" w:hAnsi="宋体" w:cs="宋体"/>
          <w:color w:val="auto"/>
          <w:sz w:val="24"/>
        </w:rPr>
        <w:t>质疑供应商：</w:t>
      </w:r>
    </w:p>
    <w:p w14:paraId="60BA9835">
      <w:pPr>
        <w:snapToGrid w:val="0"/>
        <w:spacing w:line="360" w:lineRule="auto"/>
        <w:rPr>
          <w:rFonts w:ascii="宋体" w:hAnsi="宋体" w:cs="宋体"/>
          <w:color w:val="auto"/>
          <w:sz w:val="24"/>
        </w:rPr>
      </w:pPr>
      <w:r>
        <w:rPr>
          <w:rFonts w:hint="eastAsia" w:ascii="宋体" w:hAnsi="宋体" w:cs="宋体"/>
          <w:color w:val="auto"/>
          <w:sz w:val="24"/>
        </w:rPr>
        <w:t>地址：邮编：</w:t>
      </w:r>
    </w:p>
    <w:p w14:paraId="73635E18">
      <w:pPr>
        <w:snapToGrid w:val="0"/>
        <w:spacing w:line="360" w:lineRule="auto"/>
        <w:rPr>
          <w:rFonts w:ascii="宋体" w:hAnsi="宋体" w:cs="宋体"/>
          <w:color w:val="auto"/>
          <w:sz w:val="24"/>
        </w:rPr>
      </w:pPr>
      <w:r>
        <w:rPr>
          <w:rFonts w:hint="eastAsia" w:ascii="宋体" w:hAnsi="宋体" w:cs="宋体"/>
          <w:color w:val="auto"/>
          <w:sz w:val="24"/>
        </w:rPr>
        <w:t>联系人：联系电话：</w:t>
      </w:r>
    </w:p>
    <w:p w14:paraId="48E8A4BC">
      <w:pPr>
        <w:snapToGrid w:val="0"/>
        <w:spacing w:line="360" w:lineRule="auto"/>
        <w:rPr>
          <w:rFonts w:ascii="宋体" w:hAnsi="宋体" w:cs="宋体"/>
          <w:color w:val="auto"/>
          <w:sz w:val="24"/>
          <w:u w:val="dotted"/>
        </w:rPr>
      </w:pPr>
      <w:r>
        <w:rPr>
          <w:rFonts w:hint="eastAsia" w:ascii="宋体" w:hAnsi="宋体" w:cs="宋体"/>
          <w:color w:val="auto"/>
          <w:sz w:val="24"/>
        </w:rPr>
        <w:t>授权代表：</w:t>
      </w:r>
    </w:p>
    <w:p w14:paraId="12D564A7">
      <w:pPr>
        <w:snapToGrid w:val="0"/>
        <w:spacing w:line="360" w:lineRule="auto"/>
        <w:rPr>
          <w:rFonts w:ascii="宋体" w:hAnsi="宋体" w:cs="宋体"/>
          <w:color w:val="auto"/>
          <w:sz w:val="24"/>
        </w:rPr>
      </w:pPr>
      <w:r>
        <w:rPr>
          <w:rFonts w:hint="eastAsia" w:ascii="宋体" w:hAnsi="宋体" w:cs="宋体"/>
          <w:color w:val="auto"/>
          <w:sz w:val="24"/>
        </w:rPr>
        <w:t>联系电话：</w:t>
      </w:r>
    </w:p>
    <w:p w14:paraId="53FE6926">
      <w:pPr>
        <w:snapToGrid w:val="0"/>
        <w:spacing w:line="360" w:lineRule="auto"/>
        <w:rPr>
          <w:rFonts w:ascii="宋体" w:hAnsi="宋体" w:cs="宋体"/>
          <w:color w:val="auto"/>
          <w:sz w:val="24"/>
        </w:rPr>
      </w:pPr>
      <w:r>
        <w:rPr>
          <w:rFonts w:hint="eastAsia" w:ascii="宋体" w:hAnsi="宋体" w:cs="宋体"/>
          <w:color w:val="auto"/>
          <w:sz w:val="24"/>
        </w:rPr>
        <w:t>地址： 邮编：</w:t>
      </w:r>
    </w:p>
    <w:p w14:paraId="2E1B2E0F">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42588C55">
      <w:pPr>
        <w:snapToGrid w:val="0"/>
        <w:spacing w:line="360" w:lineRule="auto"/>
        <w:rPr>
          <w:rFonts w:ascii="宋体" w:hAnsi="宋体" w:cs="宋体"/>
          <w:color w:val="auto"/>
          <w:sz w:val="24"/>
        </w:rPr>
      </w:pPr>
      <w:r>
        <w:rPr>
          <w:rFonts w:hint="eastAsia" w:ascii="宋体" w:hAnsi="宋体" w:cs="宋体"/>
          <w:color w:val="auto"/>
          <w:sz w:val="24"/>
        </w:rPr>
        <w:t>质疑项目的名称：</w:t>
      </w:r>
    </w:p>
    <w:p w14:paraId="74D373E7">
      <w:pPr>
        <w:snapToGrid w:val="0"/>
        <w:spacing w:line="360" w:lineRule="auto"/>
        <w:rPr>
          <w:rFonts w:ascii="宋体" w:hAnsi="宋体" w:cs="宋体"/>
          <w:color w:val="auto"/>
          <w:sz w:val="24"/>
        </w:rPr>
      </w:pPr>
      <w:r>
        <w:rPr>
          <w:rFonts w:hint="eastAsia" w:ascii="宋体" w:hAnsi="宋体" w:cs="宋体"/>
          <w:color w:val="auto"/>
          <w:sz w:val="24"/>
        </w:rPr>
        <w:t>质疑项目的编号：包号：</w:t>
      </w:r>
    </w:p>
    <w:p w14:paraId="30FA5250">
      <w:pPr>
        <w:snapToGrid w:val="0"/>
        <w:spacing w:line="360" w:lineRule="auto"/>
        <w:rPr>
          <w:rFonts w:ascii="宋体" w:hAnsi="宋体" w:cs="宋体"/>
          <w:color w:val="auto"/>
          <w:sz w:val="24"/>
          <w:u w:val="dotted"/>
        </w:rPr>
      </w:pPr>
      <w:r>
        <w:rPr>
          <w:rFonts w:hint="eastAsia" w:ascii="宋体" w:hAnsi="宋体" w:cs="宋体"/>
          <w:color w:val="auto"/>
          <w:sz w:val="24"/>
        </w:rPr>
        <w:t>采购人名称：</w:t>
      </w:r>
    </w:p>
    <w:p w14:paraId="720E08E5">
      <w:pPr>
        <w:snapToGrid w:val="0"/>
        <w:spacing w:line="360" w:lineRule="auto"/>
        <w:rPr>
          <w:rFonts w:ascii="宋体" w:hAnsi="宋体" w:cs="宋体"/>
          <w:color w:val="auto"/>
          <w:sz w:val="24"/>
        </w:rPr>
      </w:pPr>
      <w:r>
        <w:rPr>
          <w:rFonts w:hint="eastAsia" w:ascii="宋体" w:hAnsi="宋体" w:cs="宋体"/>
          <w:color w:val="auto"/>
          <w:sz w:val="24"/>
        </w:rPr>
        <w:t>询价采购文件获取日期：</w:t>
      </w:r>
    </w:p>
    <w:p w14:paraId="49C6EF28">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6762F4B1">
      <w:pPr>
        <w:snapToGrid w:val="0"/>
        <w:spacing w:line="360" w:lineRule="auto"/>
        <w:rPr>
          <w:rFonts w:ascii="宋体" w:hAnsi="宋体" w:cs="宋体"/>
          <w:color w:val="auto"/>
          <w:sz w:val="24"/>
          <w:u w:val="dotted"/>
        </w:rPr>
      </w:pPr>
      <w:r>
        <w:rPr>
          <w:rFonts w:hint="eastAsia" w:ascii="宋体" w:hAnsi="宋体" w:cs="宋体"/>
          <w:color w:val="auto"/>
          <w:sz w:val="24"/>
        </w:rPr>
        <w:t>质疑事项1：</w:t>
      </w:r>
    </w:p>
    <w:p w14:paraId="0B2A8080">
      <w:pPr>
        <w:snapToGrid w:val="0"/>
        <w:spacing w:line="360" w:lineRule="auto"/>
        <w:rPr>
          <w:rFonts w:ascii="宋体" w:hAnsi="宋体" w:cs="宋体"/>
          <w:color w:val="auto"/>
          <w:sz w:val="24"/>
          <w:u w:val="dotted"/>
        </w:rPr>
      </w:pPr>
      <w:r>
        <w:rPr>
          <w:rFonts w:hint="eastAsia" w:ascii="宋体" w:hAnsi="宋体" w:cs="宋体"/>
          <w:color w:val="auto"/>
          <w:sz w:val="24"/>
        </w:rPr>
        <w:t>事实依据：</w:t>
      </w:r>
    </w:p>
    <w:p w14:paraId="5F068AE1">
      <w:pPr>
        <w:snapToGrid w:val="0"/>
        <w:spacing w:line="360" w:lineRule="auto"/>
        <w:rPr>
          <w:rFonts w:ascii="宋体" w:hAnsi="宋体" w:cs="宋体"/>
          <w:color w:val="auto"/>
          <w:sz w:val="24"/>
        </w:rPr>
      </w:pPr>
    </w:p>
    <w:p w14:paraId="749DA2D6">
      <w:pPr>
        <w:snapToGrid w:val="0"/>
        <w:spacing w:line="360" w:lineRule="auto"/>
        <w:rPr>
          <w:rFonts w:ascii="宋体" w:hAnsi="宋体" w:cs="宋体"/>
          <w:color w:val="auto"/>
          <w:sz w:val="24"/>
          <w:u w:val="dotted"/>
        </w:rPr>
      </w:pPr>
      <w:r>
        <w:rPr>
          <w:rFonts w:hint="eastAsia" w:ascii="宋体" w:hAnsi="宋体" w:cs="宋体"/>
          <w:color w:val="auto"/>
          <w:sz w:val="24"/>
        </w:rPr>
        <w:t>法律依据：</w:t>
      </w:r>
    </w:p>
    <w:p w14:paraId="3FDD439A">
      <w:pPr>
        <w:snapToGrid w:val="0"/>
        <w:spacing w:line="360" w:lineRule="auto"/>
        <w:rPr>
          <w:rFonts w:ascii="宋体" w:hAnsi="宋体" w:cs="宋体"/>
          <w:color w:val="auto"/>
          <w:sz w:val="24"/>
          <w:u w:val="dotted"/>
        </w:rPr>
      </w:pPr>
    </w:p>
    <w:p w14:paraId="57BF295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6AE5AD79">
      <w:pPr>
        <w:snapToGrid w:val="0"/>
        <w:spacing w:line="360" w:lineRule="auto"/>
        <w:rPr>
          <w:rFonts w:ascii="宋体" w:hAnsi="宋体" w:cs="宋体"/>
          <w:color w:val="auto"/>
          <w:sz w:val="24"/>
        </w:rPr>
      </w:pPr>
      <w:r>
        <w:rPr>
          <w:rFonts w:hint="eastAsia" w:ascii="宋体" w:hAnsi="宋体" w:cs="宋体"/>
          <w:color w:val="auto"/>
          <w:sz w:val="24"/>
        </w:rPr>
        <w:t>……</w:t>
      </w:r>
    </w:p>
    <w:p w14:paraId="0BFD2CA0">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EDD5B86">
      <w:pPr>
        <w:snapToGrid w:val="0"/>
        <w:spacing w:line="360" w:lineRule="auto"/>
        <w:rPr>
          <w:rFonts w:ascii="宋体" w:hAnsi="宋体" w:cs="宋体"/>
          <w:color w:val="auto"/>
          <w:sz w:val="24"/>
          <w:u w:val="dotted"/>
        </w:rPr>
      </w:pPr>
      <w:r>
        <w:rPr>
          <w:rFonts w:hint="eastAsia" w:ascii="宋体" w:hAnsi="宋体" w:cs="宋体"/>
          <w:color w:val="auto"/>
          <w:sz w:val="24"/>
        </w:rPr>
        <w:t>请求：</w:t>
      </w:r>
    </w:p>
    <w:p w14:paraId="4161E953">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2B2AA870">
      <w:pPr>
        <w:spacing w:line="360" w:lineRule="auto"/>
        <w:rPr>
          <w:rFonts w:ascii="宋体" w:hAnsi="宋体" w:cs="宋体"/>
          <w:b/>
          <w:bCs/>
          <w:color w:val="auto"/>
          <w:sz w:val="24"/>
        </w:rPr>
      </w:pPr>
      <w:r>
        <w:rPr>
          <w:rFonts w:hint="eastAsia" w:ascii="宋体" w:hAnsi="宋体" w:cs="宋体"/>
          <w:color w:val="auto"/>
          <w:sz w:val="24"/>
        </w:rPr>
        <w:t xml:space="preserve">日期：    </w:t>
      </w:r>
    </w:p>
    <w:p w14:paraId="613E2E65">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1F4877">
      <w:pPr>
        <w:pStyle w:val="14"/>
        <w:rPr>
          <w:color w:val="auto"/>
        </w:rPr>
      </w:pPr>
    </w:p>
    <w:p w14:paraId="038500F2">
      <w:pPr>
        <w:spacing w:line="360" w:lineRule="auto"/>
        <w:rPr>
          <w:rFonts w:ascii="宋体" w:hAnsi="宋体" w:cs="宋体"/>
          <w:b/>
          <w:color w:val="auto"/>
          <w:sz w:val="24"/>
        </w:rPr>
      </w:pPr>
      <w:r>
        <w:rPr>
          <w:rFonts w:hint="eastAsia" w:ascii="宋体" w:hAnsi="宋体" w:cs="宋体"/>
          <w:b/>
          <w:color w:val="auto"/>
          <w:sz w:val="24"/>
        </w:rPr>
        <w:t>质疑函制作说明：</w:t>
      </w:r>
    </w:p>
    <w:p w14:paraId="34AE7C5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5E4758C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17796FB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2B054D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4.质疑函的质疑请求应与质疑事项相关。</w:t>
      </w:r>
    </w:p>
    <w:p w14:paraId="3838B40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5.质疑供应商为法人或者其他组织的，质疑函应由法定代表人、主要负责人，或者其授权代表签字或者盖章，并加盖公章。</w:t>
      </w:r>
    </w:p>
    <w:p w14:paraId="285CCB23">
      <w:pPr>
        <w:widowControl/>
        <w:spacing w:line="360" w:lineRule="auto"/>
        <w:ind w:firstLine="600" w:firstLineChars="200"/>
        <w:jc w:val="left"/>
        <w:rPr>
          <w:rFonts w:ascii="宋体" w:hAnsi="宋体" w:cs="宋体"/>
          <w:color w:val="auto"/>
          <w:sz w:val="30"/>
          <w:szCs w:val="30"/>
        </w:rPr>
      </w:pPr>
    </w:p>
    <w:p w14:paraId="169FDAB8">
      <w:pPr>
        <w:autoSpaceDE w:val="0"/>
        <w:autoSpaceDN w:val="0"/>
        <w:rPr>
          <w:rFonts w:cs="仿宋" w:asciiTheme="minorEastAsia" w:hAnsiTheme="minorEastAsia"/>
          <w:b/>
          <w:color w:val="auto"/>
          <w:spacing w:val="6"/>
          <w:sz w:val="32"/>
          <w:szCs w:val="32"/>
        </w:rPr>
      </w:pPr>
    </w:p>
    <w:p w14:paraId="1AD8BEDD">
      <w:pPr>
        <w:autoSpaceDE w:val="0"/>
        <w:autoSpaceDN w:val="0"/>
        <w:rPr>
          <w:rFonts w:cs="仿宋" w:asciiTheme="minorEastAsia" w:hAnsiTheme="minorEastAsia"/>
          <w:b/>
          <w:color w:val="auto"/>
          <w:spacing w:val="6"/>
          <w:sz w:val="32"/>
          <w:szCs w:val="32"/>
        </w:rPr>
      </w:pPr>
    </w:p>
    <w:p w14:paraId="5A16422B">
      <w:pPr>
        <w:autoSpaceDE w:val="0"/>
        <w:autoSpaceDN w:val="0"/>
        <w:rPr>
          <w:rFonts w:cs="仿宋" w:asciiTheme="minorEastAsia" w:hAnsiTheme="minorEastAsia"/>
          <w:b/>
          <w:color w:val="auto"/>
          <w:spacing w:val="6"/>
          <w:sz w:val="32"/>
          <w:szCs w:val="32"/>
        </w:rPr>
      </w:pPr>
    </w:p>
    <w:p w14:paraId="278581DB">
      <w:pPr>
        <w:autoSpaceDE w:val="0"/>
        <w:autoSpaceDN w:val="0"/>
        <w:rPr>
          <w:rFonts w:cs="仿宋" w:asciiTheme="minorEastAsia" w:hAnsiTheme="minorEastAsia"/>
          <w:b/>
          <w:color w:val="auto"/>
          <w:spacing w:val="6"/>
          <w:sz w:val="32"/>
          <w:szCs w:val="32"/>
        </w:rPr>
      </w:pPr>
    </w:p>
    <w:p w14:paraId="51C6564E">
      <w:pPr>
        <w:autoSpaceDE w:val="0"/>
        <w:autoSpaceDN w:val="0"/>
        <w:rPr>
          <w:rFonts w:cs="仿宋" w:asciiTheme="minorEastAsia" w:hAnsiTheme="minorEastAsia"/>
          <w:b/>
          <w:color w:val="auto"/>
          <w:spacing w:val="6"/>
          <w:sz w:val="32"/>
          <w:szCs w:val="32"/>
        </w:rPr>
      </w:pPr>
    </w:p>
    <w:p w14:paraId="5E4D55C5">
      <w:pPr>
        <w:autoSpaceDE w:val="0"/>
        <w:autoSpaceDN w:val="0"/>
        <w:rPr>
          <w:rFonts w:cs="仿宋" w:asciiTheme="minorEastAsia" w:hAnsiTheme="minorEastAsia"/>
          <w:b/>
          <w:color w:val="auto"/>
          <w:spacing w:val="6"/>
          <w:sz w:val="32"/>
          <w:szCs w:val="32"/>
        </w:rPr>
      </w:pPr>
    </w:p>
    <w:p w14:paraId="75585091">
      <w:pPr>
        <w:autoSpaceDE w:val="0"/>
        <w:autoSpaceDN w:val="0"/>
        <w:rPr>
          <w:rFonts w:cs="仿宋" w:asciiTheme="minorEastAsia" w:hAnsiTheme="minorEastAsia"/>
          <w:b/>
          <w:color w:val="auto"/>
          <w:spacing w:val="6"/>
          <w:sz w:val="32"/>
          <w:szCs w:val="32"/>
        </w:rPr>
      </w:pPr>
    </w:p>
    <w:p w14:paraId="56F84655">
      <w:pPr>
        <w:autoSpaceDE w:val="0"/>
        <w:autoSpaceDN w:val="0"/>
        <w:rPr>
          <w:rFonts w:cs="仿宋" w:asciiTheme="minorEastAsia" w:hAnsiTheme="minorEastAsia"/>
          <w:b/>
          <w:color w:val="auto"/>
          <w:spacing w:val="6"/>
          <w:sz w:val="32"/>
          <w:szCs w:val="32"/>
        </w:rPr>
      </w:pPr>
    </w:p>
    <w:p w14:paraId="0C75D659">
      <w:pPr>
        <w:autoSpaceDE w:val="0"/>
        <w:autoSpaceDN w:val="0"/>
        <w:rPr>
          <w:rFonts w:cs="仿宋" w:asciiTheme="minorEastAsia" w:hAnsiTheme="minorEastAsia"/>
          <w:b/>
          <w:color w:val="auto"/>
          <w:spacing w:val="6"/>
          <w:sz w:val="32"/>
          <w:szCs w:val="32"/>
        </w:rPr>
      </w:pPr>
    </w:p>
    <w:p w14:paraId="2B4174B1">
      <w:pPr>
        <w:autoSpaceDE w:val="0"/>
        <w:autoSpaceDN w:val="0"/>
        <w:rPr>
          <w:rFonts w:cs="仿宋" w:asciiTheme="minorEastAsia" w:hAnsiTheme="minorEastAsia"/>
          <w:b/>
          <w:color w:val="auto"/>
          <w:spacing w:val="6"/>
          <w:sz w:val="32"/>
          <w:szCs w:val="32"/>
        </w:rPr>
      </w:pPr>
    </w:p>
    <w:p w14:paraId="380C77BF">
      <w:pPr>
        <w:autoSpaceDE w:val="0"/>
        <w:autoSpaceDN w:val="0"/>
        <w:rPr>
          <w:rFonts w:cs="仿宋" w:asciiTheme="minorEastAsia" w:hAnsiTheme="minorEastAsia"/>
          <w:b/>
          <w:color w:val="auto"/>
          <w:spacing w:val="6"/>
          <w:sz w:val="32"/>
          <w:szCs w:val="32"/>
        </w:rPr>
      </w:pPr>
    </w:p>
    <w:p w14:paraId="18C4908C">
      <w:pPr>
        <w:autoSpaceDE w:val="0"/>
        <w:autoSpaceDN w:val="0"/>
        <w:rPr>
          <w:rFonts w:cs="仿宋" w:asciiTheme="minorEastAsia" w:hAnsiTheme="minorEastAsia"/>
          <w:b/>
          <w:color w:val="auto"/>
          <w:spacing w:val="6"/>
          <w:sz w:val="32"/>
          <w:szCs w:val="32"/>
        </w:rPr>
      </w:pPr>
    </w:p>
    <w:p w14:paraId="4E7B6DD9">
      <w:pPr>
        <w:pStyle w:val="17"/>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29D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BDAD4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BBDAD4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0792">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C9E88E">
                          <w:pPr>
                            <w:pStyle w:val="12"/>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36C9E88E">
                    <w:pPr>
                      <w:pStyle w:val="12"/>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p w14:paraId="12DB9DF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733B">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0FE1DF">
                          <w:pPr>
                            <w:pStyle w:val="12"/>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v:fill on="f" focussize="0,0"/>
              <v:stroke on="f"/>
              <v:imagedata o:title=""/>
              <o:lock v:ext="edit" aspectratio="f"/>
              <v:textbox inset="0mm,0mm,0mm,0mm" style="mso-fit-shape-to-text:t;">
                <w:txbxContent>
                  <w:p w14:paraId="4A0FE1DF">
                    <w:pPr>
                      <w:pStyle w:val="12"/>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p w14:paraId="02A5161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CCF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CFA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BF0DCF">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FBF0DCF">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A4D8">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5942B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375942B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436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5B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398B">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0F5D">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17650F5D">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p w14:paraId="627CC551">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86F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04A33B">
                          <w:pPr>
                            <w:pStyle w:val="12"/>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6804A33B">
                    <w:pPr>
                      <w:pStyle w:val="12"/>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p w14:paraId="76D2343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E38E">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B3F0F3">
                          <w:pPr>
                            <w:pStyle w:val="1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65B3F0F3">
                    <w:pPr>
                      <w:pStyle w:val="1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p w14:paraId="4857EF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D037">
    <w:pPr>
      <w:pStyle w:val="13"/>
      <w:jc w:val="right"/>
      <w:rPr>
        <w:rFonts w:ascii="仿宋" w:hAnsi="仿宋" w:eastAsia="仿宋" w:cs="仿宋"/>
        <w:i/>
        <w:iCs/>
      </w:rPr>
    </w:pPr>
  </w:p>
  <w:p w14:paraId="025FBC56">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380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B34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D0A3">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96A2">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F7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1D4206"/>
    <w:rsid w:val="001E20A2"/>
    <w:rsid w:val="00211F61"/>
    <w:rsid w:val="002F4A28"/>
    <w:rsid w:val="00310C7D"/>
    <w:rsid w:val="0036660F"/>
    <w:rsid w:val="00373A1E"/>
    <w:rsid w:val="003C00E0"/>
    <w:rsid w:val="00462607"/>
    <w:rsid w:val="00466F38"/>
    <w:rsid w:val="004A1086"/>
    <w:rsid w:val="004E73AF"/>
    <w:rsid w:val="00505519"/>
    <w:rsid w:val="0054412C"/>
    <w:rsid w:val="0062042A"/>
    <w:rsid w:val="00641814"/>
    <w:rsid w:val="006B1289"/>
    <w:rsid w:val="00762F0F"/>
    <w:rsid w:val="00816543"/>
    <w:rsid w:val="00835FC4"/>
    <w:rsid w:val="00935EC2"/>
    <w:rsid w:val="00AE3EEE"/>
    <w:rsid w:val="00AE4831"/>
    <w:rsid w:val="00B60CBF"/>
    <w:rsid w:val="00B9735E"/>
    <w:rsid w:val="00C13136"/>
    <w:rsid w:val="00C21919"/>
    <w:rsid w:val="00C3645A"/>
    <w:rsid w:val="00C4083F"/>
    <w:rsid w:val="00C82CB3"/>
    <w:rsid w:val="00CE6942"/>
    <w:rsid w:val="00D00625"/>
    <w:rsid w:val="00D666AB"/>
    <w:rsid w:val="00D9332C"/>
    <w:rsid w:val="00DF3633"/>
    <w:rsid w:val="00E81C9E"/>
    <w:rsid w:val="00ED341A"/>
    <w:rsid w:val="00F25F96"/>
    <w:rsid w:val="00FA1FA8"/>
    <w:rsid w:val="013853AC"/>
    <w:rsid w:val="01603505"/>
    <w:rsid w:val="01F16209"/>
    <w:rsid w:val="023E1286"/>
    <w:rsid w:val="02532161"/>
    <w:rsid w:val="029C7664"/>
    <w:rsid w:val="02AD361F"/>
    <w:rsid w:val="02C122C8"/>
    <w:rsid w:val="030669ED"/>
    <w:rsid w:val="032B7E17"/>
    <w:rsid w:val="034B5FC8"/>
    <w:rsid w:val="039667A9"/>
    <w:rsid w:val="03C319A1"/>
    <w:rsid w:val="03C74493"/>
    <w:rsid w:val="03CA5C6D"/>
    <w:rsid w:val="042E0DB9"/>
    <w:rsid w:val="04A15406"/>
    <w:rsid w:val="04E634F4"/>
    <w:rsid w:val="057311F3"/>
    <w:rsid w:val="05953E92"/>
    <w:rsid w:val="05A4392C"/>
    <w:rsid w:val="05B52446"/>
    <w:rsid w:val="05B622F4"/>
    <w:rsid w:val="05D709B3"/>
    <w:rsid w:val="05FA2E6D"/>
    <w:rsid w:val="06803F38"/>
    <w:rsid w:val="06897EFF"/>
    <w:rsid w:val="07013F3A"/>
    <w:rsid w:val="078B333A"/>
    <w:rsid w:val="07944DAE"/>
    <w:rsid w:val="07A67451"/>
    <w:rsid w:val="07C24B12"/>
    <w:rsid w:val="07D15ABF"/>
    <w:rsid w:val="08420CAE"/>
    <w:rsid w:val="087B7D1C"/>
    <w:rsid w:val="087E795F"/>
    <w:rsid w:val="08D25907"/>
    <w:rsid w:val="08D86F1C"/>
    <w:rsid w:val="08E23539"/>
    <w:rsid w:val="09104908"/>
    <w:rsid w:val="09EC7123"/>
    <w:rsid w:val="09ED56C9"/>
    <w:rsid w:val="09F45FD8"/>
    <w:rsid w:val="0AED2736"/>
    <w:rsid w:val="0B4954E7"/>
    <w:rsid w:val="0B530D41"/>
    <w:rsid w:val="0B652758"/>
    <w:rsid w:val="0B7A2290"/>
    <w:rsid w:val="0B9D71A5"/>
    <w:rsid w:val="0BED1956"/>
    <w:rsid w:val="0BF7590B"/>
    <w:rsid w:val="0BFE313E"/>
    <w:rsid w:val="0C177D5B"/>
    <w:rsid w:val="0C2A044F"/>
    <w:rsid w:val="0C3868B5"/>
    <w:rsid w:val="0C492847"/>
    <w:rsid w:val="0C4A5EA0"/>
    <w:rsid w:val="0CAD246E"/>
    <w:rsid w:val="0CF31D21"/>
    <w:rsid w:val="0D89320B"/>
    <w:rsid w:val="0D8B0B2E"/>
    <w:rsid w:val="0E145699"/>
    <w:rsid w:val="0E3E3CC5"/>
    <w:rsid w:val="0E777FD0"/>
    <w:rsid w:val="0EC870E3"/>
    <w:rsid w:val="0F111837"/>
    <w:rsid w:val="0F2F6501"/>
    <w:rsid w:val="0F487738"/>
    <w:rsid w:val="0F81598B"/>
    <w:rsid w:val="0FA26822"/>
    <w:rsid w:val="0FB91E94"/>
    <w:rsid w:val="0FEE3435"/>
    <w:rsid w:val="10134CDE"/>
    <w:rsid w:val="10B45C10"/>
    <w:rsid w:val="10C76755"/>
    <w:rsid w:val="10CB7DEC"/>
    <w:rsid w:val="111E777C"/>
    <w:rsid w:val="112F3D99"/>
    <w:rsid w:val="11592BC4"/>
    <w:rsid w:val="117F57B1"/>
    <w:rsid w:val="11B04EDA"/>
    <w:rsid w:val="11C46A46"/>
    <w:rsid w:val="11C4717C"/>
    <w:rsid w:val="11CC1466"/>
    <w:rsid w:val="11D64215"/>
    <w:rsid w:val="11F35B37"/>
    <w:rsid w:val="11FA3B64"/>
    <w:rsid w:val="1241012A"/>
    <w:rsid w:val="1272218F"/>
    <w:rsid w:val="12D86145"/>
    <w:rsid w:val="12E110C3"/>
    <w:rsid w:val="13175B3D"/>
    <w:rsid w:val="135A601C"/>
    <w:rsid w:val="13655850"/>
    <w:rsid w:val="13806B2E"/>
    <w:rsid w:val="13CA058A"/>
    <w:rsid w:val="13CE1647"/>
    <w:rsid w:val="13D12EE6"/>
    <w:rsid w:val="13DD5D2E"/>
    <w:rsid w:val="143E2438"/>
    <w:rsid w:val="14422232"/>
    <w:rsid w:val="149D2B06"/>
    <w:rsid w:val="14DF7D0B"/>
    <w:rsid w:val="152B7330"/>
    <w:rsid w:val="152C0D1B"/>
    <w:rsid w:val="152F207E"/>
    <w:rsid w:val="15CB2DA0"/>
    <w:rsid w:val="15E74C42"/>
    <w:rsid w:val="16135A37"/>
    <w:rsid w:val="166F3635"/>
    <w:rsid w:val="16806E74"/>
    <w:rsid w:val="17455C1A"/>
    <w:rsid w:val="174F1F61"/>
    <w:rsid w:val="17577430"/>
    <w:rsid w:val="17AF353E"/>
    <w:rsid w:val="17F53FEF"/>
    <w:rsid w:val="185870FA"/>
    <w:rsid w:val="185A544F"/>
    <w:rsid w:val="18890233"/>
    <w:rsid w:val="188E75F7"/>
    <w:rsid w:val="18A60DE5"/>
    <w:rsid w:val="18F27B86"/>
    <w:rsid w:val="190D49C0"/>
    <w:rsid w:val="192C5E12"/>
    <w:rsid w:val="194A1770"/>
    <w:rsid w:val="19550115"/>
    <w:rsid w:val="198737C7"/>
    <w:rsid w:val="19976A31"/>
    <w:rsid w:val="19A15FDA"/>
    <w:rsid w:val="19DC6BDA"/>
    <w:rsid w:val="1A4B1C44"/>
    <w:rsid w:val="1A732F49"/>
    <w:rsid w:val="1A8F1933"/>
    <w:rsid w:val="1A972372"/>
    <w:rsid w:val="1AA56FDE"/>
    <w:rsid w:val="1B1B25BA"/>
    <w:rsid w:val="1B7913A6"/>
    <w:rsid w:val="1BC16CEB"/>
    <w:rsid w:val="1BE22134"/>
    <w:rsid w:val="1C2E7A6C"/>
    <w:rsid w:val="1CF63251"/>
    <w:rsid w:val="1D4452C4"/>
    <w:rsid w:val="1D61352C"/>
    <w:rsid w:val="1D882867"/>
    <w:rsid w:val="1DB608DC"/>
    <w:rsid w:val="1DC64ADE"/>
    <w:rsid w:val="1DCF6B00"/>
    <w:rsid w:val="1DFA0457"/>
    <w:rsid w:val="1E3A7ED9"/>
    <w:rsid w:val="1E4A5D6E"/>
    <w:rsid w:val="1E5F5CBE"/>
    <w:rsid w:val="1E8307F5"/>
    <w:rsid w:val="1F457921"/>
    <w:rsid w:val="1F9D1312"/>
    <w:rsid w:val="1FAD5F5A"/>
    <w:rsid w:val="1FB7538F"/>
    <w:rsid w:val="20234AC9"/>
    <w:rsid w:val="20457135"/>
    <w:rsid w:val="2075762A"/>
    <w:rsid w:val="2091148E"/>
    <w:rsid w:val="20B13F02"/>
    <w:rsid w:val="20CA13E8"/>
    <w:rsid w:val="20D12777"/>
    <w:rsid w:val="20D93677"/>
    <w:rsid w:val="20FB672E"/>
    <w:rsid w:val="213339C4"/>
    <w:rsid w:val="213D7067"/>
    <w:rsid w:val="21486F07"/>
    <w:rsid w:val="21645399"/>
    <w:rsid w:val="21677697"/>
    <w:rsid w:val="218D2B42"/>
    <w:rsid w:val="219409C9"/>
    <w:rsid w:val="21C81DCC"/>
    <w:rsid w:val="220A73B2"/>
    <w:rsid w:val="226D415C"/>
    <w:rsid w:val="228D26CE"/>
    <w:rsid w:val="22916FA5"/>
    <w:rsid w:val="22F37A2A"/>
    <w:rsid w:val="230E1A60"/>
    <w:rsid w:val="23445482"/>
    <w:rsid w:val="23922209"/>
    <w:rsid w:val="23C64579"/>
    <w:rsid w:val="23D21F8E"/>
    <w:rsid w:val="23EC5AE3"/>
    <w:rsid w:val="245C67FB"/>
    <w:rsid w:val="247C6E9E"/>
    <w:rsid w:val="24A51F50"/>
    <w:rsid w:val="24C7636B"/>
    <w:rsid w:val="25214969"/>
    <w:rsid w:val="25382DC5"/>
    <w:rsid w:val="254E481C"/>
    <w:rsid w:val="25650E5F"/>
    <w:rsid w:val="25674FDE"/>
    <w:rsid w:val="25C26B32"/>
    <w:rsid w:val="25F37A51"/>
    <w:rsid w:val="26010880"/>
    <w:rsid w:val="261F6035"/>
    <w:rsid w:val="26211CEE"/>
    <w:rsid w:val="26467763"/>
    <w:rsid w:val="26F15921"/>
    <w:rsid w:val="27037402"/>
    <w:rsid w:val="27B05B28"/>
    <w:rsid w:val="27D843EB"/>
    <w:rsid w:val="28515521"/>
    <w:rsid w:val="28D92620"/>
    <w:rsid w:val="294E0F60"/>
    <w:rsid w:val="29760BDE"/>
    <w:rsid w:val="2987716A"/>
    <w:rsid w:val="29AE18A7"/>
    <w:rsid w:val="2A1C39EA"/>
    <w:rsid w:val="2A6366FF"/>
    <w:rsid w:val="2B3D5BF4"/>
    <w:rsid w:val="2BDD3C76"/>
    <w:rsid w:val="2C113E2B"/>
    <w:rsid w:val="2C4141D8"/>
    <w:rsid w:val="2C5444DF"/>
    <w:rsid w:val="2C6B1CD2"/>
    <w:rsid w:val="2C950AFD"/>
    <w:rsid w:val="2CBF127D"/>
    <w:rsid w:val="2CC15D95"/>
    <w:rsid w:val="2D210C4A"/>
    <w:rsid w:val="2D2F064E"/>
    <w:rsid w:val="2DBF7F69"/>
    <w:rsid w:val="2E7A56DC"/>
    <w:rsid w:val="2E9F315C"/>
    <w:rsid w:val="2EBA484A"/>
    <w:rsid w:val="2F4D3609"/>
    <w:rsid w:val="2F5836E9"/>
    <w:rsid w:val="2FBD18C1"/>
    <w:rsid w:val="300206D5"/>
    <w:rsid w:val="30062480"/>
    <w:rsid w:val="3038636F"/>
    <w:rsid w:val="30556F21"/>
    <w:rsid w:val="306153F0"/>
    <w:rsid w:val="308B267F"/>
    <w:rsid w:val="308C5F1F"/>
    <w:rsid w:val="30B33C47"/>
    <w:rsid w:val="30CB0F91"/>
    <w:rsid w:val="30CE282F"/>
    <w:rsid w:val="31111553"/>
    <w:rsid w:val="31191AA6"/>
    <w:rsid w:val="314B6E80"/>
    <w:rsid w:val="31A05328"/>
    <w:rsid w:val="32142E46"/>
    <w:rsid w:val="32285F6F"/>
    <w:rsid w:val="32843E96"/>
    <w:rsid w:val="328F6BFC"/>
    <w:rsid w:val="32C410E7"/>
    <w:rsid w:val="32EB1476"/>
    <w:rsid w:val="32EC2577"/>
    <w:rsid w:val="334341C1"/>
    <w:rsid w:val="33F2545E"/>
    <w:rsid w:val="34125129"/>
    <w:rsid w:val="34155E66"/>
    <w:rsid w:val="34402314"/>
    <w:rsid w:val="34454474"/>
    <w:rsid w:val="34AF40BC"/>
    <w:rsid w:val="35334ED5"/>
    <w:rsid w:val="36043E6C"/>
    <w:rsid w:val="36162BCB"/>
    <w:rsid w:val="364530C9"/>
    <w:rsid w:val="36535A7A"/>
    <w:rsid w:val="36650267"/>
    <w:rsid w:val="36A71B58"/>
    <w:rsid w:val="36A869E3"/>
    <w:rsid w:val="36CA0AFA"/>
    <w:rsid w:val="36D6068F"/>
    <w:rsid w:val="37103BA1"/>
    <w:rsid w:val="37514AF4"/>
    <w:rsid w:val="377C0298"/>
    <w:rsid w:val="379B4BBC"/>
    <w:rsid w:val="37B04D36"/>
    <w:rsid w:val="37C65D75"/>
    <w:rsid w:val="37D2523E"/>
    <w:rsid w:val="3878476E"/>
    <w:rsid w:val="390F487A"/>
    <w:rsid w:val="392B7D9A"/>
    <w:rsid w:val="39550978"/>
    <w:rsid w:val="39617472"/>
    <w:rsid w:val="39C31C6C"/>
    <w:rsid w:val="3A0E5FD4"/>
    <w:rsid w:val="3A12693C"/>
    <w:rsid w:val="3A207904"/>
    <w:rsid w:val="3A2B484E"/>
    <w:rsid w:val="3A314864"/>
    <w:rsid w:val="3A6303AE"/>
    <w:rsid w:val="3A836438"/>
    <w:rsid w:val="3A993EAE"/>
    <w:rsid w:val="3AB61186"/>
    <w:rsid w:val="3AF15A98"/>
    <w:rsid w:val="3B1612CF"/>
    <w:rsid w:val="3C283344"/>
    <w:rsid w:val="3C485F9D"/>
    <w:rsid w:val="3C7C70D7"/>
    <w:rsid w:val="3C940DD1"/>
    <w:rsid w:val="3C983DDE"/>
    <w:rsid w:val="3CA60B04"/>
    <w:rsid w:val="3D7804A8"/>
    <w:rsid w:val="3E0C6463"/>
    <w:rsid w:val="3E32264F"/>
    <w:rsid w:val="3EE43BF5"/>
    <w:rsid w:val="3EF913BF"/>
    <w:rsid w:val="3F9A0B0B"/>
    <w:rsid w:val="403A3A3D"/>
    <w:rsid w:val="403E57B7"/>
    <w:rsid w:val="405363C6"/>
    <w:rsid w:val="408A49C4"/>
    <w:rsid w:val="411A0F39"/>
    <w:rsid w:val="41313092"/>
    <w:rsid w:val="41526B64"/>
    <w:rsid w:val="415A5C88"/>
    <w:rsid w:val="41CE08E1"/>
    <w:rsid w:val="42112513"/>
    <w:rsid w:val="42181B5C"/>
    <w:rsid w:val="42206C63"/>
    <w:rsid w:val="42235DCF"/>
    <w:rsid w:val="426E5C20"/>
    <w:rsid w:val="42975177"/>
    <w:rsid w:val="42E070D4"/>
    <w:rsid w:val="430F2F5F"/>
    <w:rsid w:val="433C7ACC"/>
    <w:rsid w:val="435518AD"/>
    <w:rsid w:val="435E7A42"/>
    <w:rsid w:val="43C04259"/>
    <w:rsid w:val="43C354C4"/>
    <w:rsid w:val="44A040E0"/>
    <w:rsid w:val="44C67F95"/>
    <w:rsid w:val="44FD54C5"/>
    <w:rsid w:val="4557347D"/>
    <w:rsid w:val="4559568A"/>
    <w:rsid w:val="459260C9"/>
    <w:rsid w:val="45A47533"/>
    <w:rsid w:val="45F97EF6"/>
    <w:rsid w:val="46567018"/>
    <w:rsid w:val="46BC402D"/>
    <w:rsid w:val="472961BF"/>
    <w:rsid w:val="475528CD"/>
    <w:rsid w:val="47A0687C"/>
    <w:rsid w:val="47B265AF"/>
    <w:rsid w:val="47E83461"/>
    <w:rsid w:val="48331B28"/>
    <w:rsid w:val="48D367DD"/>
    <w:rsid w:val="4916491B"/>
    <w:rsid w:val="494E6D9A"/>
    <w:rsid w:val="496717C4"/>
    <w:rsid w:val="4A063A4F"/>
    <w:rsid w:val="4A1B043B"/>
    <w:rsid w:val="4A823CB2"/>
    <w:rsid w:val="4A875AD1"/>
    <w:rsid w:val="4AB56533"/>
    <w:rsid w:val="4AE27CAC"/>
    <w:rsid w:val="4B1B2ECF"/>
    <w:rsid w:val="4B2E6F39"/>
    <w:rsid w:val="4B517E8D"/>
    <w:rsid w:val="4B6E282F"/>
    <w:rsid w:val="4B7E5126"/>
    <w:rsid w:val="4BAC48C9"/>
    <w:rsid w:val="4BB27DC6"/>
    <w:rsid w:val="4BDC66D4"/>
    <w:rsid w:val="4C192E4D"/>
    <w:rsid w:val="4C883C6A"/>
    <w:rsid w:val="4C893A5C"/>
    <w:rsid w:val="4CAE18D6"/>
    <w:rsid w:val="4CAF234B"/>
    <w:rsid w:val="4CD52BD1"/>
    <w:rsid w:val="4CEA2347"/>
    <w:rsid w:val="4CEF795D"/>
    <w:rsid w:val="4D0E4287"/>
    <w:rsid w:val="4D19039B"/>
    <w:rsid w:val="4D243428"/>
    <w:rsid w:val="4D2D7FC0"/>
    <w:rsid w:val="4D4B1038"/>
    <w:rsid w:val="4D6A0BE3"/>
    <w:rsid w:val="4E0336C0"/>
    <w:rsid w:val="4E1E04FA"/>
    <w:rsid w:val="4E30647F"/>
    <w:rsid w:val="4E50518F"/>
    <w:rsid w:val="4E604FB7"/>
    <w:rsid w:val="4EE45114"/>
    <w:rsid w:val="4EFA25EF"/>
    <w:rsid w:val="4F0B04A7"/>
    <w:rsid w:val="4F2C043D"/>
    <w:rsid w:val="4F9246A8"/>
    <w:rsid w:val="4FBC621D"/>
    <w:rsid w:val="4FC275AB"/>
    <w:rsid w:val="4FEB08B0"/>
    <w:rsid w:val="50A13664"/>
    <w:rsid w:val="50AC3B95"/>
    <w:rsid w:val="50EE1EB6"/>
    <w:rsid w:val="50F33EC0"/>
    <w:rsid w:val="516D42D4"/>
    <w:rsid w:val="51883D8E"/>
    <w:rsid w:val="51894824"/>
    <w:rsid w:val="51937E4D"/>
    <w:rsid w:val="51C07EC3"/>
    <w:rsid w:val="52383592"/>
    <w:rsid w:val="523875F5"/>
    <w:rsid w:val="52506204"/>
    <w:rsid w:val="52810931"/>
    <w:rsid w:val="52BE22AC"/>
    <w:rsid w:val="52EF06B7"/>
    <w:rsid w:val="53600914"/>
    <w:rsid w:val="536C7728"/>
    <w:rsid w:val="53FA1DF3"/>
    <w:rsid w:val="541A7921"/>
    <w:rsid w:val="541D55E2"/>
    <w:rsid w:val="543025D9"/>
    <w:rsid w:val="547138AB"/>
    <w:rsid w:val="54AB2D04"/>
    <w:rsid w:val="55004913"/>
    <w:rsid w:val="554A7E27"/>
    <w:rsid w:val="557B35BC"/>
    <w:rsid w:val="55C11256"/>
    <w:rsid w:val="56020701"/>
    <w:rsid w:val="565C1CF5"/>
    <w:rsid w:val="56A14C34"/>
    <w:rsid w:val="56E235EF"/>
    <w:rsid w:val="571D7C87"/>
    <w:rsid w:val="571F3A0C"/>
    <w:rsid w:val="574E47D2"/>
    <w:rsid w:val="575431DF"/>
    <w:rsid w:val="57730CE2"/>
    <w:rsid w:val="578D53D5"/>
    <w:rsid w:val="57DC32D5"/>
    <w:rsid w:val="57F2034A"/>
    <w:rsid w:val="58207565"/>
    <w:rsid w:val="58235318"/>
    <w:rsid w:val="5889510A"/>
    <w:rsid w:val="59121C77"/>
    <w:rsid w:val="5966544B"/>
    <w:rsid w:val="59C72A09"/>
    <w:rsid w:val="59DE0E09"/>
    <w:rsid w:val="59DF6851"/>
    <w:rsid w:val="59FD190B"/>
    <w:rsid w:val="5A283DD0"/>
    <w:rsid w:val="5AC14754"/>
    <w:rsid w:val="5ACD76EE"/>
    <w:rsid w:val="5AD36B10"/>
    <w:rsid w:val="5B091590"/>
    <w:rsid w:val="5B366E46"/>
    <w:rsid w:val="5B3D7F5F"/>
    <w:rsid w:val="5B460326"/>
    <w:rsid w:val="5B9113BC"/>
    <w:rsid w:val="5C7B276E"/>
    <w:rsid w:val="5C9A592C"/>
    <w:rsid w:val="5D1066F9"/>
    <w:rsid w:val="5D9E638A"/>
    <w:rsid w:val="5DF85390"/>
    <w:rsid w:val="5E581806"/>
    <w:rsid w:val="5E7B54F5"/>
    <w:rsid w:val="5E7F4FE5"/>
    <w:rsid w:val="5E8E347A"/>
    <w:rsid w:val="5F0279C4"/>
    <w:rsid w:val="5F3B6A32"/>
    <w:rsid w:val="5F535D43"/>
    <w:rsid w:val="5F944466"/>
    <w:rsid w:val="5FBE7D8F"/>
    <w:rsid w:val="60470EFE"/>
    <w:rsid w:val="607466A0"/>
    <w:rsid w:val="6075116F"/>
    <w:rsid w:val="60844C26"/>
    <w:rsid w:val="60A9029A"/>
    <w:rsid w:val="60D86C2E"/>
    <w:rsid w:val="60DA29A7"/>
    <w:rsid w:val="60FA16F8"/>
    <w:rsid w:val="61102202"/>
    <w:rsid w:val="6139287F"/>
    <w:rsid w:val="615F4C5A"/>
    <w:rsid w:val="616D4934"/>
    <w:rsid w:val="61CA0C65"/>
    <w:rsid w:val="61CA7231"/>
    <w:rsid w:val="61ED3C40"/>
    <w:rsid w:val="622B7FF0"/>
    <w:rsid w:val="62634C1E"/>
    <w:rsid w:val="62A50D92"/>
    <w:rsid w:val="62C642C8"/>
    <w:rsid w:val="631B2246"/>
    <w:rsid w:val="632056E4"/>
    <w:rsid w:val="6320666B"/>
    <w:rsid w:val="632E6FDA"/>
    <w:rsid w:val="63CF15A0"/>
    <w:rsid w:val="64055963"/>
    <w:rsid w:val="6425592F"/>
    <w:rsid w:val="6449557A"/>
    <w:rsid w:val="645C36D2"/>
    <w:rsid w:val="648A6492"/>
    <w:rsid w:val="649B41FB"/>
    <w:rsid w:val="65A92947"/>
    <w:rsid w:val="661A50B7"/>
    <w:rsid w:val="665B123D"/>
    <w:rsid w:val="66976C44"/>
    <w:rsid w:val="66F30BCE"/>
    <w:rsid w:val="673C0170"/>
    <w:rsid w:val="673E5F91"/>
    <w:rsid w:val="677A6041"/>
    <w:rsid w:val="6796410E"/>
    <w:rsid w:val="67BC07C3"/>
    <w:rsid w:val="67CC6DC1"/>
    <w:rsid w:val="67D6317A"/>
    <w:rsid w:val="67D649B5"/>
    <w:rsid w:val="67D81CAB"/>
    <w:rsid w:val="67E45939"/>
    <w:rsid w:val="688F0E05"/>
    <w:rsid w:val="68B735CD"/>
    <w:rsid w:val="68C401D4"/>
    <w:rsid w:val="68ED6365"/>
    <w:rsid w:val="690A7BA1"/>
    <w:rsid w:val="6A234C96"/>
    <w:rsid w:val="6A4E3ABD"/>
    <w:rsid w:val="6ABE0C43"/>
    <w:rsid w:val="6AE63D7E"/>
    <w:rsid w:val="6B056872"/>
    <w:rsid w:val="6B1FB0C7"/>
    <w:rsid w:val="6B462C2B"/>
    <w:rsid w:val="6B8359E9"/>
    <w:rsid w:val="6B8C5108"/>
    <w:rsid w:val="6B8C6F93"/>
    <w:rsid w:val="6BD277B9"/>
    <w:rsid w:val="6C321620"/>
    <w:rsid w:val="6C5A2BED"/>
    <w:rsid w:val="6C5C4BB7"/>
    <w:rsid w:val="6CE30E35"/>
    <w:rsid w:val="6D1A237D"/>
    <w:rsid w:val="6D205BE5"/>
    <w:rsid w:val="6D25144D"/>
    <w:rsid w:val="6DA02882"/>
    <w:rsid w:val="6DA12E69"/>
    <w:rsid w:val="6DBB3B60"/>
    <w:rsid w:val="6DF826BE"/>
    <w:rsid w:val="6E2C6F5B"/>
    <w:rsid w:val="6EC15BA9"/>
    <w:rsid w:val="6F0B4673"/>
    <w:rsid w:val="6F4831D1"/>
    <w:rsid w:val="6FD20CED"/>
    <w:rsid w:val="6FDE48DA"/>
    <w:rsid w:val="700E4F44"/>
    <w:rsid w:val="70124E0E"/>
    <w:rsid w:val="70173239"/>
    <w:rsid w:val="706C7ABF"/>
    <w:rsid w:val="70812E3F"/>
    <w:rsid w:val="70FA6D2C"/>
    <w:rsid w:val="7110156C"/>
    <w:rsid w:val="711D3FA5"/>
    <w:rsid w:val="715E6CDC"/>
    <w:rsid w:val="7189691C"/>
    <w:rsid w:val="71C9107F"/>
    <w:rsid w:val="71D234CA"/>
    <w:rsid w:val="721A5B23"/>
    <w:rsid w:val="7287285A"/>
    <w:rsid w:val="72B931C1"/>
    <w:rsid w:val="72CB03A1"/>
    <w:rsid w:val="72E66F89"/>
    <w:rsid w:val="730100E0"/>
    <w:rsid w:val="732764FB"/>
    <w:rsid w:val="734A515C"/>
    <w:rsid w:val="738D03F5"/>
    <w:rsid w:val="73987BB2"/>
    <w:rsid w:val="73DB5ACF"/>
    <w:rsid w:val="73E442FB"/>
    <w:rsid w:val="73EF1E6D"/>
    <w:rsid w:val="7416564C"/>
    <w:rsid w:val="74173DA2"/>
    <w:rsid w:val="743261FE"/>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DA14EC"/>
    <w:rsid w:val="79EB254B"/>
    <w:rsid w:val="7A770E0E"/>
    <w:rsid w:val="7AB80996"/>
    <w:rsid w:val="7AEF6BF7"/>
    <w:rsid w:val="7B205002"/>
    <w:rsid w:val="7B6B1016"/>
    <w:rsid w:val="7B9D6653"/>
    <w:rsid w:val="7BA82ABD"/>
    <w:rsid w:val="7BEA14E8"/>
    <w:rsid w:val="7C757EAB"/>
    <w:rsid w:val="7CAF3504"/>
    <w:rsid w:val="7D0A41BC"/>
    <w:rsid w:val="7D0A4B32"/>
    <w:rsid w:val="7D1666BD"/>
    <w:rsid w:val="7D797C2B"/>
    <w:rsid w:val="7D823D52"/>
    <w:rsid w:val="7D8C6DFE"/>
    <w:rsid w:val="7DAC6A56"/>
    <w:rsid w:val="7E381ACE"/>
    <w:rsid w:val="7E517088"/>
    <w:rsid w:val="7ED56104"/>
    <w:rsid w:val="7EF742CC"/>
    <w:rsid w:val="7FAF19B7"/>
    <w:rsid w:val="7FBC0C79"/>
    <w:rsid w:val="7FC874FF"/>
    <w:rsid w:val="7FD8778E"/>
    <w:rsid w:val="7FFC1632"/>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link w:val="4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41"/>
    <w:autoRedefine/>
    <w:qFormat/>
    <w:uiPriority w:val="0"/>
    <w:pPr>
      <w:ind w:firstLine="420"/>
    </w:pPr>
    <w:rPr>
      <w:rFonts w:hAnsi="Times New Roman" w:cs="Times New Roman"/>
      <w:snapToGrid/>
      <w:szCs w:val="20"/>
    </w:rPr>
  </w:style>
  <w:style w:type="paragraph" w:styleId="9">
    <w:name w:val="Body Text Indent"/>
    <w:basedOn w:val="1"/>
    <w:link w:val="42"/>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Balloon Text"/>
    <w:basedOn w:val="1"/>
    <w:link w:val="39"/>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Autospacing="1" w:afterAutospacing="1"/>
      <w:jc w:val="left"/>
    </w:pPr>
    <w:rPr>
      <w:rFonts w:ascii="宋体" w:hAnsi="宋体"/>
      <w:kern w:val="0"/>
      <w:sz w:val="24"/>
    </w:rPr>
  </w:style>
  <w:style w:type="paragraph" w:styleId="17">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8">
    <w:name w:val="Body Text First Indent 2"/>
    <w:basedOn w:val="9"/>
    <w:next w:val="5"/>
    <w:link w:val="43"/>
    <w:qFormat/>
    <w:uiPriority w:val="0"/>
    <w:pPr>
      <w:tabs>
        <w:tab w:val="left" w:pos="3420"/>
      </w:tabs>
      <w:ind w:firstLine="420"/>
    </w:pPr>
    <w:rPr>
      <w:rFonts w:ascii="Calibri" w:hAnsi="Calibri" w:eastAsia="宋体"/>
    </w:rPr>
  </w:style>
  <w:style w:type="table" w:styleId="20">
    <w:name w:val="Table Grid"/>
    <w:basedOn w:val="1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2">
    <w:name w:val="_Style 3"/>
    <w:basedOn w:val="1"/>
    <w:qFormat/>
    <w:uiPriority w:val="0"/>
    <w:pPr>
      <w:ind w:firstLine="420" w:firstLineChars="200"/>
    </w:pPr>
    <w:rPr>
      <w:rFonts w:eastAsia="仿宋_GB2312"/>
      <w:sz w:val="28"/>
    </w:r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样式 标题 1 + 四号 加粗"/>
    <w:basedOn w:val="2"/>
    <w:autoRedefine/>
    <w:qFormat/>
    <w:uiPriority w:val="0"/>
  </w:style>
  <w:style w:type="character" w:customStyle="1" w:styleId="38">
    <w:name w:val="font21"/>
    <w:basedOn w:val="21"/>
    <w:autoRedefine/>
    <w:qFormat/>
    <w:uiPriority w:val="0"/>
    <w:rPr>
      <w:rFonts w:hint="eastAsia" w:ascii="仿宋_GB2312" w:eastAsia="仿宋_GB2312" w:cs="仿宋_GB2312"/>
      <w:color w:val="000000"/>
      <w:sz w:val="20"/>
      <w:szCs w:val="20"/>
      <w:u w:val="none"/>
    </w:rPr>
  </w:style>
  <w:style w:type="character" w:customStyle="1" w:styleId="39">
    <w:name w:val="批注框文本 Char"/>
    <w:basedOn w:val="21"/>
    <w:link w:val="11"/>
    <w:qFormat/>
    <w:uiPriority w:val="0"/>
    <w:rPr>
      <w:rFonts w:asciiTheme="minorHAnsi" w:hAnsiTheme="minorHAnsi" w:eastAsiaTheme="minorEastAsia" w:cstheme="minorBidi"/>
      <w:kern w:val="2"/>
      <w:sz w:val="18"/>
      <w:szCs w:val="18"/>
    </w:rPr>
  </w:style>
  <w:style w:type="character" w:customStyle="1" w:styleId="40">
    <w:name w:val="正文文本 Char"/>
    <w:basedOn w:val="21"/>
    <w:link w:val="7"/>
    <w:qFormat/>
    <w:uiPriority w:val="99"/>
    <w:rPr>
      <w:rFonts w:ascii="宋体" w:hAnsi="Arial" w:cs="Arial" w:eastAsiaTheme="minorEastAsia"/>
      <w:snapToGrid w:val="0"/>
      <w:kern w:val="2"/>
      <w:sz w:val="24"/>
      <w:szCs w:val="21"/>
      <w:lang w:val="zh-CN"/>
    </w:rPr>
  </w:style>
  <w:style w:type="character" w:customStyle="1" w:styleId="41">
    <w:name w:val="正文首行缩进 Char"/>
    <w:basedOn w:val="40"/>
    <w:link w:val="8"/>
    <w:qFormat/>
    <w:uiPriority w:val="0"/>
  </w:style>
  <w:style w:type="character" w:customStyle="1" w:styleId="42">
    <w:name w:val="正文文本缩进 Char"/>
    <w:basedOn w:val="21"/>
    <w:link w:val="9"/>
    <w:qFormat/>
    <w:uiPriority w:val="0"/>
    <w:rPr>
      <w:rFonts w:ascii="宋体" w:hAnsi="宋体" w:eastAsiaTheme="minorEastAsia" w:cstheme="minorBidi"/>
      <w:kern w:val="2"/>
      <w:sz w:val="24"/>
      <w:szCs w:val="24"/>
    </w:rPr>
  </w:style>
  <w:style w:type="character" w:customStyle="1" w:styleId="43">
    <w:name w:val="正文首行缩进 2 Char"/>
    <w:basedOn w:val="42"/>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020A1-0DE4-427B-8D4F-E03E1B23FCF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2898</Words>
  <Characters>3191</Characters>
  <Lines>43</Lines>
  <Paragraphs>69</Paragraphs>
  <TotalTime>8</TotalTime>
  <ScaleCrop>false</ScaleCrop>
  <LinksUpToDate>false</LinksUpToDate>
  <CharactersWithSpaces>3286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2026-01-14T07:33:21Z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153EED8CDFF54050A8F304913F859A0A_13</vt:lpwstr>
  </property>
  <property fmtid="{D5CDD505-2E9C-101B-9397-08002B2CF9AE}" pid="4" name="KSOTemplateDocerSaveRecord">
    <vt:lpwstr>eyJoZGlkIjoiZGZjODNjNjE4Y2U2ZWJjYTMzYTk3NGZjY2FkYmE1ZGUiLCJ1c2VySWQiOiI2NjM1OTQ2NjkifQ==</vt:lpwstr>
  </property>
</Properties>
</file>