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2026年能源运行中心推料器液压缸采购项目（第二次）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202601031-1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02月09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202601031-1</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2026年能源运行中心推料器液压缸采购项目（第二次）</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含税29.35</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推料器液压缸</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03"/>
      <w:bookmarkStart w:id="7" w:name="_Toc35393622"/>
      <w:bookmarkStart w:id="8" w:name="_Toc35393791"/>
      <w:bookmarkStart w:id="9" w:name="_Toc28359080"/>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28359004"/>
      <w:bookmarkStart w:id="11" w:name="_Toc35393792"/>
      <w:bookmarkStart w:id="12" w:name="_Toc28359081"/>
      <w:bookmarkStart w:id="13" w:name="_Toc35393623"/>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5800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2026年能源运行中心推料器液压缸采购项目（第二次）</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02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27</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2026年2月09</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hAnsi="宋体" w:eastAsia="宋体" w:cs="宋体"/>
          <w:snapToGrid w:val="0"/>
          <w:szCs w:val="21"/>
          <w:lang w:val="en-US" w:eastAsia="zh-CN"/>
        </w:rPr>
      </w:pPr>
      <w:r>
        <w:rPr>
          <w:rFonts w:hint="eastAsia"/>
          <w:lang w:val="en-US" w:eastAsia="zh-CN"/>
        </w:rPr>
        <w:t>1.采购项目简介：能源运行中心自2020年底投入运营以来，现已五年时间，期间推料器液压缸2025年12月进行更换#5炉B列，结合现场使用环境及设备寿命，其他推料器液压缸亦有多台出现磨损漏油等情况，需进行更换。</w:t>
      </w:r>
      <w:r>
        <w:rPr>
          <w:rFonts w:hint="eastAsia" w:hAnsi="宋体" w:eastAsia="宋体" w:cs="宋体"/>
          <w:snapToGrid w:val="0"/>
          <w:szCs w:val="21"/>
          <w:lang w:val="en-US" w:eastAsia="zh-CN"/>
        </w:rPr>
        <w:t>现需采购一批推料器液压缸用于现场更换使用。</w:t>
      </w:r>
    </w:p>
    <w:p>
      <w:pPr>
        <w:pStyle w:val="7"/>
        <w:ind w:firstLine="480" w:firstLineChars="200"/>
        <w:rPr>
          <w:lang w:val="en-US"/>
        </w:rPr>
      </w:pPr>
      <w:r>
        <w:rPr>
          <w:rFonts w:hint="eastAsia"/>
          <w:lang w:val="en-US" w:eastAsia="zh-CN"/>
        </w:rPr>
        <w:t>2.内容清单</w:t>
      </w:r>
      <w:r>
        <w:rPr>
          <w:rFonts w:hint="eastAsia"/>
          <w:lang w:val="en-US"/>
        </w:rPr>
        <w:t>：</w:t>
      </w:r>
    </w:p>
    <w:tbl>
      <w:tblPr>
        <w:tblStyle w:val="18"/>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55"/>
        <w:gridCol w:w="1718"/>
        <w:gridCol w:w="3532"/>
        <w:gridCol w:w="722"/>
        <w:gridCol w:w="1105"/>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14"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序号</w:t>
            </w:r>
          </w:p>
        </w:tc>
        <w:tc>
          <w:tcPr>
            <w:tcW w:w="955"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货物名称</w:t>
            </w:r>
          </w:p>
        </w:tc>
        <w:tc>
          <w:tcPr>
            <w:tcW w:w="1718"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推荐</w:t>
            </w:r>
            <w:r>
              <w:rPr>
                <w:rFonts w:hint="eastAsia" w:ascii="宋体" w:hAnsi="宋体" w:eastAsia="宋体" w:cs="宋体"/>
                <w:snapToGrid w:val="0"/>
                <w:sz w:val="18"/>
                <w:szCs w:val="18"/>
              </w:rPr>
              <w:t>品牌</w:t>
            </w:r>
          </w:p>
        </w:tc>
        <w:tc>
          <w:tcPr>
            <w:tcW w:w="3532" w:type="dxa"/>
            <w:vAlign w:val="center"/>
          </w:tcPr>
          <w:p>
            <w:pPr>
              <w:jc w:val="center"/>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规格型号</w:t>
            </w:r>
          </w:p>
        </w:tc>
        <w:tc>
          <w:tcPr>
            <w:tcW w:w="722"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rPr>
              <w:t>单位</w:t>
            </w:r>
          </w:p>
        </w:tc>
        <w:tc>
          <w:tcPr>
            <w:tcW w:w="1105" w:type="dxa"/>
            <w:vAlign w:val="center"/>
          </w:tcPr>
          <w:p>
            <w:pPr>
              <w:jc w:val="center"/>
              <w:rPr>
                <w:rFonts w:ascii="宋体" w:hAnsi="宋体" w:eastAsia="宋体" w:cs="宋体"/>
                <w:snapToGrid w:val="0"/>
                <w:sz w:val="18"/>
                <w:szCs w:val="18"/>
              </w:rPr>
            </w:pPr>
            <w:r>
              <w:rPr>
                <w:rFonts w:hint="eastAsia" w:ascii="宋体" w:hAnsi="宋体" w:eastAsia="宋体" w:cs="宋体"/>
                <w:snapToGrid w:val="0"/>
                <w:sz w:val="18"/>
                <w:szCs w:val="18"/>
                <w:lang w:val="en-US" w:eastAsia="zh-CN"/>
              </w:rPr>
              <w:t>暂定</w:t>
            </w:r>
            <w:r>
              <w:rPr>
                <w:rFonts w:hint="eastAsia" w:ascii="宋体" w:hAnsi="宋体" w:eastAsia="宋体" w:cs="宋体"/>
                <w:snapToGrid w:val="0"/>
                <w:sz w:val="18"/>
                <w:szCs w:val="18"/>
              </w:rPr>
              <w:t>数量</w:t>
            </w:r>
          </w:p>
        </w:tc>
        <w:tc>
          <w:tcPr>
            <w:tcW w:w="886" w:type="dxa"/>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61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w:t>
            </w:r>
          </w:p>
        </w:tc>
        <w:tc>
          <w:tcPr>
            <w:tcW w:w="95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推料器液压缸</w:t>
            </w:r>
          </w:p>
        </w:tc>
        <w:tc>
          <w:tcPr>
            <w:tcW w:w="1718"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日立造船株式会社、太陽鉄工株式会社、派克汉尼汾液压(天津)有限公司</w:t>
            </w:r>
          </w:p>
        </w:tc>
        <w:tc>
          <w:tcPr>
            <w:tcW w:w="353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原型号：HC20TFK125-90K-1200；缸径125mm，杆径90mm，全行程1200mm，双作用液压缸；工作压力210bar，最高压力315bar；工作温度-10℃-80℃；密封件材质聚氨酯；含油缸接头、连接销轴、止退销等</w:t>
            </w:r>
          </w:p>
        </w:tc>
        <w:tc>
          <w:tcPr>
            <w:tcW w:w="722"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台</w:t>
            </w:r>
          </w:p>
        </w:tc>
        <w:tc>
          <w:tcPr>
            <w:tcW w:w="110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886" w:type="dxa"/>
            <w:vAlign w:val="center"/>
          </w:tcPr>
          <w:p>
            <w:pPr>
              <w:jc w:val="center"/>
              <w:rPr>
                <w:rFonts w:hint="eastAsia" w:ascii="宋体" w:hAnsi="宋体" w:eastAsia="宋体" w:cs="宋体"/>
                <w:snapToGrid w:val="0"/>
                <w:sz w:val="18"/>
                <w:szCs w:val="18"/>
                <w:lang w:val="en-US" w:eastAsia="zh-CN"/>
              </w:rPr>
            </w:pPr>
          </w:p>
          <w:p>
            <w:pPr>
              <w:jc w:val="center"/>
              <w:rPr>
                <w:rFonts w:hint="default" w:ascii="宋体" w:hAnsi="宋体" w:eastAsia="宋体" w:cs="宋体"/>
                <w:snapToGrid w:val="0"/>
                <w:sz w:val="18"/>
                <w:szCs w:val="18"/>
                <w:lang w:val="en-US" w:eastAsia="zh-CN"/>
              </w:rPr>
            </w:pPr>
          </w:p>
        </w:tc>
      </w:tr>
    </w:tbl>
    <w:p>
      <w:pPr>
        <w:spacing w:line="360" w:lineRule="auto"/>
        <w:ind w:firstLine="632" w:firstLineChars="3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eastAsia="zh-CN"/>
        </w:rPr>
        <w:t>，</w:t>
      </w:r>
      <w:r>
        <w:rPr>
          <w:rFonts w:hint="eastAsia" w:ascii="宋体" w:hAnsi="宋体" w:cs="宋体"/>
          <w:sz w:val="24"/>
          <w:highlight w:val="none"/>
          <w:lang w:val="en-US" w:eastAsia="zh-CN"/>
        </w:rPr>
        <w:t>包括但不限于以下标准：</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JB/T 10205-2010《液压缸》。</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本合同液压缸质保期限为验收合格后</w:t>
      </w:r>
      <w:r>
        <w:rPr>
          <w:rFonts w:hint="eastAsia" w:ascii="宋体" w:hAnsi="宋体" w:cs="宋体"/>
          <w:sz w:val="24"/>
          <w:u w:val="single"/>
          <w:lang w:val="en-US" w:eastAsia="zh-CN"/>
        </w:rPr>
        <w:t>12</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供货批次：最多分三次供货，供应商在收到采购人的采购订单后3个月内完成该订单供货。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4.经首次验收不满足合同要求的，视为首次验收不合格，供应商需要及时整改至满足合同要求为止后</w:t>
      </w:r>
      <w:r>
        <w:rPr>
          <w:rFonts w:hint="eastAsia" w:ascii="宋体" w:hAnsi="宋体" w:cs="宋体"/>
          <w:color w:val="auto"/>
          <w:sz w:val="24"/>
          <w:lang w:val="en-US" w:eastAsia="zh-CN"/>
        </w:rPr>
        <w:t>视为首次验收合格。</w:t>
      </w:r>
    </w:p>
    <w:p>
      <w:pPr>
        <w:tabs>
          <w:tab w:val="left" w:pos="360"/>
          <w:tab w:val="left" w:pos="540"/>
          <w:tab w:val="left" w:pos="1080"/>
        </w:tabs>
        <w:spacing w:line="360" w:lineRule="auto"/>
        <w:ind w:firstLine="480" w:firstLineChars="200"/>
        <w:rPr>
          <w:rFonts w:hint="default" w:ascii="宋体" w:hAnsi="宋体" w:cs="宋体"/>
          <w:b w:val="0"/>
          <w:bCs w:val="0"/>
          <w:color w:val="auto"/>
          <w:sz w:val="24"/>
          <w:lang w:val="en-US" w:eastAsia="zh-CN"/>
        </w:rPr>
      </w:pPr>
      <w:bookmarkStart w:id="406" w:name="_GoBack"/>
      <w:r>
        <w:rPr>
          <w:rFonts w:hint="eastAsia" w:ascii="宋体" w:hAnsi="宋体" w:cs="宋体"/>
          <w:b w:val="0"/>
          <w:bCs w:val="0"/>
          <w:color w:val="auto"/>
          <w:sz w:val="24"/>
          <w:lang w:val="en-US" w:eastAsia="zh-CN"/>
        </w:rPr>
        <w:t>5.经采购人安装使用不少于1台液压缸后各项功能正常、动作正常，且1个月内无漏油现象视为该批次液压缸验收合格。若采购人在6个月内未完成安装，自动视为验收合格。采购人在安装过程中若有不匹配等情形，供应商需免费予以调换。</w:t>
      </w:r>
    </w:p>
    <w:bookmarkEnd w:id="406"/>
    <w:p>
      <w:pPr>
        <w:tabs>
          <w:tab w:val="left" w:pos="360"/>
          <w:tab w:val="left" w:pos="540"/>
          <w:tab w:val="left" w:pos="1080"/>
        </w:tabs>
        <w:spacing w:line="360" w:lineRule="auto"/>
        <w:ind w:firstLine="480" w:firstLineChars="200"/>
        <w:rPr>
          <w:rFonts w:hint="default" w:ascii="宋体" w:hAnsi="宋体" w:eastAsiaTheme="minorEastAsia"/>
          <w:sz w:val="24"/>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78"/>
      <w:bookmarkEnd w:id="19"/>
      <w:bookmarkStart w:id="20" w:name="_Toc184313272"/>
      <w:bookmarkEnd w:id="20"/>
      <w:bookmarkStart w:id="21" w:name="_Toc184308094"/>
      <w:bookmarkEnd w:id="21"/>
      <w:bookmarkStart w:id="22" w:name="_Toc184310319"/>
      <w:bookmarkEnd w:id="22"/>
      <w:bookmarkStart w:id="23" w:name="_Toc184313275"/>
      <w:bookmarkEnd w:id="23"/>
      <w:bookmarkStart w:id="24" w:name="_Toc184312133"/>
      <w:bookmarkEnd w:id="24"/>
      <w:bookmarkStart w:id="25" w:name="_Toc184310342"/>
      <w:bookmarkEnd w:id="25"/>
      <w:bookmarkStart w:id="26" w:name="_Toc184312082"/>
      <w:bookmarkEnd w:id="26"/>
      <w:bookmarkStart w:id="27" w:name="_Toc184314410"/>
      <w:bookmarkEnd w:id="27"/>
      <w:bookmarkStart w:id="28" w:name="_Toc184312097"/>
      <w:bookmarkEnd w:id="28"/>
      <w:bookmarkStart w:id="29" w:name="_Toc184314459"/>
      <w:bookmarkEnd w:id="29"/>
      <w:bookmarkStart w:id="30" w:name="_Toc184314451"/>
      <w:bookmarkEnd w:id="30"/>
      <w:bookmarkStart w:id="31" w:name="_Toc184313249"/>
      <w:bookmarkEnd w:id="31"/>
      <w:bookmarkStart w:id="32" w:name="_Toc184314456"/>
      <w:bookmarkEnd w:id="32"/>
      <w:bookmarkStart w:id="33" w:name="_Toc184313241"/>
      <w:bookmarkEnd w:id="33"/>
      <w:bookmarkStart w:id="34" w:name="_Toc184310299"/>
      <w:bookmarkEnd w:id="34"/>
      <w:bookmarkStart w:id="35" w:name="_Toc184314479"/>
      <w:bookmarkEnd w:id="35"/>
      <w:bookmarkStart w:id="36" w:name="_Toc184308055"/>
      <w:bookmarkEnd w:id="36"/>
      <w:bookmarkStart w:id="37" w:name="_Toc184312123"/>
      <w:bookmarkEnd w:id="37"/>
      <w:bookmarkStart w:id="38" w:name="_Toc184314443"/>
      <w:bookmarkEnd w:id="38"/>
      <w:bookmarkStart w:id="39" w:name="_Toc184313281"/>
      <w:bookmarkEnd w:id="39"/>
      <w:bookmarkStart w:id="40" w:name="_Toc184314424"/>
      <w:bookmarkEnd w:id="40"/>
      <w:bookmarkStart w:id="41" w:name="_Toc184312094"/>
      <w:bookmarkEnd w:id="41"/>
      <w:bookmarkStart w:id="42" w:name="_Toc184313277"/>
      <w:bookmarkEnd w:id="42"/>
      <w:bookmarkStart w:id="43" w:name="_Toc184312092"/>
      <w:bookmarkEnd w:id="43"/>
      <w:bookmarkStart w:id="44" w:name="_Toc184313262"/>
      <w:bookmarkEnd w:id="44"/>
      <w:bookmarkStart w:id="45" w:name="_Toc184310297"/>
      <w:bookmarkEnd w:id="45"/>
      <w:bookmarkStart w:id="46" w:name="_Toc184310300"/>
      <w:bookmarkEnd w:id="46"/>
      <w:bookmarkStart w:id="47" w:name="_Toc184310303"/>
      <w:bookmarkEnd w:id="47"/>
      <w:bookmarkStart w:id="48" w:name="_Toc184308079"/>
      <w:bookmarkEnd w:id="48"/>
      <w:bookmarkStart w:id="49" w:name="_Toc184313242"/>
      <w:bookmarkEnd w:id="49"/>
      <w:bookmarkStart w:id="50" w:name="_Toc184310276"/>
      <w:bookmarkEnd w:id="50"/>
      <w:bookmarkStart w:id="51" w:name="_Toc184310315"/>
      <w:bookmarkEnd w:id="51"/>
      <w:bookmarkStart w:id="52" w:name="_Toc184313278"/>
      <w:bookmarkEnd w:id="52"/>
      <w:bookmarkStart w:id="53" w:name="_Toc184308058"/>
      <w:bookmarkEnd w:id="53"/>
      <w:bookmarkStart w:id="54" w:name="_Toc184314452"/>
      <w:bookmarkEnd w:id="54"/>
      <w:bookmarkStart w:id="55" w:name="_Toc184310330"/>
      <w:bookmarkEnd w:id="55"/>
      <w:bookmarkStart w:id="56" w:name="_Toc184312126"/>
      <w:bookmarkEnd w:id="56"/>
      <w:bookmarkStart w:id="57" w:name="_Toc184310336"/>
      <w:bookmarkEnd w:id="57"/>
      <w:bookmarkStart w:id="58" w:name="_Toc184312136"/>
      <w:bookmarkEnd w:id="58"/>
      <w:bookmarkStart w:id="59" w:name="_Toc184312120"/>
      <w:bookmarkEnd w:id="59"/>
      <w:bookmarkStart w:id="60" w:name="_Toc184310293"/>
      <w:bookmarkEnd w:id="60"/>
      <w:bookmarkStart w:id="61" w:name="_Toc184310285"/>
      <w:bookmarkEnd w:id="61"/>
      <w:bookmarkStart w:id="62" w:name="_Toc184314437"/>
      <w:bookmarkEnd w:id="62"/>
      <w:bookmarkStart w:id="63" w:name="_Toc184313239"/>
      <w:bookmarkEnd w:id="63"/>
      <w:bookmarkStart w:id="64" w:name="_Toc184308084"/>
      <w:bookmarkEnd w:id="64"/>
      <w:bookmarkStart w:id="65" w:name="_Toc184308086"/>
      <w:bookmarkEnd w:id="65"/>
      <w:bookmarkStart w:id="66" w:name="_Toc184310328"/>
      <w:bookmarkEnd w:id="66"/>
      <w:bookmarkStart w:id="67" w:name="_Toc184312105"/>
      <w:bookmarkEnd w:id="67"/>
      <w:bookmarkStart w:id="68" w:name="_Toc184312093"/>
      <w:bookmarkEnd w:id="68"/>
      <w:bookmarkStart w:id="69" w:name="_Toc184314449"/>
      <w:bookmarkEnd w:id="69"/>
      <w:bookmarkStart w:id="70" w:name="_Toc184312078"/>
      <w:bookmarkEnd w:id="70"/>
      <w:bookmarkStart w:id="71" w:name="_Toc184312104"/>
      <w:bookmarkEnd w:id="71"/>
      <w:bookmarkStart w:id="72" w:name="_Toc184308098"/>
      <w:bookmarkEnd w:id="72"/>
      <w:bookmarkStart w:id="73" w:name="_Toc184312125"/>
      <w:bookmarkEnd w:id="73"/>
      <w:bookmarkStart w:id="74" w:name="_Toc184314432"/>
      <w:bookmarkEnd w:id="74"/>
      <w:bookmarkStart w:id="75" w:name="_Toc184314476"/>
      <w:bookmarkEnd w:id="75"/>
      <w:bookmarkStart w:id="76" w:name="_Toc184308103"/>
      <w:bookmarkEnd w:id="76"/>
      <w:bookmarkStart w:id="77" w:name="_Toc184310311"/>
      <w:bookmarkEnd w:id="77"/>
      <w:bookmarkStart w:id="78" w:name="_Toc184313295"/>
      <w:bookmarkEnd w:id="78"/>
      <w:bookmarkStart w:id="79" w:name="_Toc184314422"/>
      <w:bookmarkEnd w:id="79"/>
      <w:bookmarkStart w:id="80" w:name="_Toc184312108"/>
      <w:bookmarkEnd w:id="80"/>
      <w:bookmarkStart w:id="81" w:name="_Toc184308039"/>
      <w:bookmarkEnd w:id="81"/>
      <w:bookmarkStart w:id="82" w:name="_Toc184313246"/>
      <w:bookmarkEnd w:id="82"/>
      <w:bookmarkStart w:id="83" w:name="_Toc184313251"/>
      <w:bookmarkEnd w:id="83"/>
      <w:bookmarkStart w:id="84" w:name="_Toc184308047"/>
      <w:bookmarkEnd w:id="84"/>
      <w:bookmarkStart w:id="85" w:name="_Toc184312127"/>
      <w:bookmarkEnd w:id="85"/>
      <w:bookmarkStart w:id="86" w:name="_Toc184308065"/>
      <w:bookmarkEnd w:id="86"/>
      <w:bookmarkStart w:id="87" w:name="_Toc184308104"/>
      <w:bookmarkEnd w:id="87"/>
      <w:bookmarkStart w:id="88" w:name="_Toc184312076"/>
      <w:bookmarkEnd w:id="88"/>
      <w:bookmarkStart w:id="89" w:name="_Toc184310279"/>
      <w:bookmarkEnd w:id="89"/>
      <w:bookmarkStart w:id="90" w:name="_Toc184313252"/>
      <w:bookmarkEnd w:id="90"/>
      <w:bookmarkStart w:id="91" w:name="_Toc184313243"/>
      <w:bookmarkEnd w:id="91"/>
      <w:bookmarkStart w:id="92" w:name="_Toc184313268"/>
      <w:bookmarkEnd w:id="92"/>
      <w:bookmarkStart w:id="93" w:name="_Toc184313301"/>
      <w:bookmarkEnd w:id="93"/>
      <w:bookmarkStart w:id="94" w:name="_Toc184312100"/>
      <w:bookmarkEnd w:id="94"/>
      <w:bookmarkStart w:id="95" w:name="_Toc184312111"/>
      <w:bookmarkEnd w:id="95"/>
      <w:bookmarkStart w:id="96" w:name="_Toc184310282"/>
      <w:bookmarkEnd w:id="96"/>
      <w:bookmarkStart w:id="97" w:name="_Toc184312077"/>
      <w:bookmarkEnd w:id="97"/>
      <w:bookmarkStart w:id="98" w:name="_Toc184308067"/>
      <w:bookmarkEnd w:id="98"/>
      <w:bookmarkStart w:id="99" w:name="_Toc184310340"/>
      <w:bookmarkEnd w:id="99"/>
      <w:bookmarkStart w:id="100" w:name="_Toc184308037"/>
      <w:bookmarkEnd w:id="100"/>
      <w:bookmarkStart w:id="101" w:name="_Toc184310343"/>
      <w:bookmarkEnd w:id="101"/>
      <w:bookmarkStart w:id="102" w:name="_Toc184308102"/>
      <w:bookmarkEnd w:id="102"/>
      <w:bookmarkStart w:id="103" w:name="_Toc184314461"/>
      <w:bookmarkEnd w:id="103"/>
      <w:bookmarkStart w:id="104" w:name="_Toc184314438"/>
      <w:bookmarkEnd w:id="104"/>
      <w:bookmarkStart w:id="105" w:name="_Toc184314439"/>
      <w:bookmarkEnd w:id="105"/>
      <w:bookmarkStart w:id="106" w:name="_Toc184310333"/>
      <w:bookmarkEnd w:id="106"/>
      <w:bookmarkStart w:id="107" w:name="_Toc184313282"/>
      <w:bookmarkEnd w:id="107"/>
      <w:bookmarkStart w:id="108" w:name="_Toc184312096"/>
      <w:bookmarkEnd w:id="108"/>
      <w:bookmarkStart w:id="109" w:name="_Toc184310316"/>
      <w:bookmarkEnd w:id="109"/>
      <w:bookmarkStart w:id="110" w:name="_Toc184312121"/>
      <w:bookmarkEnd w:id="110"/>
      <w:bookmarkStart w:id="111" w:name="_Toc184308038"/>
      <w:bookmarkEnd w:id="111"/>
      <w:bookmarkStart w:id="112" w:name="_Toc184314455"/>
      <w:bookmarkEnd w:id="112"/>
      <w:bookmarkStart w:id="113" w:name="_Toc184313287"/>
      <w:bookmarkEnd w:id="113"/>
      <w:bookmarkStart w:id="114" w:name="_Toc184314436"/>
      <w:bookmarkEnd w:id="114"/>
      <w:bookmarkStart w:id="115" w:name="_Toc184310323"/>
      <w:bookmarkEnd w:id="115"/>
      <w:bookmarkStart w:id="116" w:name="_Toc184310312"/>
      <w:bookmarkEnd w:id="116"/>
      <w:bookmarkStart w:id="117" w:name="_Toc184312103"/>
      <w:bookmarkEnd w:id="117"/>
      <w:bookmarkStart w:id="118" w:name="_Toc184314482"/>
      <w:bookmarkEnd w:id="118"/>
      <w:bookmarkStart w:id="119" w:name="_Toc184314448"/>
      <w:bookmarkEnd w:id="119"/>
      <w:bookmarkStart w:id="120" w:name="_Toc184313264"/>
      <w:bookmarkEnd w:id="120"/>
      <w:bookmarkStart w:id="121" w:name="_Toc184310317"/>
      <w:bookmarkEnd w:id="121"/>
      <w:bookmarkStart w:id="122" w:name="_Toc184308083"/>
      <w:bookmarkEnd w:id="122"/>
      <w:bookmarkStart w:id="123" w:name="_Toc184313284"/>
      <w:bookmarkEnd w:id="123"/>
      <w:bookmarkStart w:id="124" w:name="_Toc184313308"/>
      <w:bookmarkEnd w:id="124"/>
      <w:bookmarkStart w:id="125" w:name="_Toc184308048"/>
      <w:bookmarkEnd w:id="125"/>
      <w:bookmarkStart w:id="126" w:name="_Toc184310277"/>
      <w:bookmarkEnd w:id="126"/>
      <w:bookmarkStart w:id="127" w:name="_Toc184313259"/>
      <w:bookmarkEnd w:id="127"/>
      <w:bookmarkStart w:id="128" w:name="_Toc184308045"/>
      <w:bookmarkEnd w:id="128"/>
      <w:bookmarkStart w:id="129" w:name="_Toc184314418"/>
      <w:bookmarkEnd w:id="129"/>
      <w:bookmarkStart w:id="130" w:name="_Toc184310314"/>
      <w:bookmarkEnd w:id="130"/>
      <w:bookmarkStart w:id="131" w:name="_Toc184308108"/>
      <w:bookmarkEnd w:id="131"/>
      <w:bookmarkStart w:id="132" w:name="_Toc184313305"/>
      <w:bookmarkEnd w:id="132"/>
      <w:bookmarkStart w:id="133" w:name="_Toc184313270"/>
      <w:bookmarkEnd w:id="133"/>
      <w:bookmarkStart w:id="134" w:name="_Toc184313265"/>
      <w:bookmarkEnd w:id="134"/>
      <w:bookmarkStart w:id="135" w:name="_Toc184312134"/>
      <w:bookmarkEnd w:id="135"/>
      <w:bookmarkStart w:id="136" w:name="_Toc184314468"/>
      <w:bookmarkEnd w:id="136"/>
      <w:bookmarkStart w:id="137" w:name="_Toc184308052"/>
      <w:bookmarkEnd w:id="137"/>
      <w:bookmarkStart w:id="138" w:name="_Toc184314423"/>
      <w:bookmarkEnd w:id="138"/>
      <w:bookmarkStart w:id="139" w:name="_Toc184308068"/>
      <w:bookmarkEnd w:id="139"/>
      <w:bookmarkStart w:id="140" w:name="_Toc184310309"/>
      <w:bookmarkEnd w:id="140"/>
      <w:bookmarkStart w:id="141" w:name="_Toc184310325"/>
      <w:bookmarkEnd w:id="141"/>
      <w:bookmarkStart w:id="142" w:name="_Toc184312115"/>
      <w:bookmarkEnd w:id="142"/>
      <w:bookmarkStart w:id="143" w:name="_Toc184308101"/>
      <w:bookmarkEnd w:id="143"/>
      <w:bookmarkStart w:id="144" w:name="_Toc184313298"/>
      <w:bookmarkEnd w:id="144"/>
      <w:bookmarkStart w:id="145" w:name="_Toc184310281"/>
      <w:bookmarkEnd w:id="145"/>
      <w:bookmarkStart w:id="146" w:name="_Toc184312075"/>
      <w:bookmarkEnd w:id="146"/>
      <w:bookmarkStart w:id="147" w:name="_Toc184310272"/>
      <w:bookmarkEnd w:id="147"/>
      <w:bookmarkStart w:id="148" w:name="_Toc184313303"/>
      <w:bookmarkEnd w:id="148"/>
      <w:bookmarkStart w:id="149" w:name="_Toc184308085"/>
      <w:bookmarkEnd w:id="149"/>
      <w:bookmarkStart w:id="150" w:name="_Toc184310305"/>
      <w:bookmarkEnd w:id="150"/>
      <w:bookmarkStart w:id="151" w:name="_Toc184308040"/>
      <w:bookmarkEnd w:id="151"/>
      <w:bookmarkStart w:id="152" w:name="_Toc184314470"/>
      <w:bookmarkEnd w:id="152"/>
      <w:bookmarkStart w:id="153" w:name="_Toc184314433"/>
      <w:bookmarkEnd w:id="153"/>
      <w:bookmarkStart w:id="154" w:name="_Toc184310320"/>
      <w:bookmarkEnd w:id="154"/>
      <w:bookmarkStart w:id="155" w:name="_Toc184313253"/>
      <w:bookmarkEnd w:id="155"/>
      <w:bookmarkStart w:id="156" w:name="_Toc184310295"/>
      <w:bookmarkEnd w:id="156"/>
      <w:bookmarkStart w:id="157" w:name="_Toc184308070"/>
      <w:bookmarkEnd w:id="157"/>
      <w:bookmarkStart w:id="158" w:name="_Toc184314420"/>
      <w:bookmarkEnd w:id="158"/>
      <w:bookmarkStart w:id="159" w:name="_Toc184308051"/>
      <w:bookmarkEnd w:id="159"/>
      <w:bookmarkStart w:id="160" w:name="_Toc184310331"/>
      <w:bookmarkEnd w:id="160"/>
      <w:bookmarkStart w:id="161" w:name="_Toc184312085"/>
      <w:bookmarkEnd w:id="161"/>
      <w:bookmarkStart w:id="162" w:name="_Toc184308060"/>
      <w:bookmarkEnd w:id="162"/>
      <w:bookmarkStart w:id="163" w:name="_Toc184308074"/>
      <w:bookmarkEnd w:id="163"/>
      <w:bookmarkStart w:id="164" w:name="_Toc184310329"/>
      <w:bookmarkEnd w:id="164"/>
      <w:bookmarkStart w:id="165" w:name="_Toc184312132"/>
      <w:bookmarkEnd w:id="165"/>
      <w:bookmarkStart w:id="166" w:name="_Toc184310284"/>
      <w:bookmarkEnd w:id="166"/>
      <w:bookmarkStart w:id="167" w:name="_Toc184312071"/>
      <w:bookmarkEnd w:id="167"/>
      <w:bookmarkStart w:id="168" w:name="_Toc184313255"/>
      <w:bookmarkEnd w:id="168"/>
      <w:bookmarkStart w:id="169" w:name="_Toc184308092"/>
      <w:bookmarkEnd w:id="169"/>
      <w:bookmarkStart w:id="170" w:name="_Toc184308082"/>
      <w:bookmarkEnd w:id="170"/>
      <w:bookmarkStart w:id="171" w:name="_Toc184310324"/>
      <w:bookmarkEnd w:id="171"/>
      <w:bookmarkStart w:id="172" w:name="_Toc184308090"/>
      <w:bookmarkEnd w:id="172"/>
      <w:bookmarkStart w:id="173" w:name="_Toc184313266"/>
      <w:bookmarkEnd w:id="173"/>
      <w:bookmarkStart w:id="174" w:name="_Toc184308072"/>
      <w:bookmarkEnd w:id="174"/>
      <w:bookmarkStart w:id="175" w:name="_Toc184308059"/>
      <w:bookmarkEnd w:id="175"/>
      <w:bookmarkStart w:id="176" w:name="_Toc184314419"/>
      <w:bookmarkEnd w:id="176"/>
      <w:bookmarkStart w:id="177" w:name="_Toc184313273"/>
      <w:bookmarkEnd w:id="177"/>
      <w:bookmarkStart w:id="178" w:name="_Toc184314473"/>
      <w:bookmarkEnd w:id="178"/>
      <w:bookmarkStart w:id="179" w:name="_Toc184310283"/>
      <w:bookmarkEnd w:id="179"/>
      <w:bookmarkStart w:id="180" w:name="_Toc184308042"/>
      <w:bookmarkEnd w:id="180"/>
      <w:bookmarkStart w:id="181" w:name="_Toc184308077"/>
      <w:bookmarkEnd w:id="181"/>
      <w:bookmarkStart w:id="182" w:name="_Toc184312091"/>
      <w:bookmarkEnd w:id="182"/>
      <w:bookmarkStart w:id="183" w:name="_Toc184312101"/>
      <w:bookmarkEnd w:id="183"/>
      <w:bookmarkStart w:id="184" w:name="_Toc184314454"/>
      <w:bookmarkEnd w:id="184"/>
      <w:bookmarkStart w:id="185" w:name="_Toc184312084"/>
      <w:bookmarkEnd w:id="185"/>
      <w:bookmarkStart w:id="186" w:name="_Toc184312116"/>
      <w:bookmarkEnd w:id="186"/>
      <w:bookmarkStart w:id="187" w:name="_Toc184308100"/>
      <w:bookmarkEnd w:id="187"/>
      <w:bookmarkStart w:id="188" w:name="_Toc184310339"/>
      <w:bookmarkEnd w:id="188"/>
      <w:bookmarkStart w:id="189" w:name="_Toc184313248"/>
      <w:bookmarkEnd w:id="189"/>
      <w:bookmarkStart w:id="190" w:name="_Toc184310274"/>
      <w:bookmarkEnd w:id="190"/>
      <w:bookmarkStart w:id="191" w:name="_Toc184308099"/>
      <w:bookmarkEnd w:id="191"/>
      <w:bookmarkStart w:id="192" w:name="_Toc184314458"/>
      <w:bookmarkEnd w:id="192"/>
      <w:bookmarkStart w:id="193" w:name="_Toc184312086"/>
      <w:bookmarkEnd w:id="193"/>
      <w:bookmarkStart w:id="194" w:name="_Toc184310287"/>
      <w:bookmarkEnd w:id="194"/>
      <w:bookmarkStart w:id="195" w:name="_Toc184313257"/>
      <w:bookmarkEnd w:id="195"/>
      <w:bookmarkStart w:id="196" w:name="_Toc184308041"/>
      <w:bookmarkEnd w:id="196"/>
      <w:bookmarkStart w:id="197" w:name="_Toc184313267"/>
      <w:bookmarkEnd w:id="197"/>
      <w:bookmarkStart w:id="198" w:name="_Toc184314430"/>
      <w:bookmarkEnd w:id="198"/>
      <w:bookmarkStart w:id="199" w:name="_Toc184308093"/>
      <w:bookmarkEnd w:id="199"/>
      <w:bookmarkStart w:id="200" w:name="_Toc184313250"/>
      <w:bookmarkEnd w:id="200"/>
      <w:bookmarkStart w:id="201" w:name="_Toc184314475"/>
      <w:bookmarkEnd w:id="201"/>
      <w:bookmarkStart w:id="202" w:name="_Toc184310292"/>
      <w:bookmarkEnd w:id="202"/>
      <w:bookmarkStart w:id="203" w:name="_Toc184314428"/>
      <w:bookmarkEnd w:id="203"/>
      <w:bookmarkStart w:id="204" w:name="_Toc184314462"/>
      <w:bookmarkEnd w:id="204"/>
      <w:bookmarkStart w:id="205" w:name="_Toc184313291"/>
      <w:bookmarkEnd w:id="205"/>
      <w:bookmarkStart w:id="206" w:name="_Toc184314450"/>
      <w:bookmarkEnd w:id="206"/>
      <w:bookmarkStart w:id="207" w:name="_Toc184308073"/>
      <w:bookmarkEnd w:id="207"/>
      <w:bookmarkStart w:id="208" w:name="_Toc184313260"/>
      <w:bookmarkEnd w:id="208"/>
      <w:bookmarkStart w:id="209" w:name="_Toc184313285"/>
      <w:bookmarkEnd w:id="209"/>
      <w:bookmarkStart w:id="210" w:name="_Toc184308043"/>
      <w:bookmarkEnd w:id="210"/>
      <w:bookmarkStart w:id="211" w:name="_Toc184310334"/>
      <w:bookmarkEnd w:id="211"/>
      <w:bookmarkStart w:id="212" w:name="_Toc184308054"/>
      <w:bookmarkEnd w:id="212"/>
      <w:bookmarkStart w:id="213" w:name="_Toc184308061"/>
      <w:bookmarkEnd w:id="213"/>
      <w:bookmarkStart w:id="214" w:name="_Toc184308056"/>
      <w:bookmarkEnd w:id="214"/>
      <w:bookmarkStart w:id="215" w:name="_Toc184310322"/>
      <w:bookmarkEnd w:id="215"/>
      <w:bookmarkStart w:id="216" w:name="_Toc184308053"/>
      <w:bookmarkEnd w:id="216"/>
      <w:bookmarkStart w:id="217" w:name="_Toc184313238"/>
      <w:bookmarkEnd w:id="217"/>
      <w:bookmarkStart w:id="218" w:name="_Toc184310335"/>
      <w:bookmarkEnd w:id="218"/>
      <w:bookmarkStart w:id="219" w:name="_Toc184314429"/>
      <w:bookmarkEnd w:id="219"/>
      <w:bookmarkStart w:id="220" w:name="_Toc184310286"/>
      <w:bookmarkEnd w:id="220"/>
      <w:bookmarkStart w:id="221" w:name="_Toc184313297"/>
      <w:bookmarkEnd w:id="221"/>
      <w:bookmarkStart w:id="222" w:name="_Toc184310280"/>
      <w:bookmarkEnd w:id="222"/>
      <w:bookmarkStart w:id="223" w:name="_Toc184308095"/>
      <w:bookmarkEnd w:id="223"/>
      <w:bookmarkStart w:id="224" w:name="_Toc184313247"/>
      <w:bookmarkEnd w:id="224"/>
      <w:bookmarkStart w:id="225" w:name="_Toc184312095"/>
      <w:bookmarkEnd w:id="225"/>
      <w:bookmarkStart w:id="226" w:name="_Toc184312124"/>
      <w:bookmarkEnd w:id="226"/>
      <w:bookmarkStart w:id="227" w:name="_Toc184310310"/>
      <w:bookmarkEnd w:id="227"/>
      <w:bookmarkStart w:id="228" w:name="_Toc184313240"/>
      <w:bookmarkEnd w:id="228"/>
      <w:bookmarkStart w:id="229" w:name="_Toc184314431"/>
      <w:bookmarkEnd w:id="229"/>
      <w:bookmarkStart w:id="230" w:name="_Toc184310341"/>
      <w:bookmarkEnd w:id="230"/>
      <w:bookmarkStart w:id="231" w:name="_Toc184313288"/>
      <w:bookmarkEnd w:id="231"/>
      <w:bookmarkStart w:id="232" w:name="_Toc184313244"/>
      <w:bookmarkEnd w:id="232"/>
      <w:bookmarkStart w:id="233" w:name="_Toc184312114"/>
      <w:bookmarkEnd w:id="233"/>
      <w:bookmarkStart w:id="234" w:name="_Toc184310304"/>
      <w:bookmarkEnd w:id="234"/>
      <w:bookmarkStart w:id="235" w:name="_Toc184313299"/>
      <w:bookmarkEnd w:id="235"/>
      <w:bookmarkStart w:id="236" w:name="_Toc184310302"/>
      <w:bookmarkEnd w:id="236"/>
      <w:bookmarkStart w:id="237" w:name="_Toc184313290"/>
      <w:bookmarkEnd w:id="237"/>
      <w:bookmarkStart w:id="238" w:name="_Toc184310296"/>
      <w:bookmarkEnd w:id="238"/>
      <w:bookmarkStart w:id="239" w:name="_Toc184312118"/>
      <w:bookmarkEnd w:id="239"/>
      <w:bookmarkStart w:id="240" w:name="_Toc184308049"/>
      <w:bookmarkEnd w:id="240"/>
      <w:bookmarkStart w:id="241" w:name="_Toc184310318"/>
      <w:bookmarkEnd w:id="241"/>
      <w:bookmarkStart w:id="242" w:name="_Toc184312130"/>
      <w:bookmarkEnd w:id="242"/>
      <w:bookmarkStart w:id="243" w:name="_Toc184312079"/>
      <w:bookmarkEnd w:id="243"/>
      <w:bookmarkStart w:id="244" w:name="_Toc184310313"/>
      <w:bookmarkEnd w:id="244"/>
      <w:bookmarkStart w:id="245" w:name="_Toc184313293"/>
      <w:bookmarkEnd w:id="245"/>
      <w:bookmarkStart w:id="246" w:name="_Toc184314411"/>
      <w:bookmarkEnd w:id="246"/>
      <w:bookmarkStart w:id="247" w:name="_Toc184312119"/>
      <w:bookmarkEnd w:id="247"/>
      <w:bookmarkStart w:id="248" w:name="_Toc184310294"/>
      <w:bookmarkEnd w:id="248"/>
      <w:bookmarkStart w:id="249" w:name="_Toc184312087"/>
      <w:bookmarkEnd w:id="249"/>
      <w:bookmarkStart w:id="250" w:name="_Toc184313300"/>
      <w:bookmarkEnd w:id="250"/>
      <w:bookmarkStart w:id="251" w:name="_Toc184314435"/>
      <w:bookmarkEnd w:id="251"/>
      <w:bookmarkStart w:id="252" w:name="_Toc184312128"/>
      <w:bookmarkEnd w:id="252"/>
      <w:bookmarkStart w:id="253" w:name="_Toc184314465"/>
      <w:bookmarkEnd w:id="253"/>
      <w:bookmarkStart w:id="254" w:name="_Toc184313258"/>
      <w:bookmarkEnd w:id="254"/>
      <w:bookmarkStart w:id="255" w:name="_Toc184314412"/>
      <w:bookmarkEnd w:id="255"/>
      <w:bookmarkStart w:id="256" w:name="_Toc184314460"/>
      <w:bookmarkEnd w:id="256"/>
      <w:bookmarkStart w:id="257" w:name="_Toc184308069"/>
      <w:bookmarkEnd w:id="257"/>
      <w:bookmarkStart w:id="258" w:name="_Toc184308050"/>
      <w:bookmarkEnd w:id="258"/>
      <w:bookmarkStart w:id="259" w:name="_Toc184310338"/>
      <w:bookmarkEnd w:id="259"/>
      <w:bookmarkStart w:id="260" w:name="_Toc184308075"/>
      <w:bookmarkEnd w:id="260"/>
      <w:bookmarkStart w:id="261" w:name="_Toc184310326"/>
      <w:bookmarkEnd w:id="261"/>
      <w:bookmarkStart w:id="262" w:name="_Toc184313274"/>
      <w:bookmarkEnd w:id="262"/>
      <w:bookmarkStart w:id="263" w:name="_Toc184313280"/>
      <w:bookmarkEnd w:id="263"/>
      <w:bookmarkStart w:id="264" w:name="_Toc184312122"/>
      <w:bookmarkEnd w:id="264"/>
      <w:bookmarkStart w:id="265" w:name="_Toc184314447"/>
      <w:bookmarkEnd w:id="265"/>
      <w:bookmarkStart w:id="266" w:name="_Toc184312106"/>
      <w:bookmarkEnd w:id="266"/>
      <w:bookmarkStart w:id="267" w:name="_Toc184312107"/>
      <w:bookmarkEnd w:id="267"/>
      <w:bookmarkStart w:id="268" w:name="_Toc184310301"/>
      <w:bookmarkEnd w:id="268"/>
      <w:bookmarkStart w:id="269" w:name="_Toc184308087"/>
      <w:bookmarkEnd w:id="269"/>
      <w:bookmarkStart w:id="270" w:name="_Toc184313245"/>
      <w:bookmarkEnd w:id="270"/>
      <w:bookmarkStart w:id="271" w:name="_Toc184314446"/>
      <w:bookmarkEnd w:id="271"/>
      <w:bookmarkStart w:id="272" w:name="_Toc184312069"/>
      <w:bookmarkEnd w:id="272"/>
      <w:bookmarkStart w:id="273" w:name="_Toc184308097"/>
      <w:bookmarkEnd w:id="273"/>
      <w:bookmarkStart w:id="274" w:name="_Toc184313307"/>
      <w:bookmarkEnd w:id="274"/>
      <w:bookmarkStart w:id="275" w:name="_Toc184308076"/>
      <w:bookmarkEnd w:id="275"/>
      <w:bookmarkStart w:id="276" w:name="_Toc184308105"/>
      <w:bookmarkEnd w:id="276"/>
      <w:bookmarkStart w:id="277" w:name="_Toc184308081"/>
      <w:bookmarkEnd w:id="277"/>
      <w:bookmarkStart w:id="278" w:name="_Toc184314442"/>
      <w:bookmarkEnd w:id="278"/>
      <w:bookmarkStart w:id="279" w:name="_Toc184313283"/>
      <w:bookmarkEnd w:id="279"/>
      <w:bookmarkStart w:id="280" w:name="_Toc184314445"/>
      <w:bookmarkEnd w:id="280"/>
      <w:bookmarkStart w:id="281" w:name="_Toc184313304"/>
      <w:bookmarkEnd w:id="281"/>
      <w:bookmarkStart w:id="282" w:name="_Toc184313296"/>
      <w:bookmarkEnd w:id="282"/>
      <w:bookmarkStart w:id="283" w:name="_Toc184312109"/>
      <w:bookmarkEnd w:id="283"/>
      <w:bookmarkStart w:id="284" w:name="_Toc184312137"/>
      <w:bookmarkEnd w:id="284"/>
      <w:bookmarkStart w:id="285" w:name="_Toc184312098"/>
      <w:bookmarkEnd w:id="285"/>
      <w:bookmarkStart w:id="286" w:name="_Toc184314480"/>
      <w:bookmarkEnd w:id="286"/>
      <w:bookmarkStart w:id="287" w:name="_Toc184313310"/>
      <w:bookmarkEnd w:id="287"/>
      <w:bookmarkStart w:id="288" w:name="_Toc184312135"/>
      <w:bookmarkEnd w:id="288"/>
      <w:bookmarkStart w:id="289" w:name="_Toc184310337"/>
      <w:bookmarkEnd w:id="289"/>
      <w:bookmarkStart w:id="290" w:name="_Toc184308071"/>
      <w:bookmarkEnd w:id="290"/>
      <w:bookmarkStart w:id="291" w:name="_Toc184308062"/>
      <w:bookmarkEnd w:id="291"/>
      <w:bookmarkStart w:id="292" w:name="_Toc184314463"/>
      <w:bookmarkEnd w:id="292"/>
      <w:bookmarkStart w:id="293" w:name="_Toc184312099"/>
      <w:bookmarkEnd w:id="293"/>
      <w:bookmarkStart w:id="294" w:name="_Toc184310321"/>
      <w:bookmarkEnd w:id="294"/>
      <w:bookmarkStart w:id="295" w:name="_Toc184310327"/>
      <w:bookmarkEnd w:id="295"/>
      <w:bookmarkStart w:id="296" w:name="_Toc184308036"/>
      <w:bookmarkEnd w:id="296"/>
      <w:bookmarkStart w:id="297" w:name="_Toc184314467"/>
      <w:bookmarkEnd w:id="297"/>
      <w:bookmarkStart w:id="298" w:name="_Toc184312080"/>
      <w:bookmarkEnd w:id="298"/>
      <w:bookmarkStart w:id="299" w:name="_Toc184308096"/>
      <w:bookmarkEnd w:id="299"/>
      <w:bookmarkStart w:id="300" w:name="_Toc184314466"/>
      <w:bookmarkEnd w:id="300"/>
      <w:bookmarkStart w:id="301" w:name="_Toc184314434"/>
      <w:bookmarkEnd w:id="301"/>
      <w:bookmarkStart w:id="302" w:name="_Toc184312138"/>
      <w:bookmarkEnd w:id="302"/>
      <w:bookmarkStart w:id="303" w:name="_Toc184308078"/>
      <w:bookmarkEnd w:id="303"/>
      <w:bookmarkStart w:id="304" w:name="_Toc184313302"/>
      <w:bookmarkEnd w:id="304"/>
      <w:bookmarkStart w:id="305" w:name="_Toc184313256"/>
      <w:bookmarkEnd w:id="305"/>
      <w:bookmarkStart w:id="306" w:name="_Toc184308107"/>
      <w:bookmarkEnd w:id="306"/>
      <w:bookmarkStart w:id="307" w:name="_Toc184312131"/>
      <w:bookmarkEnd w:id="307"/>
      <w:bookmarkStart w:id="308" w:name="_Toc184312068"/>
      <w:bookmarkEnd w:id="308"/>
      <w:bookmarkStart w:id="309" w:name="_Toc184313279"/>
      <w:bookmarkEnd w:id="309"/>
      <w:bookmarkStart w:id="310" w:name="_Toc184310307"/>
      <w:bookmarkEnd w:id="310"/>
      <w:bookmarkStart w:id="311" w:name="_Toc184312089"/>
      <w:bookmarkEnd w:id="311"/>
      <w:bookmarkStart w:id="312" w:name="_Toc184312113"/>
      <w:bookmarkEnd w:id="312"/>
      <w:bookmarkStart w:id="313" w:name="_Toc184310288"/>
      <w:bookmarkEnd w:id="313"/>
      <w:bookmarkStart w:id="314" w:name="_Toc184312088"/>
      <w:bookmarkEnd w:id="314"/>
      <w:bookmarkStart w:id="315" w:name="_Toc184312110"/>
      <w:bookmarkEnd w:id="315"/>
      <w:bookmarkStart w:id="316" w:name="_Toc184310308"/>
      <w:bookmarkEnd w:id="316"/>
      <w:bookmarkStart w:id="317" w:name="_Toc184314425"/>
      <w:bookmarkEnd w:id="317"/>
      <w:bookmarkStart w:id="318" w:name="_Toc184308057"/>
      <w:bookmarkEnd w:id="318"/>
      <w:bookmarkStart w:id="319" w:name="_Toc184312073"/>
      <w:bookmarkEnd w:id="319"/>
      <w:bookmarkStart w:id="320" w:name="_Toc184314426"/>
      <w:bookmarkEnd w:id="320"/>
      <w:bookmarkStart w:id="321" w:name="_Toc184310273"/>
      <w:bookmarkEnd w:id="321"/>
      <w:bookmarkStart w:id="322" w:name="_Toc184312074"/>
      <w:bookmarkEnd w:id="322"/>
      <w:bookmarkStart w:id="323" w:name="_Toc184312070"/>
      <w:bookmarkEnd w:id="323"/>
      <w:bookmarkStart w:id="324" w:name="_Toc184314441"/>
      <w:bookmarkEnd w:id="324"/>
      <w:bookmarkStart w:id="325" w:name="_Toc184310344"/>
      <w:bookmarkEnd w:id="325"/>
      <w:bookmarkStart w:id="326" w:name="_Toc184312112"/>
      <w:bookmarkEnd w:id="326"/>
      <w:bookmarkStart w:id="327" w:name="_Toc184312072"/>
      <w:bookmarkEnd w:id="327"/>
      <w:bookmarkStart w:id="328" w:name="_Toc184313254"/>
      <w:bookmarkEnd w:id="328"/>
      <w:bookmarkStart w:id="329" w:name="_Toc184312081"/>
      <w:bookmarkEnd w:id="329"/>
      <w:bookmarkStart w:id="330" w:name="_Toc184310291"/>
      <w:bookmarkEnd w:id="330"/>
      <w:bookmarkStart w:id="331" w:name="_Toc184313309"/>
      <w:bookmarkEnd w:id="331"/>
      <w:bookmarkStart w:id="332" w:name="_Toc184314413"/>
      <w:bookmarkEnd w:id="332"/>
      <w:bookmarkStart w:id="333" w:name="_Toc184314421"/>
      <w:bookmarkEnd w:id="333"/>
      <w:bookmarkStart w:id="334" w:name="_Toc184310298"/>
      <w:bookmarkEnd w:id="334"/>
      <w:bookmarkStart w:id="335" w:name="_Toc184310275"/>
      <w:bookmarkEnd w:id="335"/>
      <w:bookmarkStart w:id="336" w:name="_Toc184308046"/>
      <w:bookmarkEnd w:id="336"/>
      <w:bookmarkStart w:id="337" w:name="_Toc184314472"/>
      <w:bookmarkEnd w:id="337"/>
      <w:bookmarkStart w:id="338" w:name="_Toc184310290"/>
      <w:bookmarkEnd w:id="338"/>
      <w:bookmarkStart w:id="339" w:name="_Toc184313271"/>
      <w:bookmarkEnd w:id="339"/>
      <w:bookmarkStart w:id="340" w:name="_Toc184308044"/>
      <w:bookmarkEnd w:id="340"/>
      <w:bookmarkStart w:id="341" w:name="_Toc184314481"/>
      <w:bookmarkEnd w:id="341"/>
      <w:bookmarkStart w:id="342" w:name="_Toc184310332"/>
      <w:bookmarkEnd w:id="342"/>
      <w:bookmarkStart w:id="343" w:name="_Toc184313263"/>
      <w:bookmarkEnd w:id="343"/>
      <w:bookmarkStart w:id="344" w:name="_Toc184310289"/>
      <w:bookmarkEnd w:id="344"/>
      <w:bookmarkStart w:id="345" w:name="_Toc184314453"/>
      <w:bookmarkEnd w:id="345"/>
      <w:bookmarkStart w:id="346" w:name="_Toc184314469"/>
      <w:bookmarkEnd w:id="346"/>
      <w:bookmarkStart w:id="347" w:name="_Toc184314427"/>
      <w:bookmarkEnd w:id="347"/>
      <w:bookmarkStart w:id="348" w:name="_Toc184313294"/>
      <w:bookmarkEnd w:id="348"/>
      <w:bookmarkStart w:id="349" w:name="_Toc184313276"/>
      <w:bookmarkEnd w:id="349"/>
      <w:bookmarkStart w:id="350" w:name="_Toc184314440"/>
      <w:bookmarkEnd w:id="350"/>
      <w:bookmarkStart w:id="351" w:name="_Toc184314474"/>
      <w:bookmarkEnd w:id="351"/>
      <w:bookmarkStart w:id="352" w:name="_Toc184314416"/>
      <w:bookmarkEnd w:id="352"/>
      <w:bookmarkStart w:id="353" w:name="_Toc184308066"/>
      <w:bookmarkEnd w:id="353"/>
      <w:bookmarkStart w:id="354" w:name="_Toc184314444"/>
      <w:bookmarkEnd w:id="354"/>
      <w:bookmarkStart w:id="355" w:name="_Toc184308088"/>
      <w:bookmarkEnd w:id="355"/>
      <w:bookmarkStart w:id="356" w:name="_Toc184308089"/>
      <w:bookmarkEnd w:id="356"/>
      <w:bookmarkStart w:id="357" w:name="_Toc184312102"/>
      <w:bookmarkEnd w:id="357"/>
      <w:bookmarkStart w:id="358" w:name="_Toc184314415"/>
      <w:bookmarkEnd w:id="358"/>
      <w:bookmarkStart w:id="359" w:name="_Toc184313269"/>
      <w:bookmarkEnd w:id="359"/>
      <w:bookmarkStart w:id="360" w:name="_Toc184312083"/>
      <w:bookmarkEnd w:id="360"/>
      <w:bookmarkStart w:id="361" w:name="_Toc184308080"/>
      <w:bookmarkEnd w:id="361"/>
      <w:bookmarkStart w:id="362" w:name="_Toc184314478"/>
      <w:bookmarkEnd w:id="362"/>
      <w:bookmarkStart w:id="363" w:name="_Toc184314464"/>
      <w:bookmarkEnd w:id="363"/>
      <w:bookmarkStart w:id="364" w:name="_Toc184314471"/>
      <w:bookmarkEnd w:id="364"/>
      <w:bookmarkStart w:id="365" w:name="_Toc184308091"/>
      <w:bookmarkEnd w:id="365"/>
      <w:bookmarkStart w:id="366" w:name="_Toc184308064"/>
      <w:bookmarkEnd w:id="366"/>
      <w:bookmarkStart w:id="367" w:name="_Toc184313261"/>
      <w:bookmarkEnd w:id="367"/>
      <w:bookmarkStart w:id="368" w:name="_Toc184314477"/>
      <w:bookmarkEnd w:id="368"/>
      <w:bookmarkStart w:id="369" w:name="_Toc184312090"/>
      <w:bookmarkEnd w:id="369"/>
      <w:bookmarkStart w:id="370" w:name="_Toc184312067"/>
      <w:bookmarkEnd w:id="370"/>
      <w:bookmarkStart w:id="371" w:name="_Toc184313292"/>
      <w:bookmarkEnd w:id="371"/>
      <w:bookmarkStart w:id="372" w:name="_Toc184308063"/>
      <w:bookmarkEnd w:id="372"/>
      <w:bookmarkStart w:id="373" w:name="_Toc184308106"/>
      <w:bookmarkEnd w:id="373"/>
      <w:bookmarkStart w:id="374" w:name="_Toc184312139"/>
      <w:bookmarkEnd w:id="374"/>
      <w:bookmarkStart w:id="375" w:name="_Toc184312129"/>
      <w:bookmarkEnd w:id="375"/>
      <w:bookmarkStart w:id="376" w:name="_Toc184313289"/>
      <w:bookmarkEnd w:id="376"/>
      <w:bookmarkStart w:id="377" w:name="_Toc184313286"/>
      <w:bookmarkEnd w:id="377"/>
      <w:bookmarkStart w:id="378" w:name="_Toc184310306"/>
      <w:bookmarkEnd w:id="378"/>
      <w:bookmarkStart w:id="379" w:name="_Toc184313306"/>
      <w:bookmarkEnd w:id="379"/>
      <w:bookmarkStart w:id="380" w:name="_Toc184314457"/>
      <w:bookmarkEnd w:id="380"/>
      <w:bookmarkStart w:id="381" w:name="_Toc184314417"/>
      <w:bookmarkEnd w:id="381"/>
      <w:bookmarkStart w:id="382" w:name="_Toc184312117"/>
      <w:bookmarkEnd w:id="382"/>
      <w:bookmarkStart w:id="383" w:name="_Toc18431441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2026年能源运行中心推料器液压缸采购项目（第二次）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2026年能源运行中心推料器液压缸采购项目（第二次）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54"/>
        <w:gridCol w:w="2945"/>
        <w:gridCol w:w="1241"/>
        <w:gridCol w:w="709"/>
        <w:gridCol w:w="709"/>
        <w:gridCol w:w="77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序号</w:t>
            </w:r>
          </w:p>
        </w:tc>
        <w:tc>
          <w:tcPr>
            <w:tcW w:w="954"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货物名称</w:t>
            </w:r>
          </w:p>
        </w:tc>
        <w:tc>
          <w:tcPr>
            <w:tcW w:w="2945"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规格型号</w:t>
            </w:r>
          </w:p>
        </w:tc>
        <w:tc>
          <w:tcPr>
            <w:tcW w:w="1241" w:type="dxa"/>
            <w:vAlign w:val="center"/>
          </w:tcPr>
          <w:p>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品牌/生产厂家</w:t>
            </w:r>
          </w:p>
        </w:tc>
        <w:tc>
          <w:tcPr>
            <w:tcW w:w="709"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单位</w:t>
            </w:r>
          </w:p>
        </w:tc>
        <w:tc>
          <w:tcPr>
            <w:tcW w:w="709"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暂定数量</w:t>
            </w:r>
          </w:p>
        </w:tc>
        <w:tc>
          <w:tcPr>
            <w:tcW w:w="777"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单价</w:t>
            </w:r>
          </w:p>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（元）</w:t>
            </w:r>
          </w:p>
        </w:tc>
        <w:tc>
          <w:tcPr>
            <w:tcW w:w="883" w:type="dxa"/>
            <w:vAlign w:val="center"/>
          </w:tcPr>
          <w:p>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4"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1</w:t>
            </w:r>
          </w:p>
        </w:tc>
        <w:tc>
          <w:tcPr>
            <w:tcW w:w="954"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推料器液压缸</w:t>
            </w:r>
          </w:p>
        </w:tc>
        <w:tc>
          <w:tcPr>
            <w:tcW w:w="2945"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原型号：HC20TFK125-90K-1200；缸径125mm，杆径90mm，全行程1200mm，双作用液压缸；工作压力210bar，最高压力315bar；工作温度-10℃-80℃；密封件材质聚氨酯；含油缸接头、连接销轴、止退销等</w:t>
            </w:r>
          </w:p>
        </w:tc>
        <w:tc>
          <w:tcPr>
            <w:tcW w:w="1241"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日立造船株式会社、太陽鉄工株式会社、派克汉尼汾液压(天津)有限公司</w:t>
            </w:r>
          </w:p>
        </w:tc>
        <w:tc>
          <w:tcPr>
            <w:tcW w:w="709"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台</w:t>
            </w:r>
          </w:p>
        </w:tc>
        <w:tc>
          <w:tcPr>
            <w:tcW w:w="709" w:type="dxa"/>
            <w:vAlign w:val="center"/>
          </w:tcPr>
          <w:p>
            <w:pPr>
              <w:jc w:val="center"/>
              <w:rPr>
                <w:rFonts w:ascii="宋体" w:hAnsi="宋体" w:eastAsia="宋体" w:cs="宋体"/>
                <w:snapToGrid w:val="0"/>
                <w:szCs w:val="21"/>
              </w:rPr>
            </w:pPr>
            <w:r>
              <w:rPr>
                <w:rFonts w:hint="eastAsia" w:ascii="宋体" w:hAnsi="宋体" w:eastAsia="宋体" w:cs="宋体"/>
                <w:snapToGrid w:val="0"/>
                <w:sz w:val="18"/>
                <w:szCs w:val="18"/>
                <w:lang w:val="en-US" w:eastAsia="zh-CN"/>
              </w:rPr>
              <w:t>10</w:t>
            </w:r>
          </w:p>
        </w:tc>
        <w:tc>
          <w:tcPr>
            <w:tcW w:w="777" w:type="dxa"/>
            <w:vAlign w:val="center"/>
          </w:tcPr>
          <w:p>
            <w:pPr>
              <w:widowControl/>
              <w:jc w:val="center"/>
              <w:textAlignment w:val="center"/>
              <w:rPr>
                <w:rFonts w:ascii="宋体" w:hAnsi="宋体" w:eastAsia="宋体" w:cs="宋体"/>
                <w:color w:val="000000"/>
                <w:kern w:val="0"/>
                <w:szCs w:val="21"/>
                <w:lang w:bidi="ar"/>
              </w:rPr>
            </w:pPr>
          </w:p>
        </w:tc>
        <w:tc>
          <w:tcPr>
            <w:tcW w:w="883"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83" w:type="dxa"/>
            <w:gridSpan w:val="3"/>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4319" w:type="dxa"/>
            <w:gridSpan w:val="5"/>
            <w:vAlign w:val="center"/>
          </w:tcPr>
          <w:p>
            <w:pPr>
              <w:widowControl/>
              <w:jc w:val="center"/>
              <w:textAlignment w:val="center"/>
              <w:rPr>
                <w:rFonts w:ascii="宋体" w:hAnsi="宋体" w:eastAsia="宋体" w:cs="宋体"/>
                <w:color w:val="000000"/>
                <w:kern w:val="0"/>
                <w:szCs w:val="21"/>
                <w:lang w:bidi="ar"/>
              </w:rPr>
            </w:pP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按需供货，按实结算，本次采购数量仅为采购人暂定数量，以采购人下达的采购订单为准</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3个月</w:t>
      </w:r>
      <w:r>
        <w:rPr>
          <w:rFonts w:hint="eastAsia" w:ascii="宋体" w:hAnsi="宋体" w:cs="宋体"/>
          <w:color w:val="auto"/>
          <w:sz w:val="24"/>
          <w:u w:val="none"/>
          <w:lang w:val="en-US" w:eastAsia="zh-CN"/>
        </w:rPr>
        <w:t>内完成供货</w:t>
      </w:r>
      <w:r>
        <w:rPr>
          <w:rFonts w:hint="eastAsia" w:ascii="宋体" w:hAnsi="宋体" w:cs="宋体"/>
          <w:color w:val="auto"/>
          <w:sz w:val="24"/>
          <w:u w:val="none"/>
        </w:rPr>
        <w:t xml:space="preserve"> ；</w:t>
      </w:r>
      <w:r>
        <w:rPr>
          <w:rFonts w:hint="eastAsia" w:ascii="宋体" w:hAnsi="宋体" w:cs="宋体"/>
          <w:color w:val="auto"/>
          <w:sz w:val="24"/>
          <w:u w:val="none"/>
          <w:lang w:val="en-US" w:eastAsia="zh-CN"/>
        </w:rPr>
        <w:t>若因进口问题导致期限超出订单要求，双方另行协商。</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hAnsi="宋体" w:cs="宋体"/>
          <w:sz w:val="24"/>
          <w:lang w:val="en-US" w:eastAsia="zh-CN"/>
        </w:rPr>
      </w:pPr>
      <w:bookmarkStart w:id="393" w:name="_Toc6596"/>
      <w:bookmarkStart w:id="394" w:name="_Toc1125"/>
      <w:bookmarkStart w:id="395" w:name="_Toc14563"/>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ascii="宋体" w:hAnsi="宋体" w:cs="宋体"/>
          <w:sz w:val="24"/>
          <w:lang w:val="en-US" w:eastAsia="zh-CN"/>
        </w:rPr>
        <w:t>包括但不限于以下标准：</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JB/T 10205-2010《液压缸》。</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本合同液压缸质保期限为验收合格后</w:t>
      </w:r>
      <w:r>
        <w:rPr>
          <w:rFonts w:hint="eastAsia" w:ascii="宋体" w:hAnsi="宋体" w:cs="宋体"/>
          <w:sz w:val="24"/>
          <w:u w:val="single"/>
          <w:lang w:val="en-US" w:eastAsia="zh-CN"/>
        </w:rPr>
        <w:t>12</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3"/>
      <w:bookmarkEnd w:id="394"/>
      <w:bookmarkEnd w:id="395"/>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首次验收不满足合同要求的，视为首次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首次验收合格。</w:t>
      </w:r>
    </w:p>
    <w:p>
      <w:pPr>
        <w:tabs>
          <w:tab w:val="left" w:pos="360"/>
          <w:tab w:val="left" w:pos="540"/>
          <w:tab w:val="left" w:pos="1080"/>
        </w:tabs>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5.经甲方安装使用不少于1台液压缸后各项功能正常、动作正常，且1个月内无漏油现象视为该批次液压缸验收合格。若甲方在6个月内未完成安装，自动视为验收合格。甲方在安装过程中若有不匹配等情形，乙方需免费予以调换。</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6" w:name="_Toc19304"/>
      <w:bookmarkStart w:id="397" w:name="_Toc32071"/>
      <w:bookmarkStart w:id="398" w:name="_Toc2846"/>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4</w:t>
      </w:r>
      <w:r>
        <w:rPr>
          <w:rFonts w:hint="eastAsia"/>
          <w:color w:val="auto"/>
          <w:highlight w:val="none"/>
          <w:u w:val="single"/>
          <w:lang w:eastAsia="zh-CN"/>
        </w:rPr>
        <w:t>）</w:t>
      </w:r>
      <w:r>
        <w:rPr>
          <w:rFonts w:hint="eastAsia"/>
          <w:color w:val="auto"/>
          <w:highlight w:val="none"/>
        </w:rPr>
        <w:t>条款规定：</w:t>
      </w:r>
    </w:p>
    <w:bookmarkEnd w:id="396"/>
    <w:bookmarkEnd w:id="397"/>
    <w:bookmarkEnd w:id="398"/>
    <w:p>
      <w:pPr>
        <w:pStyle w:val="27"/>
        <w:spacing w:before="0" w:beforeAutospacing="0" w:after="0" w:afterAutospacing="0" w:line="360" w:lineRule="auto"/>
        <w:ind w:firstLine="480"/>
        <w:rPr>
          <w:rFonts w:hint="default"/>
          <w:color w:val="auto"/>
          <w:highlight w:val="none"/>
          <w:u w:val="single"/>
          <w:lang w:val="en-US" w:eastAsia="zh-CN"/>
        </w:rPr>
      </w:pPr>
      <w:bookmarkStart w:id="399" w:name="_Toc19554"/>
      <w:bookmarkStart w:id="400" w:name="_Toc27250"/>
      <w:bookmarkStart w:id="401" w:name="_Toc21423"/>
      <w:r>
        <w:rPr>
          <w:rFonts w:hint="eastAsia"/>
          <w:color w:val="auto"/>
          <w:highlight w:val="none"/>
          <w:u w:val="single"/>
        </w:rPr>
        <w:t>（</w:t>
      </w:r>
      <w:r>
        <w:rPr>
          <w:rFonts w:hint="eastAsia"/>
          <w:color w:val="auto"/>
          <w:highlight w:val="none"/>
          <w:u w:val="single"/>
          <w:lang w:val="en-US" w:eastAsia="zh-CN"/>
        </w:rPr>
        <w:t>4</w:t>
      </w:r>
      <w:r>
        <w:rPr>
          <w:rFonts w:hint="eastAsia"/>
          <w:color w:val="auto"/>
          <w:highlight w:val="none"/>
          <w:u w:val="single"/>
        </w:rPr>
        <w:t>）</w:t>
      </w:r>
      <w:r>
        <w:rPr>
          <w:rFonts w:hint="eastAsia"/>
          <w:color w:val="auto"/>
          <w:highlight w:val="none"/>
          <w:u w:val="single"/>
          <w:lang w:val="en-US" w:eastAsia="zh-CN"/>
        </w:rPr>
        <w:t>其他</w:t>
      </w:r>
      <w:r>
        <w:rPr>
          <w:rFonts w:hint="eastAsia"/>
          <w:color w:val="auto"/>
          <w:highlight w:val="none"/>
          <w:u w:val="single"/>
        </w:rPr>
        <w:t>付款</w:t>
      </w:r>
      <w:r>
        <w:rPr>
          <w:rFonts w:hint="eastAsia"/>
          <w:color w:val="auto"/>
          <w:highlight w:val="none"/>
          <w:u w:val="single"/>
          <w:lang w:val="en-US" w:eastAsia="zh-CN"/>
        </w:rPr>
        <w:t>方式</w:t>
      </w:r>
      <w:r>
        <w:rPr>
          <w:rFonts w:hint="eastAsia"/>
          <w:color w:val="auto"/>
          <w:highlight w:val="none"/>
          <w:u w:val="single"/>
          <w:lang w:eastAsia="zh-CN"/>
        </w:rPr>
        <w:t>。</w:t>
      </w:r>
      <w:r>
        <w:rPr>
          <w:rFonts w:hint="eastAsia"/>
          <w:color w:val="auto"/>
          <w:highlight w:val="none"/>
          <w:u w:val="single"/>
          <w:lang w:val="en-US" w:eastAsia="zh-CN"/>
        </w:rPr>
        <w:t>按批次支付，每批次经首次验收合格后</w:t>
      </w:r>
      <w:r>
        <w:rPr>
          <w:rFonts w:hint="eastAsia"/>
          <w:color w:val="auto"/>
          <w:highlight w:val="none"/>
          <w:u w:val="single"/>
          <w:lang w:eastAsia="zh-CN"/>
        </w:rPr>
        <w:t>，</w:t>
      </w:r>
      <w:r>
        <w:rPr>
          <w:rFonts w:hint="eastAsia"/>
          <w:color w:val="auto"/>
          <w:highlight w:val="none"/>
          <w:u w:val="single"/>
        </w:rPr>
        <w:t>甲方收到乙方提供</w:t>
      </w:r>
      <w:r>
        <w:rPr>
          <w:rFonts w:hint="eastAsia"/>
          <w:color w:val="auto"/>
          <w:highlight w:val="none"/>
          <w:u w:val="single"/>
          <w:lang w:val="en-US" w:eastAsia="zh-CN"/>
        </w:rPr>
        <w:t>应结算总金额</w:t>
      </w:r>
      <w:r>
        <w:rPr>
          <w:rFonts w:hint="eastAsia"/>
          <w:color w:val="auto"/>
          <w:highlight w:val="none"/>
          <w:u w:val="single"/>
        </w:rPr>
        <w:t>的</w:t>
      </w:r>
      <w:r>
        <w:rPr>
          <w:rFonts w:hint="eastAsia"/>
          <w:color w:val="auto"/>
          <w:highlight w:val="none"/>
          <w:u w:val="single"/>
          <w:lang w:val="en-US" w:eastAsia="zh-CN"/>
        </w:rPr>
        <w:t>全额</w:t>
      </w:r>
      <w:r>
        <w:rPr>
          <w:rFonts w:hint="eastAsia"/>
          <w:color w:val="auto"/>
          <w:highlight w:val="none"/>
          <w:u w:val="single"/>
        </w:rPr>
        <w:t>增值税专用发票</w:t>
      </w:r>
      <w:r>
        <w:rPr>
          <w:rFonts w:hint="eastAsia"/>
          <w:color w:val="auto"/>
          <w:highlight w:val="none"/>
          <w:u w:val="single"/>
          <w:lang w:eastAsia="zh-CN"/>
        </w:rPr>
        <w:t>，</w:t>
      </w:r>
      <w:r>
        <w:rPr>
          <w:rFonts w:hint="eastAsia"/>
          <w:color w:val="auto"/>
          <w:highlight w:val="none"/>
          <w:u w:val="single"/>
        </w:rPr>
        <w:t>甲方在本合同约定时间内完成支付</w:t>
      </w:r>
      <w:r>
        <w:rPr>
          <w:rFonts w:hint="eastAsia"/>
          <w:color w:val="auto"/>
          <w:highlight w:val="none"/>
          <w:u w:val="single"/>
          <w:lang w:val="en-US" w:eastAsia="zh-CN"/>
        </w:rPr>
        <w:t>应结算总金额的50%，余下50%应结算总金额待验收合格后</w:t>
      </w:r>
      <w:r>
        <w:rPr>
          <w:rFonts w:hint="eastAsia"/>
          <w:color w:val="auto"/>
          <w:highlight w:val="none"/>
          <w:u w:val="single"/>
        </w:rPr>
        <w:t>在本合同约定时间内</w:t>
      </w:r>
      <w:r>
        <w:rPr>
          <w:rFonts w:hint="eastAsia"/>
          <w:color w:val="auto"/>
          <w:highlight w:val="none"/>
          <w:u w:val="single"/>
          <w:lang w:val="en-US" w:eastAsia="zh-CN"/>
        </w:rPr>
        <w:t>一次性支付。</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399"/>
      <w:bookmarkEnd w:id="400"/>
      <w:bookmarkEnd w:id="40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2026年能源运行中心推料器液压缸采购项目（第二次）</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2"/>
    <w:bookmarkEnd w:id="403"/>
    <w:bookmarkEnd w:id="404"/>
    <w:p>
      <w:pPr>
        <w:pStyle w:val="15"/>
        <w:jc w:val="both"/>
      </w:pPr>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2026年能源运行中心推料器液压缸采购项目（第二次）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202601031-1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2026年能源运行中心推料器液压缸采购项目（第二次）</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202601031-1</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16"/>
        <w:rPr>
          <w:color w:val="auto"/>
        </w:rPr>
      </w:pPr>
    </w:p>
    <w:p>
      <w:pPr>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2026年能源运行中心推料器液压缸采购项目（第二次）</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202601031-1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5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41"/>
        <w:gridCol w:w="1650"/>
        <w:gridCol w:w="4050"/>
        <w:gridCol w:w="627"/>
        <w:gridCol w:w="545"/>
        <w:gridCol w:w="914"/>
        <w:gridCol w:w="1050"/>
        <w:gridCol w:w="2019"/>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2"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序号</w:t>
            </w:r>
          </w:p>
        </w:tc>
        <w:tc>
          <w:tcPr>
            <w:tcW w:w="941"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货物名称</w:t>
            </w:r>
          </w:p>
        </w:tc>
        <w:tc>
          <w:tcPr>
            <w:tcW w:w="1650"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lang w:val="en-US" w:eastAsia="zh-CN"/>
              </w:rPr>
              <w:t>推荐</w:t>
            </w:r>
            <w:r>
              <w:rPr>
                <w:rFonts w:hint="eastAsia" w:cs="仿宋" w:asciiTheme="minorEastAsia" w:hAnsiTheme="minorEastAsia"/>
                <w:b/>
                <w:sz w:val="16"/>
                <w:szCs w:val="16"/>
              </w:rPr>
              <w:t>品牌</w:t>
            </w:r>
          </w:p>
        </w:tc>
        <w:tc>
          <w:tcPr>
            <w:tcW w:w="4050" w:type="dxa"/>
            <w:vAlign w:val="center"/>
          </w:tcPr>
          <w:p>
            <w:pPr>
              <w:spacing w:line="360" w:lineRule="auto"/>
              <w:jc w:val="center"/>
              <w:rPr>
                <w:rFonts w:hint="eastAsia" w:cs="仿宋" w:asciiTheme="minorEastAsia" w:hAnsiTheme="minorEastAsia"/>
                <w:b/>
                <w:sz w:val="16"/>
                <w:szCs w:val="16"/>
                <w:lang w:eastAsia="zh-CN"/>
              </w:rPr>
            </w:pPr>
            <w:r>
              <w:rPr>
                <w:rFonts w:hint="eastAsia" w:cs="仿宋" w:asciiTheme="minorEastAsia" w:hAnsiTheme="minorEastAsia"/>
                <w:b/>
                <w:sz w:val="16"/>
                <w:szCs w:val="16"/>
              </w:rPr>
              <w:t>规格型号</w:t>
            </w:r>
          </w:p>
        </w:tc>
        <w:tc>
          <w:tcPr>
            <w:tcW w:w="627"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单位</w:t>
            </w:r>
          </w:p>
        </w:tc>
        <w:tc>
          <w:tcPr>
            <w:tcW w:w="545" w:type="dxa"/>
            <w:vAlign w:val="center"/>
          </w:tcPr>
          <w:p>
            <w:pPr>
              <w:spacing w:line="360" w:lineRule="auto"/>
              <w:jc w:val="center"/>
              <w:rPr>
                <w:rFonts w:hint="eastAsia" w:cs="仿宋" w:asciiTheme="minorEastAsia" w:hAnsiTheme="minorEastAsia"/>
                <w:b/>
                <w:sz w:val="16"/>
                <w:szCs w:val="16"/>
              </w:rPr>
            </w:pPr>
            <w:r>
              <w:rPr>
                <w:rFonts w:hint="eastAsia" w:cs="仿宋" w:asciiTheme="minorEastAsia" w:hAnsiTheme="minorEastAsia"/>
                <w:b/>
                <w:sz w:val="16"/>
                <w:szCs w:val="16"/>
              </w:rPr>
              <w:t>数量</w:t>
            </w:r>
          </w:p>
        </w:tc>
        <w:tc>
          <w:tcPr>
            <w:tcW w:w="914" w:type="dxa"/>
            <w:vAlign w:val="center"/>
          </w:tcPr>
          <w:p>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sz w:val="16"/>
                <w:szCs w:val="16"/>
                <w:lang w:val="en-US" w:eastAsia="zh-CN"/>
              </w:rPr>
              <w:t>含税单价</w:t>
            </w:r>
          </w:p>
        </w:tc>
        <w:tc>
          <w:tcPr>
            <w:tcW w:w="1050" w:type="dxa"/>
            <w:vAlign w:val="center"/>
          </w:tcPr>
          <w:p>
            <w:pPr>
              <w:spacing w:line="360" w:lineRule="auto"/>
              <w:jc w:val="center"/>
              <w:rPr>
                <w:rFonts w:hint="eastAsia"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含税总金额</w:t>
            </w:r>
          </w:p>
        </w:tc>
        <w:tc>
          <w:tcPr>
            <w:tcW w:w="2019" w:type="dxa"/>
            <w:vAlign w:val="center"/>
          </w:tcPr>
          <w:p>
            <w:pPr>
              <w:spacing w:line="360" w:lineRule="auto"/>
              <w:jc w:val="center"/>
              <w:rPr>
                <w:rFonts w:hint="default" w:cs="仿宋" w:asciiTheme="minorEastAsia" w:hAnsiTheme="minorEastAsia" w:eastAsiaTheme="minorEastAsia"/>
                <w:b/>
                <w:sz w:val="16"/>
                <w:szCs w:val="16"/>
                <w:lang w:val="en-US" w:eastAsia="zh-CN"/>
              </w:rPr>
            </w:pPr>
            <w:r>
              <w:rPr>
                <w:rFonts w:hint="eastAsia" w:cs="仿宋" w:asciiTheme="minorEastAsia" w:hAnsiTheme="minorEastAsia"/>
                <w:b/>
                <w:color w:val="auto"/>
                <w:sz w:val="16"/>
                <w:szCs w:val="16"/>
                <w:lang w:val="en-US" w:eastAsia="zh-CN"/>
              </w:rPr>
              <w:t>本次所选品牌/</w:t>
            </w:r>
            <w:r>
              <w:rPr>
                <w:rFonts w:hint="eastAsia" w:cs="仿宋" w:asciiTheme="minorEastAsia" w:hAnsiTheme="minorEastAsia"/>
                <w:b/>
                <w:sz w:val="16"/>
                <w:szCs w:val="16"/>
                <w:lang w:val="en-US" w:eastAsia="zh-CN"/>
              </w:rPr>
              <w:t>生产厂家</w:t>
            </w:r>
          </w:p>
        </w:tc>
        <w:tc>
          <w:tcPr>
            <w:tcW w:w="2795" w:type="dxa"/>
            <w:vAlign w:val="center"/>
          </w:tcPr>
          <w:p>
            <w:pPr>
              <w:spacing w:line="360" w:lineRule="auto"/>
              <w:jc w:val="center"/>
              <w:rPr>
                <w:rFonts w:hint="default" w:cs="仿宋" w:asciiTheme="minorEastAsia" w:hAnsiTheme="minorEastAsia"/>
                <w:b/>
                <w:sz w:val="16"/>
                <w:szCs w:val="16"/>
                <w:lang w:val="en-US" w:eastAsia="zh-CN"/>
              </w:rPr>
            </w:pPr>
            <w:r>
              <w:rPr>
                <w:rFonts w:hint="eastAsia" w:cs="仿宋" w:asciiTheme="minorEastAsia" w:hAnsiTheme="minorEastAsia"/>
                <w:b/>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542"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1</w:t>
            </w:r>
          </w:p>
        </w:tc>
        <w:tc>
          <w:tcPr>
            <w:tcW w:w="941"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推料器液压缸</w:t>
            </w:r>
          </w:p>
        </w:tc>
        <w:tc>
          <w:tcPr>
            <w:tcW w:w="1650"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日立造船株式会社、太陽鉄工株式会社、派克汉尼汾液压(天津)有限公司</w:t>
            </w:r>
          </w:p>
        </w:tc>
        <w:tc>
          <w:tcPr>
            <w:tcW w:w="4050"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原型号：HC20TFK125-90K-1200；缸径125mm，杆径90mm，全行程1200mm，双作用液压缸；工作压力210bar，最高压力315bar；工作温度-10℃-80℃；密封件材质聚氨酯；含油缸接头、连接销轴、止退销等</w:t>
            </w:r>
          </w:p>
        </w:tc>
        <w:tc>
          <w:tcPr>
            <w:tcW w:w="627"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台</w:t>
            </w:r>
          </w:p>
        </w:tc>
        <w:tc>
          <w:tcPr>
            <w:tcW w:w="545" w:type="dxa"/>
            <w:vAlign w:val="center"/>
          </w:tcPr>
          <w:p>
            <w:pPr>
              <w:jc w:val="center"/>
              <w:rPr>
                <w:rFonts w:hint="eastAsia" w:ascii="宋体" w:hAnsi="宋体" w:eastAsia="宋体" w:cs="宋体"/>
                <w:snapToGrid w:val="0"/>
                <w:sz w:val="15"/>
                <w:szCs w:val="15"/>
                <w:lang w:val="en-US" w:eastAsia="zh-CN"/>
              </w:rPr>
            </w:pPr>
            <w:r>
              <w:rPr>
                <w:rFonts w:hint="eastAsia" w:ascii="宋体" w:hAnsi="宋体" w:eastAsia="宋体" w:cs="宋体"/>
                <w:snapToGrid w:val="0"/>
                <w:sz w:val="18"/>
                <w:szCs w:val="18"/>
                <w:lang w:val="en-US" w:eastAsia="zh-CN"/>
              </w:rPr>
              <w:t>10</w:t>
            </w:r>
          </w:p>
        </w:tc>
        <w:tc>
          <w:tcPr>
            <w:tcW w:w="91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0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20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2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83" w:type="dxa"/>
            <w:gridSpan w:val="4"/>
            <w:vAlign w:val="center"/>
          </w:tcPr>
          <w:p>
            <w:pPr>
              <w:spacing w:line="360" w:lineRule="auto"/>
              <w:jc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sz w:val="16"/>
                <w:szCs w:val="16"/>
              </w:rPr>
              <w:t>响应报价合计（小写）</w:t>
            </w:r>
          </w:p>
        </w:tc>
        <w:tc>
          <w:tcPr>
            <w:tcW w:w="7950" w:type="dxa"/>
            <w:gridSpan w:val="6"/>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83" w:type="dxa"/>
            <w:gridSpan w:val="4"/>
            <w:vAlign w:val="center"/>
          </w:tcPr>
          <w:p>
            <w:pPr>
              <w:spacing w:line="360" w:lineRule="auto"/>
              <w:jc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sz w:val="16"/>
                <w:szCs w:val="16"/>
              </w:rPr>
              <w:t>响应报价合计（大写）</w:t>
            </w:r>
          </w:p>
        </w:tc>
        <w:tc>
          <w:tcPr>
            <w:tcW w:w="7950" w:type="dxa"/>
            <w:gridSpan w:val="6"/>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83" w:type="dxa"/>
            <w:gridSpan w:val="4"/>
            <w:vAlign w:val="center"/>
          </w:tcPr>
          <w:p>
            <w:pPr>
              <w:spacing w:line="360" w:lineRule="auto"/>
              <w:jc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sz w:val="16"/>
                <w:szCs w:val="16"/>
              </w:rPr>
              <w:t>税率</w:t>
            </w:r>
          </w:p>
        </w:tc>
        <w:tc>
          <w:tcPr>
            <w:tcW w:w="7950" w:type="dxa"/>
            <w:gridSpan w:val="6"/>
            <w:vAlign w:val="center"/>
          </w:tcPr>
          <w:p>
            <w:pPr>
              <w:keepNext w:val="0"/>
              <w:keepLines w:val="0"/>
              <w:widowControl/>
              <w:suppressLineNumbers w:val="0"/>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83"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cs="仿宋" w:asciiTheme="minorEastAsia" w:hAnsiTheme="minorEastAsia"/>
                <w:b/>
                <w:color w:val="auto"/>
                <w:sz w:val="16"/>
                <w:szCs w:val="16"/>
                <w:highlight w:val="none"/>
                <w:u w:val="single"/>
                <w:lang w:val="en-US" w:eastAsia="zh-CN"/>
              </w:rPr>
              <w:t>不含税总金额 =含税总金额/（1+税率）</w:t>
            </w:r>
          </w:p>
        </w:tc>
        <w:tc>
          <w:tcPr>
            <w:tcW w:w="7950" w:type="dxa"/>
            <w:gridSpan w:val="6"/>
            <w:vAlign w:val="center"/>
          </w:tcPr>
          <w:p>
            <w:pPr>
              <w:keepNext w:val="0"/>
              <w:keepLines w:val="0"/>
              <w:widowControl/>
              <w:suppressLineNumbers w:val="0"/>
              <w:jc w:val="center"/>
              <w:textAlignment w:val="cente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供应商</w:t>
      </w:r>
      <w:r>
        <w:rPr>
          <w:rFonts w:hint="eastAsia" w:ascii="宋体" w:hAnsi="宋体" w:cs="宋体"/>
          <w:kern w:val="0"/>
          <w:sz w:val="24"/>
          <w:lang w:val="en-US" w:eastAsia="zh-CN"/>
        </w:rPr>
        <w:t>若未填写本次所选品牌，视为供应商默认选择采购人的推荐品牌中任意一种。</w:t>
      </w:r>
    </w:p>
    <w:p/>
    <w:p>
      <w:pPr>
        <w:sectPr>
          <w:pgSz w:w="16838" w:h="11906" w:orient="landscape"/>
          <w:pgMar w:top="1803" w:right="1440" w:bottom="1803" w:left="1440" w:header="851" w:footer="992" w:gutter="0"/>
          <w:cols w:space="0" w:num="1"/>
          <w:docGrid w:type="lines" w:linePitch="319" w:charSpace="0"/>
        </w:sectPr>
      </w:pPr>
    </w:p>
    <w:p>
      <w:pPr>
        <w:spacing w:line="360" w:lineRule="auto"/>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bookmarkStart w:id="405" w:name="OLE_LINK2"/>
            <w:r>
              <w:rPr>
                <w:rFonts w:hint="eastAsia" w:ascii="宋体" w:hAnsi="宋体" w:cs="宋体"/>
                <w:sz w:val="24"/>
                <w:u w:val="single"/>
                <w:lang w:val="en-US" w:eastAsia="zh-CN"/>
              </w:rPr>
              <w:t>伍仟捌佰元</w:t>
            </w:r>
            <w:bookmarkEnd w:id="405"/>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5800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cs="仿宋" w:asciiTheme="minorEastAsia" w:hAnsiTheme="minorEastAsia"/>
          <w:sz w:val="24"/>
          <w:u w:val="single"/>
          <w:lang w:eastAsia="zh-CN"/>
        </w:rPr>
        <w:t>2026年能源运行中心推料器液压缸采购项目（第二次）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202601031-1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伍仟捌佰元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5800</w:t>
      </w:r>
      <w:r>
        <w:rPr>
          <w:rFonts w:hint="eastAsia" w:ascii="宋体" w:hAnsi="宋体" w:cs="宋体"/>
          <w:sz w:val="24"/>
          <w:u w:val="single"/>
        </w:rPr>
        <w:t xml:space="preserve"> </w:t>
      </w:r>
      <w:r>
        <w:rPr>
          <w:rFonts w:hint="eastAsia" w:ascii="宋体" w:hAnsi="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int="eastAsia" w:hAnsi="宋体" w:cs="宋体"/>
          <w:b/>
          <w:bCs/>
          <w:sz w:val="24"/>
        </w:rPr>
      </w:pPr>
    </w:p>
    <w:p>
      <w:pPr>
        <w:pStyle w:val="9"/>
        <w:rPr>
          <w:rFonts w:hint="eastAsia" w:hAnsi="宋体" w:cs="宋体"/>
          <w:b/>
          <w:bCs/>
          <w:sz w:val="24"/>
        </w:rPr>
      </w:pPr>
    </w:p>
    <w:p>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hAnsi="宋体" w:cs="宋体"/>
          <w:b/>
          <w:sz w:val="32"/>
          <w:szCs w:val="32"/>
          <w:lang w:val="en-US" w:eastAsia="zh-CN"/>
        </w:rPr>
      </w:pPr>
    </w:p>
    <w:p>
      <w:pPr>
        <w:spacing w:line="360" w:lineRule="auto"/>
        <w:jc w:val="left"/>
        <w:rPr>
          <w:rFonts w:ascii="宋体" w:hAnsi="宋体" w:cs="宋体"/>
          <w:b/>
          <w:spacing w:val="6"/>
          <w:sz w:val="32"/>
          <w:szCs w:val="32"/>
        </w:rPr>
      </w:pPr>
      <w:r>
        <w:rPr>
          <w:rFonts w:hint="eastAsia" w:ascii="宋体" w:hAnsi="宋体" w:cs="宋体"/>
          <w:b/>
          <w:spacing w:val="6"/>
          <w:sz w:val="32"/>
          <w:szCs w:val="32"/>
          <w:lang w:val="en-US" w:eastAsia="zh-CN"/>
        </w:rPr>
        <w:t xml:space="preserve">附件2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C122C8"/>
    <w:rsid w:val="030669ED"/>
    <w:rsid w:val="032B7E17"/>
    <w:rsid w:val="033F3D4D"/>
    <w:rsid w:val="034B5FC8"/>
    <w:rsid w:val="03C319A1"/>
    <w:rsid w:val="03C74493"/>
    <w:rsid w:val="03CA5C6D"/>
    <w:rsid w:val="04A70542"/>
    <w:rsid w:val="04E634F4"/>
    <w:rsid w:val="057311F3"/>
    <w:rsid w:val="05953E92"/>
    <w:rsid w:val="05A4392C"/>
    <w:rsid w:val="05B622F4"/>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411F0F"/>
    <w:rsid w:val="37514AF4"/>
    <w:rsid w:val="377C0298"/>
    <w:rsid w:val="37B04D36"/>
    <w:rsid w:val="37C65D75"/>
    <w:rsid w:val="37D2523E"/>
    <w:rsid w:val="38DB0C51"/>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6D42D4"/>
    <w:rsid w:val="51937E4D"/>
    <w:rsid w:val="51B442FE"/>
    <w:rsid w:val="51B96633"/>
    <w:rsid w:val="52383592"/>
    <w:rsid w:val="523875F5"/>
    <w:rsid w:val="52506204"/>
    <w:rsid w:val="52786308"/>
    <w:rsid w:val="52BE22AC"/>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337B7D"/>
    <w:rsid w:val="5F944466"/>
    <w:rsid w:val="5FBE7D8F"/>
    <w:rsid w:val="60470EFE"/>
    <w:rsid w:val="60614F4D"/>
    <w:rsid w:val="60844C26"/>
    <w:rsid w:val="60A9029A"/>
    <w:rsid w:val="60DA29A7"/>
    <w:rsid w:val="60FA16F8"/>
    <w:rsid w:val="61102202"/>
    <w:rsid w:val="6139287F"/>
    <w:rsid w:val="616D4934"/>
    <w:rsid w:val="61C869A7"/>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069EA"/>
    <w:rsid w:val="738D03F5"/>
    <w:rsid w:val="73987BB2"/>
    <w:rsid w:val="73E442FB"/>
    <w:rsid w:val="73EF1E6D"/>
    <w:rsid w:val="73F46F6A"/>
    <w:rsid w:val="74173DA2"/>
    <w:rsid w:val="748E4164"/>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66</Pages>
  <Words>988</Words>
  <Characters>1159</Characters>
  <Lines>224</Lines>
  <Paragraphs>63</Paragraphs>
  <TotalTime>40</TotalTime>
  <ScaleCrop>false</ScaleCrop>
  <LinksUpToDate>false</LinksUpToDate>
  <CharactersWithSpaces>1211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2026-01-27T06:11:00Z</cp:lastPrinted>
  <dcterms:modified xsi:type="dcterms:W3CDTF">2026-02-09T08:10:02Z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