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临江环境2026年垃圾仓水箅子疏通装置采购项目</w:t>
      </w:r>
    </w:p>
    <w:p>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b/>
          <w:bCs/>
          <w:color w:val="auto"/>
          <w:sz w:val="48"/>
          <w:szCs w:val="48"/>
        </w:rPr>
      </w:pPr>
      <w:r>
        <w:rPr>
          <w:rFonts w:hint="eastAsia" w:cs="宋体" w:asciiTheme="minorEastAsia" w:hAnsiTheme="minorEastAsia"/>
          <w:b/>
          <w:bCs/>
          <w:color w:val="auto"/>
          <w:sz w:val="48"/>
          <w:szCs w:val="48"/>
          <w:u w:val="single"/>
          <w:lang w:val="en-US" w:eastAsia="zh-CN"/>
        </w:rPr>
        <w:t>（电子交易）</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202603028</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2026年3月</w:t>
      </w:r>
      <w:r>
        <w:rPr>
          <w:rFonts w:hint="eastAsia" w:cs="仿宋" w:asciiTheme="minorEastAsia" w:hAnsiTheme="minorEastAsia"/>
          <w:sz w:val="32"/>
          <w:szCs w:val="32"/>
          <w:lang w:val="en-US" w:eastAsia="zh-CN"/>
        </w:rPr>
        <w:t>24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临江环境2026年垃圾仓水箅子疏通装置采购项目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ascii="宋体" w:hAnsi="宋体" w:eastAsia="宋体" w:cs="宋体"/>
          <w:snapToGrid w:val="0"/>
          <w:color w:val="auto"/>
          <w:sz w:val="24"/>
          <w:szCs w:val="24"/>
          <w:u w:val="single"/>
        </w:rPr>
        <w:t>浙江企业采购信息服务网发布</w:t>
      </w:r>
      <w:r>
        <w:rPr>
          <w:rFonts w:hint="eastAsia" w:cs="仿宋" w:asciiTheme="minorEastAsia" w:hAnsiTheme="minorEastAsia"/>
          <w:sz w:val="24"/>
        </w:rPr>
        <w:t>（</w:t>
      </w:r>
      <w:r>
        <w:rPr>
          <w:rFonts w:hint="eastAsia" w:ascii="宋体" w:hAnsi="宋体" w:eastAsia="宋体" w:cs="宋体"/>
          <w:snapToGrid w:val="0"/>
          <w:color w:val="auto"/>
          <w:sz w:val="24"/>
          <w:szCs w:val="24"/>
          <w:u w:val="single"/>
        </w:rPr>
        <w:t>https://b.zhengcaiyun.cn/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bookmarkStart w:id="404"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202603028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临江环境2026年垃圾仓水箅子疏通装置采购项目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highlight w:val="none"/>
          <w:u w:val="single"/>
          <w:lang w:val="en-US" w:eastAsia="zh-CN"/>
        </w:rPr>
        <w:t>含税29</w:t>
      </w:r>
      <w:r>
        <w:rPr>
          <w:rFonts w:hint="eastAsia" w:cs="仿宋" w:asciiTheme="minorEastAsia" w:hAnsiTheme="minorEastAsia"/>
          <w:b w:val="0"/>
          <w:bCs w:val="0"/>
          <w:color w:val="auto"/>
          <w:sz w:val="24"/>
          <w:highlight w:val="none"/>
          <w:u w:val="single"/>
        </w:rPr>
        <w:t>.</w:t>
      </w:r>
      <w:r>
        <w:rPr>
          <w:rFonts w:hint="eastAsia" w:cs="仿宋" w:asciiTheme="minorEastAsia" w:hAnsiTheme="minorEastAsia"/>
          <w:b w:val="0"/>
          <w:bCs w:val="0"/>
          <w:color w:val="auto"/>
          <w:sz w:val="24"/>
          <w:highlight w:val="none"/>
          <w:u w:val="single"/>
          <w:lang w:val="en-US" w:eastAsia="zh-CN"/>
        </w:rPr>
        <w:t>3</w:t>
      </w:r>
      <w:r>
        <w:rPr>
          <w:rFonts w:hint="eastAsia" w:cs="仿宋" w:asciiTheme="minorEastAsia" w:hAnsiTheme="minorEastAsia"/>
          <w:b w:val="0"/>
          <w:bCs w:val="0"/>
          <w:color w:val="auto"/>
          <w:sz w:val="24"/>
          <w:highlight w:val="none"/>
          <w:u w:val="single"/>
        </w:rPr>
        <w:t>5万元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lang w:eastAsia="zh-CN"/>
        </w:rPr>
        <w:t>杭州临江环境能源有限公司</w:t>
      </w:r>
      <w:r>
        <w:rPr>
          <w:rFonts w:hint="eastAsia" w:cs="仿宋" w:asciiTheme="minorEastAsia" w:hAnsiTheme="minorEastAsia"/>
          <w:sz w:val="24"/>
          <w:lang w:val="en-US" w:eastAsia="zh-CN"/>
        </w:rPr>
        <w:t>为</w:t>
      </w:r>
      <w:r>
        <w:rPr>
          <w:rFonts w:hint="eastAsia" w:cs="仿宋" w:asciiTheme="minorEastAsia" w:hAnsiTheme="minorEastAsia"/>
          <w:sz w:val="24"/>
        </w:rPr>
        <w:t>提高垃圾热值，在</w:t>
      </w:r>
      <w:r>
        <w:rPr>
          <w:rFonts w:hint="eastAsia" w:cs="仿宋" w:asciiTheme="minorEastAsia" w:hAnsiTheme="minorEastAsia"/>
          <w:sz w:val="24"/>
          <w:lang w:eastAsia="zh-CN"/>
        </w:rPr>
        <w:t>垃圾池</w:t>
      </w:r>
      <w:r>
        <w:rPr>
          <w:rFonts w:hint="eastAsia" w:cs="仿宋" w:asciiTheme="minorEastAsia" w:hAnsiTheme="minorEastAsia"/>
          <w:sz w:val="24"/>
          <w:lang w:val="en-US" w:eastAsia="zh-CN"/>
        </w:rPr>
        <w:t>靠近垃圾吊控制室的格栅</w:t>
      </w:r>
      <w:r>
        <w:rPr>
          <w:rFonts w:hint="eastAsia" w:cs="仿宋" w:asciiTheme="minorEastAsia" w:hAnsiTheme="minorEastAsia"/>
          <w:sz w:val="24"/>
        </w:rPr>
        <w:t>上部</w:t>
      </w:r>
      <w:r>
        <w:rPr>
          <w:rFonts w:hint="eastAsia" w:cs="仿宋" w:asciiTheme="minorEastAsia" w:hAnsiTheme="minorEastAsia"/>
          <w:sz w:val="24"/>
          <w:lang w:val="en-US" w:eastAsia="zh-CN"/>
        </w:rPr>
        <w:t>或根据现场实际情况</w:t>
      </w:r>
      <w:r>
        <w:rPr>
          <w:rFonts w:hint="eastAsia" w:cs="仿宋" w:asciiTheme="minorEastAsia" w:hAnsiTheme="minorEastAsia"/>
          <w:sz w:val="24"/>
        </w:rPr>
        <w:t>安装</w:t>
      </w:r>
      <w:r>
        <w:rPr>
          <w:rFonts w:hint="eastAsia" w:cs="仿宋" w:asciiTheme="minorEastAsia" w:hAnsiTheme="minorEastAsia"/>
          <w:sz w:val="24"/>
          <w:lang w:val="en-US" w:eastAsia="zh-CN"/>
        </w:rPr>
        <w:t>自动疏通装置1套</w:t>
      </w:r>
      <w:r>
        <w:rPr>
          <w:rFonts w:hint="eastAsia" w:cs="仿宋" w:asciiTheme="minorEastAsia" w:hAnsiTheme="minorEastAsia"/>
          <w:sz w:val="24"/>
        </w:rPr>
        <w:t>，定期对</w:t>
      </w:r>
      <w:r>
        <w:rPr>
          <w:rFonts w:hint="eastAsia" w:cs="仿宋" w:asciiTheme="minorEastAsia" w:hAnsiTheme="minorEastAsia"/>
          <w:sz w:val="24"/>
          <w:lang w:eastAsia="zh-CN"/>
        </w:rPr>
        <w:t>水箅子</w:t>
      </w:r>
      <w:r>
        <w:rPr>
          <w:rFonts w:hint="eastAsia" w:cs="仿宋" w:asciiTheme="minorEastAsia" w:hAnsiTheme="minorEastAsia"/>
          <w:sz w:val="24"/>
        </w:rPr>
        <w:t>进行疏通与清理。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合同签订后45天内一次性完成供货；自接到甲方通知进场日起15天内完成所有设备安装、调试；</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35393622"/>
      <w:bookmarkStart w:id="7" w:name="_Toc28359003"/>
      <w:bookmarkStart w:id="8" w:name="_Toc35393791"/>
      <w:bookmarkStart w:id="9" w:name="_Toc28359080"/>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color w:val="auto"/>
        </w:rPr>
      </w:pPr>
      <w:bookmarkStart w:id="14" w:name="OLE_LINK2"/>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 w:val="0"/>
          <w:bCs/>
          <w:color w:val="auto"/>
          <w:sz w:val="24"/>
          <w:u w:val="single"/>
        </w:rPr>
        <w:t>供应商提供自202</w:t>
      </w:r>
      <w:r>
        <w:rPr>
          <w:rFonts w:hint="eastAsia" w:cs="仿宋" w:asciiTheme="minorEastAsia" w:hAnsiTheme="minorEastAsia"/>
          <w:b w:val="0"/>
          <w:bCs/>
          <w:color w:val="auto"/>
          <w:sz w:val="24"/>
          <w:u w:val="single"/>
          <w:lang w:val="en-US" w:eastAsia="zh-CN"/>
        </w:rPr>
        <w:t>3</w:t>
      </w:r>
      <w:r>
        <w:rPr>
          <w:rFonts w:hint="eastAsia" w:cs="仿宋" w:asciiTheme="minorEastAsia" w:hAnsiTheme="minorEastAsia"/>
          <w:b w:val="0"/>
          <w:bCs/>
          <w:color w:val="auto"/>
          <w:sz w:val="24"/>
          <w:u w:val="single"/>
        </w:rPr>
        <w:t>年1月1日起至少</w:t>
      </w:r>
      <w:r>
        <w:rPr>
          <w:rFonts w:hint="eastAsia" w:cs="仿宋" w:asciiTheme="minorEastAsia" w:hAnsiTheme="minorEastAsia"/>
          <w:b w:val="0"/>
          <w:bCs/>
          <w:color w:val="auto"/>
          <w:sz w:val="24"/>
          <w:u w:val="single"/>
          <w:lang w:val="en-US" w:eastAsia="zh-CN"/>
        </w:rPr>
        <w:t>完成过</w:t>
      </w:r>
      <w:r>
        <w:rPr>
          <w:rFonts w:hint="eastAsia" w:cs="仿宋" w:asciiTheme="minorEastAsia" w:hAnsiTheme="minorEastAsia"/>
          <w:b w:val="0"/>
          <w:bCs/>
          <w:color w:val="auto"/>
          <w:sz w:val="24"/>
          <w:u w:val="single"/>
        </w:rPr>
        <w:t>1例</w:t>
      </w:r>
      <w:r>
        <w:rPr>
          <w:rFonts w:hint="eastAsia" w:cs="仿宋" w:asciiTheme="minorEastAsia" w:hAnsiTheme="minorEastAsia"/>
          <w:b w:val="0"/>
          <w:bCs/>
          <w:color w:val="auto"/>
          <w:sz w:val="24"/>
          <w:u w:val="single"/>
          <w:lang w:val="en-US" w:eastAsia="zh-CN"/>
        </w:rPr>
        <w:t>生活垃圾焚烧行业垃圾仓水箅子疏通装置销售安装业绩（</w:t>
      </w:r>
      <w:r>
        <w:rPr>
          <w:rFonts w:hint="eastAsia" w:cs="仿宋" w:asciiTheme="minorEastAsia" w:hAnsiTheme="minorEastAsia"/>
          <w:b w:val="0"/>
          <w:bCs/>
          <w:color w:val="auto"/>
          <w:sz w:val="24"/>
          <w:u w:val="single"/>
        </w:rPr>
        <w:t>提供合同复印件作为业绩证明材料）。</w:t>
      </w:r>
    </w:p>
    <w:p>
      <w:pPr>
        <w:spacing w:line="360" w:lineRule="auto"/>
        <w:ind w:firstLine="480" w:firstLineChars="200"/>
        <w:rPr>
          <w:rFonts w:cs="仿宋" w:asciiTheme="minorEastAsia" w:hAnsiTheme="minorEastAsia"/>
          <w:b w:val="0"/>
          <w:bCs/>
          <w:color w:val="auto"/>
          <w:sz w:val="24"/>
        </w:rPr>
      </w:pPr>
      <w:r>
        <w:rPr>
          <w:rFonts w:hint="eastAsia" w:cs="仿宋" w:asciiTheme="minorEastAsia" w:hAnsiTheme="minorEastAsia"/>
          <w:b w:val="0"/>
          <w:bCs/>
          <w:color w:val="auto"/>
          <w:sz w:val="24"/>
        </w:rPr>
        <w:t>4.供应商不得</w:t>
      </w:r>
      <w:r>
        <w:rPr>
          <w:rFonts w:hint="eastAsia" w:cs="仿宋" w:asciiTheme="minorEastAsia" w:hAnsiTheme="minorEastAsia"/>
          <w:b w:val="0"/>
          <w:bCs/>
          <w:color w:val="auto"/>
          <w:sz w:val="24"/>
          <w:lang w:val="en-US" w:eastAsia="zh-CN"/>
        </w:rPr>
        <w:t>在</w:t>
      </w:r>
      <w:r>
        <w:rPr>
          <w:rFonts w:hint="eastAsia" w:cs="仿宋" w:asciiTheme="minorEastAsia" w:hAnsiTheme="minorEastAsia"/>
          <w:b w:val="0"/>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5.供应商负责人为同一人或者存在控股、管理关系的不同单位，不得同时参加本项目。</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bookmarkEnd w:id="14"/>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hint="eastAsia"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lang w:val="en-US" w:eastAsia="zh-CN"/>
        </w:rPr>
        <w:t>2.</w:t>
      </w:r>
      <w:r>
        <w:rPr>
          <w:rFonts w:hint="eastAsia" w:cs="仿宋" w:asciiTheme="minorEastAsia" w:hAnsiTheme="minorEastAsia" w:eastAsiaTheme="minorEastAsia"/>
          <w:b w:val="0"/>
          <w:sz w:val="24"/>
          <w:szCs w:val="24"/>
        </w:rPr>
        <w:t>地点（网址）：杭州临江环境能源有限公司网站（https://www.ljhjny.com/notice.html）</w:t>
      </w:r>
      <w:r>
        <w:rPr>
          <w:rFonts w:hint="eastAsia" w:cs="仿宋" w:asciiTheme="minorEastAsia" w:hAnsiTheme="minorEastAsia" w:eastAsiaTheme="minorEastAsia"/>
          <w:b w:val="0"/>
          <w:sz w:val="24"/>
          <w:szCs w:val="24"/>
          <w:lang w:eastAsia="zh-CN"/>
        </w:rPr>
        <w:t>、杭州临江环境能源有限公司供应链管理系统平台（https://www.ljhjgylpt.com:9280）</w:t>
      </w:r>
      <w:r>
        <w:rPr>
          <w:rFonts w:hint="eastAsia" w:cs="仿宋" w:asciiTheme="minorEastAsia" w:hAnsiTheme="minorEastAsia" w:eastAsiaTheme="minorEastAsia"/>
          <w:b w:val="0"/>
          <w:sz w:val="24"/>
          <w:szCs w:val="24"/>
        </w:rPr>
        <w:t>。</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5800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临江环境2026年垃圾仓水箅子疏通装置采购项目询价保证金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numPr>
          <w:ilvl w:val="0"/>
          <w:numId w:val="1"/>
        </w:numPr>
        <w:spacing w:line="360" w:lineRule="auto"/>
        <w:ind w:firstLine="482" w:firstLineChars="200"/>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响应文件递交</w:t>
      </w:r>
    </w:p>
    <w:p>
      <w:pPr>
        <w:numPr>
          <w:ilvl w:val="0"/>
          <w:numId w:val="0"/>
        </w:numPr>
        <w:spacing w:line="360" w:lineRule="auto"/>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1.递交截止时间（同响应文件开启时间）：2026年3月31日10点30分00秒（北京时间）。</w:t>
      </w:r>
    </w:p>
    <w:p>
      <w:pPr>
        <w:spacing w:line="360" w:lineRule="auto"/>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2.递交方式：以</w:t>
      </w:r>
      <w:r>
        <w:rPr>
          <w:rFonts w:hint="eastAsia" w:cs="仿宋" w:asciiTheme="minorEastAsia" w:hAnsiTheme="minorEastAsia"/>
          <w:b/>
          <w:bCs/>
          <w:color w:val="auto"/>
          <w:sz w:val="24"/>
          <w:highlight w:val="none"/>
          <w:lang w:val="en-US" w:eastAsia="zh-CN"/>
        </w:rPr>
        <w:t>电子方式递交。</w:t>
      </w:r>
      <w:r>
        <w:rPr>
          <w:rFonts w:hint="eastAsia" w:cs="仿宋" w:asciiTheme="minorEastAsia" w:hAnsiTheme="minorEastAsia"/>
          <w:b w:val="0"/>
          <w:bCs w:val="0"/>
          <w:color w:val="auto"/>
          <w:sz w:val="24"/>
          <w:highlight w:val="none"/>
          <w:lang w:val="en-US" w:eastAsia="zh-CN"/>
        </w:rPr>
        <w:t>本项目</w:t>
      </w:r>
      <w:r>
        <w:rPr>
          <w:rFonts w:hint="eastAsia" w:cs="仿宋" w:asciiTheme="minorEastAsia" w:hAnsiTheme="minorEastAsia"/>
          <w:b/>
          <w:bCs/>
          <w:color w:val="auto"/>
          <w:sz w:val="24"/>
          <w:highlight w:val="none"/>
          <w:lang w:val="en-US" w:eastAsia="zh-CN"/>
        </w:rPr>
        <w:t>不接受线下递交纸质</w:t>
      </w:r>
      <w:r>
        <w:rPr>
          <w:rFonts w:hint="eastAsia" w:cs="仿宋" w:asciiTheme="minorEastAsia" w:hAnsiTheme="minorEastAsia"/>
          <w:b w:val="0"/>
          <w:bCs w:val="0"/>
          <w:color w:val="auto"/>
          <w:sz w:val="24"/>
          <w:highlight w:val="none"/>
          <w:lang w:val="en-US" w:eastAsia="zh-CN"/>
        </w:rPr>
        <w:t>文件方式。</w:t>
      </w:r>
    </w:p>
    <w:p>
      <w:pPr>
        <w:spacing w:line="360" w:lineRule="auto"/>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3.递交网址：在杭州临江环境能源有限公司供应链管理系统平台（https://www.ljhjgylpt.com:9280）完成注册后按平台要求提交响应文件。</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ascii="宋体" w:hAnsi="宋体" w:cs="仿宋"/>
          <w:sz w:val="24"/>
        </w:rPr>
      </w:pPr>
      <w:r>
        <w:rPr>
          <w:rFonts w:hint="eastAsia" w:ascii="宋体" w:hAnsi="宋体" w:cs="仿宋"/>
          <w:sz w:val="24"/>
          <w:lang w:val="en-US" w:eastAsia="zh-CN"/>
        </w:rPr>
        <w:t>1.</w:t>
      </w:r>
      <w:r>
        <w:rPr>
          <w:rFonts w:hint="eastAsia" w:ascii="宋体" w:hAnsi="宋体" w:cs="仿宋"/>
          <w:sz w:val="24"/>
        </w:rPr>
        <w:t>本次询价</w:t>
      </w:r>
      <w:r>
        <w:rPr>
          <w:rFonts w:hint="eastAsia" w:ascii="宋体" w:hAnsi="宋体" w:cs="仿宋"/>
          <w:sz w:val="24"/>
          <w:lang w:eastAsia="zh-CN"/>
        </w:rPr>
        <w:t>开启</w:t>
      </w:r>
      <w:r>
        <w:rPr>
          <w:rFonts w:hint="eastAsia" w:ascii="宋体" w:hAnsi="宋体" w:cs="仿宋"/>
          <w:sz w:val="24"/>
        </w:rPr>
        <w:t>采用线上进行的方式，供应商可</w:t>
      </w:r>
      <w:r>
        <w:rPr>
          <w:rFonts w:hint="eastAsia" w:ascii="宋体" w:hAnsi="宋体" w:cs="仿宋"/>
          <w:sz w:val="24"/>
          <w:lang w:eastAsia="zh-CN"/>
        </w:rPr>
        <w:t>通过</w:t>
      </w:r>
      <w:r>
        <w:rPr>
          <w:rFonts w:hint="eastAsia" w:ascii="宋体" w:hAnsi="宋体" w:cs="仿宋"/>
          <w:sz w:val="24"/>
          <w:lang w:val="en-US" w:eastAsia="zh-CN"/>
        </w:rPr>
        <w:t>杭州临江环境能源有限公司供应链管理系统平台（https://www.ljhjgylpt.com:9280）</w:t>
      </w:r>
      <w:r>
        <w:rPr>
          <w:rFonts w:hint="eastAsia" w:ascii="宋体" w:hAnsi="宋体" w:cs="仿宋"/>
          <w:sz w:val="24"/>
        </w:rPr>
        <w:t>参与现场</w:t>
      </w:r>
      <w:r>
        <w:rPr>
          <w:rFonts w:hint="eastAsia" w:ascii="宋体" w:hAnsi="宋体" w:cs="仿宋"/>
          <w:sz w:val="24"/>
          <w:lang w:eastAsia="zh-CN"/>
        </w:rPr>
        <w:t>开启</w:t>
      </w:r>
      <w:r>
        <w:rPr>
          <w:rFonts w:hint="eastAsia" w:ascii="宋体" w:hAnsi="宋体" w:cs="仿宋"/>
          <w:sz w:val="24"/>
        </w:rPr>
        <w:t>，请各供应商及时关注进入会场。</w:t>
      </w:r>
    </w:p>
    <w:p>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2.开启过程：</w:t>
      </w:r>
    </w:p>
    <w:p>
      <w:pPr>
        <w:spacing w:line="360" w:lineRule="auto"/>
        <w:ind w:firstLine="480" w:firstLineChars="200"/>
        <w:rPr>
          <w:rFonts w:hint="eastAsia" w:ascii="宋体" w:hAnsi="宋体" w:cs="仿宋"/>
          <w:bCs/>
          <w:color w:val="auto"/>
          <w:kern w:val="2"/>
          <w:sz w:val="24"/>
          <w:szCs w:val="24"/>
          <w:lang w:val="en-US" w:eastAsia="zh-CN" w:bidi="ar-SA"/>
        </w:rPr>
      </w:pPr>
      <w:r>
        <w:rPr>
          <w:rFonts w:hint="eastAsia" w:ascii="宋体" w:hAnsi="宋体" w:cs="仿宋"/>
          <w:color w:val="auto"/>
          <w:sz w:val="24"/>
        </w:rPr>
        <w:t>（</w:t>
      </w:r>
      <w:r>
        <w:rPr>
          <w:rFonts w:hint="eastAsia" w:ascii="宋体" w:hAnsi="宋体" w:cs="仿宋"/>
          <w:color w:val="auto"/>
          <w:sz w:val="24"/>
          <w:lang w:val="en-US" w:eastAsia="zh-CN"/>
        </w:rPr>
        <w:t>1</w:t>
      </w:r>
      <w:r>
        <w:rPr>
          <w:rFonts w:hint="eastAsia" w:ascii="宋体" w:hAnsi="宋体" w:cs="仿宋"/>
          <w:color w:val="auto"/>
          <w:sz w:val="24"/>
        </w:rPr>
        <w:t>）</w:t>
      </w:r>
      <w:r>
        <w:rPr>
          <w:rFonts w:hint="eastAsia" w:ascii="宋体" w:hAnsi="宋体" w:eastAsia="宋体" w:cs="仿宋"/>
          <w:bCs/>
          <w:color w:val="auto"/>
          <w:kern w:val="2"/>
          <w:sz w:val="24"/>
          <w:szCs w:val="24"/>
          <w:lang w:val="en-US" w:eastAsia="zh-CN" w:bidi="ar-SA"/>
        </w:rPr>
        <w:t>供应链管理系统平台在开启时准时</w:t>
      </w:r>
      <w:r>
        <w:rPr>
          <w:rFonts w:hint="eastAsia" w:ascii="宋体" w:hAnsi="宋体" w:cs="仿宋"/>
          <w:bCs/>
          <w:color w:val="auto"/>
          <w:kern w:val="2"/>
          <w:sz w:val="24"/>
          <w:szCs w:val="24"/>
          <w:lang w:val="en-US" w:eastAsia="zh-CN" w:bidi="ar-SA"/>
        </w:rPr>
        <w:t>自动解密各供应商报价。</w:t>
      </w:r>
    </w:p>
    <w:p>
      <w:pPr>
        <w:spacing w:line="360" w:lineRule="auto"/>
        <w:ind w:firstLine="480" w:firstLineChars="200"/>
        <w:rPr>
          <w:rFonts w:ascii="宋体" w:hAnsi="宋体" w:cs="仿宋"/>
          <w:sz w:val="24"/>
        </w:rPr>
      </w:pPr>
      <w:r>
        <w:rPr>
          <w:rFonts w:hint="eastAsia" w:ascii="宋体" w:hAnsi="宋体" w:cs="仿宋"/>
          <w:sz w:val="24"/>
        </w:rPr>
        <w:t>（</w:t>
      </w:r>
      <w:r>
        <w:rPr>
          <w:rFonts w:hint="eastAsia" w:ascii="宋体" w:hAnsi="宋体" w:cs="仿宋"/>
          <w:sz w:val="24"/>
          <w:lang w:val="en-US" w:eastAsia="zh-CN"/>
        </w:rPr>
        <w:t>2</w:t>
      </w:r>
      <w:r>
        <w:rPr>
          <w:rFonts w:hint="eastAsia" w:ascii="宋体" w:hAnsi="宋体" w:cs="仿宋"/>
          <w:sz w:val="24"/>
        </w:rPr>
        <w:t>）</w:t>
      </w:r>
      <w:r>
        <w:rPr>
          <w:rFonts w:hint="eastAsia" w:ascii="宋体" w:hAnsi="宋体" w:cs="仿宋"/>
          <w:sz w:val="24"/>
          <w:lang w:eastAsia="zh-CN"/>
        </w:rPr>
        <w:t>开启</w:t>
      </w:r>
      <w:r>
        <w:rPr>
          <w:rFonts w:hint="eastAsia" w:ascii="宋体" w:hAnsi="宋体" w:cs="仿宋"/>
          <w:sz w:val="24"/>
        </w:rPr>
        <w:t>期间供应商因未参加线上</w:t>
      </w:r>
      <w:r>
        <w:rPr>
          <w:rFonts w:hint="eastAsia" w:ascii="宋体" w:hAnsi="宋体" w:cs="仿宋"/>
          <w:sz w:val="24"/>
          <w:lang w:val="en-US" w:eastAsia="zh-CN"/>
        </w:rPr>
        <w:t>会议</w:t>
      </w:r>
      <w:r>
        <w:rPr>
          <w:rFonts w:hint="eastAsia" w:ascii="宋体" w:hAnsi="宋体" w:cs="仿宋"/>
          <w:sz w:val="24"/>
        </w:rPr>
        <w:t>，视为认可全过程和结果，不得提出异议。</w:t>
      </w:r>
    </w:p>
    <w:p>
      <w:pPr>
        <w:spacing w:line="360" w:lineRule="auto"/>
        <w:ind w:firstLine="480" w:firstLineChars="200"/>
        <w:rPr>
          <w:color w:val="auto"/>
          <w:highlight w:val="none"/>
        </w:rPr>
      </w:pPr>
      <w:r>
        <w:rPr>
          <w:rFonts w:hint="eastAsia" w:ascii="宋体" w:hAnsi="宋体" w:cs="仿宋"/>
          <w:sz w:val="24"/>
        </w:rPr>
        <w:t>（</w:t>
      </w:r>
      <w:r>
        <w:rPr>
          <w:rFonts w:hint="eastAsia" w:ascii="宋体" w:hAnsi="宋体" w:cs="仿宋"/>
          <w:sz w:val="24"/>
          <w:lang w:val="en-US" w:eastAsia="zh-CN"/>
        </w:rPr>
        <w:t>3</w:t>
      </w:r>
      <w:r>
        <w:rPr>
          <w:rFonts w:hint="eastAsia" w:ascii="宋体" w:hAnsi="宋体" w:cs="仿宋"/>
          <w:sz w:val="24"/>
        </w:rPr>
        <w:t>）异议处理：供应商对</w:t>
      </w:r>
      <w:r>
        <w:rPr>
          <w:rFonts w:hint="eastAsia" w:ascii="宋体" w:hAnsi="宋体" w:cs="仿宋"/>
          <w:sz w:val="24"/>
          <w:lang w:eastAsia="zh-CN"/>
        </w:rPr>
        <w:t>开启</w:t>
      </w:r>
      <w:r>
        <w:rPr>
          <w:rFonts w:hint="eastAsia" w:ascii="宋体" w:hAnsi="宋体" w:cs="仿宋"/>
          <w:sz w:val="24"/>
        </w:rPr>
        <w:t>过程有异议的，应</w:t>
      </w:r>
      <w:r>
        <w:rPr>
          <w:rFonts w:hint="eastAsia" w:ascii="宋体" w:hAnsi="宋体" w:cs="仿宋"/>
          <w:sz w:val="24"/>
          <w:lang w:val="en-US" w:eastAsia="zh-CN"/>
        </w:rPr>
        <w:t>通过供应链管理系统平台（https://www.ljhjgylpt.com:9280）</w:t>
      </w:r>
      <w:r>
        <w:rPr>
          <w:rFonts w:hint="eastAsia" w:ascii="宋体" w:hAnsi="宋体" w:cs="仿宋"/>
          <w:sz w:val="24"/>
        </w:rPr>
        <w:t>提出，采购人应予以答复，并做好记录。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ind w:firstLine="480" w:firstLineChars="200"/>
        <w:rPr>
          <w:rFonts w:hint="eastAsia" w:ascii="宋体" w:hAnsi="宋体" w:cs="仿宋"/>
          <w:sz w:val="24"/>
        </w:rPr>
      </w:pPr>
      <w:r>
        <w:rPr>
          <w:rFonts w:hint="eastAsia" w:ascii="宋体" w:hAnsi="宋体" w:cs="仿宋"/>
          <w:sz w:val="24"/>
        </w:rPr>
        <w:t>供应商如认为本询价采购文件使自身的合法权益受到损害的，应于自公告之日起2日内，</w:t>
      </w:r>
      <w:r>
        <w:rPr>
          <w:rFonts w:hint="eastAsia" w:ascii="宋体" w:hAnsi="宋体" w:cs="仿宋"/>
          <w:sz w:val="24"/>
          <w:lang w:val="en-US" w:eastAsia="zh-CN"/>
        </w:rPr>
        <w:t>在供应链管理系统平台（https://www.ljhjgylpt.com:9280）中</w:t>
      </w:r>
      <w:r>
        <w:rPr>
          <w:rFonts w:hint="eastAsia" w:ascii="宋体" w:hAnsi="宋体" w:cs="仿宋"/>
          <w:sz w:val="24"/>
        </w:rPr>
        <w:t>以书面形式提出质疑，同时联系本项目采购</w:t>
      </w:r>
      <w:r>
        <w:rPr>
          <w:rFonts w:hint="eastAsia" w:ascii="宋体" w:hAnsi="宋体" w:cs="仿宋"/>
          <w:snapToGrid w:val="0"/>
          <w:kern w:val="0"/>
          <w:sz w:val="24"/>
        </w:rPr>
        <w:t>工作人</w:t>
      </w:r>
      <w:r>
        <w:rPr>
          <w:rFonts w:hint="eastAsia" w:ascii="宋体" w:hAnsi="宋体" w:cs="仿宋"/>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九、监督部门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2026年3月24</w:t>
      </w:r>
      <w:r>
        <w:rPr>
          <w:rFonts w:hint="eastAsia" w:cs="仿宋" w:asciiTheme="minorEastAsia" w:hAnsiTheme="minorEastAsia"/>
          <w:color w:val="auto"/>
          <w:sz w:val="24"/>
        </w:rPr>
        <w:t>日</w:t>
      </w:r>
    </w:p>
    <w:bookmarkEnd w:id="404"/>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hint="eastAsia" w:cs="仿宋" w:asciiTheme="minorEastAsia" w:hAnsiTheme="minorEastAsia"/>
          <w:b/>
          <w:bCs/>
          <w:sz w:val="32"/>
          <w:szCs w:val="32"/>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w:t>
                </w:r>
                <w:r>
                  <w:rPr>
                    <w:rFonts w:hint="eastAsia" w:ascii="宋体" w:hAnsi="宋体" w:eastAsia="宋体" w:cs="宋体"/>
                    <w:color w:val="auto"/>
                    <w:szCs w:val="21"/>
                    <w:lang w:val="en-US" w:eastAsia="zh-CN"/>
                  </w:rPr>
                  <w:t>在线上传提交盖章版DPF格式报价文件</w:t>
                </w:r>
                <w:r>
                  <w:rPr>
                    <w:rFonts w:hint="eastAsia" w:ascii="宋体" w:hAnsi="宋体" w:eastAsia="宋体" w:cs="宋体"/>
                    <w:color w:val="auto"/>
                    <w:szCs w:val="21"/>
                    <w:lang w:eastAsia="zh-CN"/>
                  </w:rPr>
                  <w:t xml:space="preserve">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w:t>
                </w:r>
                <w:r>
                  <w:rPr>
                    <w:rFonts w:hint="eastAsia" w:ascii="宋体" w:hAnsi="宋体" w:eastAsia="宋体" w:cs="宋体"/>
                    <w:b/>
                    <w:bCs/>
                    <w:color w:val="auto"/>
                    <w:szCs w:val="21"/>
                    <w:lang w:val="en-US" w:eastAsia="zh-CN"/>
                  </w:rPr>
                  <w:t>原件</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kern w:val="0"/>
                <w:szCs w:val="21"/>
                <w:lang w:val="en-US" w:eastAsia="zh-CN"/>
              </w:rPr>
              <w:t>电子</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w:t>
            </w:r>
            <w:r>
              <w:rPr>
                <w:rFonts w:hint="eastAsia" w:ascii="宋体" w:hAnsi="宋体" w:eastAsia="宋体" w:cs="宋体"/>
                <w:b/>
                <w:bCs/>
                <w:color w:val="auto"/>
                <w:szCs w:val="21"/>
                <w:lang w:val="en-US" w:eastAsia="zh-CN"/>
              </w:rPr>
              <w:t>PDF</w:t>
            </w:r>
            <w:r>
              <w:rPr>
                <w:rFonts w:hint="eastAsia" w:ascii="宋体" w:hAnsi="宋体" w:eastAsia="宋体" w:cs="宋体"/>
                <w:b/>
                <w:bCs/>
                <w:color w:val="auto"/>
                <w:szCs w:val="21"/>
              </w:rPr>
              <w:t>报价函与</w:t>
            </w:r>
            <w:r>
              <w:rPr>
                <w:rFonts w:hint="eastAsia" w:ascii="宋体" w:hAnsi="宋体" w:eastAsia="宋体" w:cs="宋体"/>
                <w:b/>
                <w:bCs/>
                <w:color w:val="auto"/>
                <w:szCs w:val="21"/>
                <w:lang w:val="en-US" w:eastAsia="zh-CN"/>
              </w:rPr>
              <w:t>电子</w:t>
            </w:r>
            <w:r>
              <w:rPr>
                <w:rFonts w:hint="eastAsia" w:ascii="宋体" w:hAnsi="宋体" w:eastAsia="宋体" w:cs="宋体"/>
                <w:b/>
                <w:bCs/>
                <w:color w:val="auto"/>
                <w:szCs w:val="21"/>
              </w:rPr>
              <w:t>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en-US" w:eastAsia="zh-CN"/>
              </w:rPr>
              <w:t>电子</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2"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4"/>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rPr>
              <w:t>履</w:t>
            </w:r>
            <w:r>
              <w:rPr>
                <w:rFonts w:hint="eastAsia" w:ascii="宋体" w:hAnsi="宋体" w:cs="宋体"/>
                <w:color w:val="auto"/>
                <w:highlight w:val="none"/>
              </w:rPr>
              <w:t>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4"/>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rFonts w:hint="eastAsia" w:eastAsia="宋体"/>
                <w:color w:val="auto"/>
                <w:lang w:val="en-US" w:eastAsia="zh-CN"/>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460" w:lineRule="exact"/>
        <w:ind w:firstLine="643" w:firstLineChars="200"/>
        <w:jc w:val="center"/>
        <w:rPr>
          <w:rFonts w:hint="eastAsia" w:cs="仿宋" w:asciiTheme="minorEastAsia" w:hAnsiTheme="minorEastAsia"/>
          <w:b/>
          <w:bCs/>
          <w:sz w:val="32"/>
          <w:szCs w:val="32"/>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16"/>
        <w:rPr>
          <w:rFonts w:cs="仿宋" w:asciiTheme="minorEastAsia" w:hAnsiTheme="minorEastAsia"/>
          <w:b/>
          <w:sz w:val="32"/>
          <w:szCs w:val="20"/>
        </w:rPr>
      </w:pPr>
    </w:p>
    <w:p>
      <w:pPr>
        <w:pStyle w:val="13"/>
        <w:rPr>
          <w:rFonts w:cs="仿宋" w:asciiTheme="minorEastAsia" w:hAnsiTheme="minorEastAsia"/>
          <w:b/>
          <w:sz w:val="32"/>
          <w:szCs w:val="20"/>
        </w:rPr>
      </w:pPr>
    </w:p>
    <w:p/>
    <w:p>
      <w:pPr>
        <w:pStyle w:val="15"/>
      </w:pPr>
    </w:p>
    <w:p/>
    <w:p>
      <w:pPr>
        <w:pStyle w:val="15"/>
      </w:pPr>
    </w:p>
    <w:p/>
    <w:p>
      <w:pPr>
        <w:pStyle w:val="15"/>
      </w:pPr>
    </w:p>
    <w:p/>
    <w:p>
      <w:pPr>
        <w:pStyle w:val="13"/>
        <w:rPr>
          <w:rFonts w:cs="仿宋" w:asciiTheme="minorEastAsia" w:hAnsiTheme="minorEastAsia"/>
          <w:b/>
          <w:sz w:val="32"/>
          <w:szCs w:val="20"/>
        </w:rPr>
      </w:pPr>
    </w:p>
    <w:p>
      <w:pPr>
        <w:rPr>
          <w:rFonts w:cs="仿宋" w:asciiTheme="minorEastAsia" w:hAnsiTheme="minorEastAsia"/>
          <w:b/>
          <w:sz w:val="32"/>
          <w:szCs w:val="20"/>
        </w:rPr>
      </w:pPr>
    </w:p>
    <w:p>
      <w:pPr>
        <w:pStyle w:val="15"/>
        <w:rPr>
          <w:rFonts w:cs="仿宋" w:asciiTheme="minorEastAsia" w:hAnsiTheme="minorEastAsia"/>
          <w:b/>
          <w:sz w:val="32"/>
          <w:szCs w:val="20"/>
        </w:rPr>
      </w:pPr>
    </w:p>
    <w:p/>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5"/>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5"/>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9.1.5未被列入信用中（”(www.creditchina.gov.cn)、中国政府采（网(www.ccgp.gov.cn)等官方网站列入严重失信、政府采购严重违法失信行为名单截图。</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5"/>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5"/>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5"/>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w:t>
      </w:r>
      <w:r>
        <w:rPr>
          <w:rFonts w:hint="eastAsia" w:cs="仿宋" w:asciiTheme="minorEastAsia" w:hAnsiTheme="minorEastAsia"/>
          <w:szCs w:val="24"/>
          <w:lang w:eastAsia="zh-CN"/>
        </w:rPr>
        <w:t>间之</w:t>
      </w:r>
      <w:r>
        <w:rPr>
          <w:rFonts w:hint="eastAsia" w:cs="仿宋" w:asciiTheme="minorEastAsia" w:hAnsiTheme="minorEastAsia"/>
          <w:szCs w:val="24"/>
        </w:rPr>
        <w:t>前未完成递交的，视为撤回响应文件。响应截止时间后递交的响应文件，采购人将拒收。</w:t>
      </w:r>
    </w:p>
    <w:p>
      <w:pPr>
        <w:pStyle w:val="25"/>
        <w:spacing w:before="0"/>
        <w:ind w:firstLine="480"/>
        <w:rPr>
          <w:rFonts w:cs="仿宋" w:asciiTheme="minorEastAsia" w:hAnsiTheme="minorEastAsia"/>
          <w:szCs w:val="24"/>
        </w:rPr>
      </w:pPr>
      <w:r>
        <w:rPr>
          <w:rFonts w:hint="eastAsia" w:cs="仿宋" w:asciiTheme="minorEastAsia" w:hAnsiTheme="minorEastAsia"/>
          <w:szCs w:val="24"/>
        </w:rPr>
        <w:t>12.2在响应截止时</w:t>
      </w:r>
      <w:r>
        <w:rPr>
          <w:rFonts w:hint="eastAsia" w:cs="仿宋" w:asciiTheme="minorEastAsia" w:hAnsiTheme="minorEastAsia"/>
          <w:szCs w:val="24"/>
          <w:lang w:eastAsia="zh-CN"/>
        </w:rPr>
        <w:t>间之</w:t>
      </w:r>
      <w:r>
        <w:rPr>
          <w:rFonts w:hint="eastAsia" w:cs="仿宋" w:asciiTheme="minorEastAsia" w:hAnsiTheme="minorEastAsia"/>
          <w:szCs w:val="24"/>
        </w:rPr>
        <w:t>前，除供应商补充、修改或者撤回响应文件外，任何单位和个人不得拆封开启响应文件。</w:t>
      </w:r>
    </w:p>
    <w:p>
      <w:pPr>
        <w:pStyle w:val="25"/>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5"/>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5"/>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5"/>
        <w:spacing w:before="0"/>
        <w:ind w:firstLine="0" w:firstLineChars="0"/>
        <w:jc w:val="center"/>
        <w:rPr>
          <w:rFonts w:cs="仿宋" w:asciiTheme="minorEastAsia" w:hAnsiTheme="minorEastAsia"/>
          <w:b/>
          <w:sz w:val="32"/>
        </w:rPr>
      </w:pPr>
    </w:p>
    <w:p>
      <w:pPr>
        <w:pStyle w:val="25"/>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6"/>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6"/>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6"/>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5"/>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等官方网站列入严重失信、政府采购严重违法失信行为名单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5"/>
        <w:spacing w:before="0"/>
        <w:ind w:firstLine="495" w:firstLineChars="0"/>
        <w:rPr>
          <w:rFonts w:cs="仿宋" w:asciiTheme="minorEastAsia" w:hAnsiTheme="minorEastAsia"/>
          <w:kern w:val="0"/>
          <w:szCs w:val="24"/>
        </w:rPr>
      </w:pPr>
    </w:p>
    <w:p>
      <w:pPr>
        <w:pStyle w:val="25"/>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5"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5"/>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5"/>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5"/>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5"/>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5"/>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5"/>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pPr>
        <w:pStyle w:val="1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8"/>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5"/>
    </w:p>
    <w:p>
      <w:pPr>
        <w:rPr>
          <w:rFonts w:cs="仿宋" w:asciiTheme="minorEastAsia" w:hAnsiTheme="minorEastAsia"/>
          <w:kern w:val="0"/>
          <w:sz w:val="24"/>
          <w:highlight w:val="none"/>
        </w:rPr>
      </w:pPr>
    </w:p>
    <w:p>
      <w:pPr>
        <w:pStyle w:val="7"/>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eastAsia="zh-CN"/>
        </w:rPr>
      </w:pPr>
      <w:r>
        <w:rPr>
          <w:rFonts w:hint="eastAsia"/>
          <w:lang w:val="en-US" w:eastAsia="zh-CN"/>
        </w:rPr>
        <w:t>1.采购项目简介：</w:t>
      </w:r>
    </w:p>
    <w:p>
      <w:pPr>
        <w:pStyle w:val="7"/>
        <w:ind w:firstLine="480" w:firstLineChars="200"/>
        <w:rPr>
          <w:rFonts w:hint="default"/>
          <w:lang w:val="en-US" w:eastAsia="zh-CN"/>
        </w:rPr>
      </w:pPr>
      <w:r>
        <w:rPr>
          <w:rFonts w:hint="default"/>
          <w:lang w:val="en-US" w:eastAsia="zh-CN"/>
        </w:rPr>
        <w:t>生活垃圾含有塑料等各种成分，在长时间的运行中，钢板篦子上的渗滤液排出孔易被堵塞，造成渗滤液无法排出，只能人工进入沟道间进行疏通，同时垃圾池渗滤液通道内含有酸性气体、甲烷、硫化氢等有毒有害和爆炸性气体等物质，渗</w:t>
      </w:r>
      <w:r>
        <w:rPr>
          <w:rFonts w:hint="eastAsia"/>
          <w:lang w:val="en-US" w:eastAsia="zh-CN"/>
        </w:rPr>
        <w:t>滤液</w:t>
      </w:r>
      <w:r>
        <w:rPr>
          <w:rFonts w:hint="default"/>
          <w:lang w:val="en-US" w:eastAsia="zh-CN"/>
        </w:rPr>
        <w:t>是一种特殊有机废水，水质复杂，带有强烈恶臭，能使人产生恶心、头晕等症状。人工疏通渗滤液水箅子的方法不仅对疏通人员的安全和健康构成巨大的威胁，而且存在极大的安全风险，效率低下。为有效解决垃圾池渗滤液水箅子安全</w:t>
      </w:r>
      <w:r>
        <w:rPr>
          <w:rFonts w:hint="eastAsia"/>
          <w:lang w:val="en-US" w:eastAsia="zh-CN"/>
        </w:rPr>
        <w:t>高效地</w:t>
      </w:r>
      <w:r>
        <w:rPr>
          <w:rFonts w:hint="default"/>
          <w:lang w:val="en-US" w:eastAsia="zh-CN"/>
        </w:rPr>
        <w:t>排出问题，提高吨发经济效益，杜绝人工作业风险，现拟采用一种新型液压疏通装置实现对水箅子的自动疏通。</w:t>
      </w:r>
    </w:p>
    <w:p>
      <w:pPr>
        <w:pStyle w:val="7"/>
        <w:numPr>
          <w:ilvl w:val="0"/>
          <w:numId w:val="2"/>
        </w:numPr>
        <w:ind w:firstLine="480" w:firstLineChars="200"/>
        <w:rPr>
          <w:rFonts w:hint="eastAsia"/>
          <w:lang w:val="en-US"/>
        </w:rPr>
      </w:pPr>
      <w:r>
        <w:rPr>
          <w:rFonts w:hint="eastAsia"/>
          <w:lang w:val="en-US" w:eastAsia="zh-CN"/>
        </w:rPr>
        <w:t>采购内容及清单</w:t>
      </w:r>
      <w:r>
        <w:rPr>
          <w:rFonts w:hint="eastAsia"/>
          <w:lang w:val="en-US"/>
        </w:rPr>
        <w:t>：</w:t>
      </w:r>
    </w:p>
    <w:p>
      <w:pPr>
        <w:pStyle w:val="7"/>
        <w:numPr>
          <w:ilvl w:val="0"/>
          <w:numId w:val="0"/>
        </w:numPr>
        <w:ind w:firstLine="480" w:firstLineChars="200"/>
        <w:rPr>
          <w:rFonts w:hint="default" w:ascii="宋体" w:hAnsi="宋体" w:eastAsia="宋体" w:cs="宋体"/>
          <w:b/>
          <w:bCs/>
          <w:color w:val="auto"/>
          <w:spacing w:val="-5"/>
          <w:sz w:val="21"/>
          <w:szCs w:val="21"/>
          <w:lang w:val="en-US" w:eastAsia="zh-CN"/>
        </w:rPr>
      </w:pPr>
      <w:r>
        <w:rPr>
          <w:rFonts w:hint="eastAsia"/>
          <w:lang w:val="en-US" w:eastAsia="zh-CN"/>
        </w:rPr>
        <w:t>采购</w:t>
      </w:r>
      <w:r>
        <w:rPr>
          <w:rFonts w:hint="default"/>
          <w:lang w:val="en-US" w:eastAsia="zh-CN"/>
        </w:rPr>
        <w:t>新型液压疏通装置</w:t>
      </w:r>
      <w:r>
        <w:rPr>
          <w:rFonts w:hint="eastAsia"/>
          <w:lang w:val="en-US" w:eastAsia="zh-CN"/>
        </w:rPr>
        <w:t>一套，包括垃圾仓水箅子自动疏通系统的现场设计（包括</w:t>
      </w:r>
      <w:r>
        <w:rPr>
          <w:rFonts w:hint="eastAsia" w:ascii="宋体"/>
          <w:lang w:val="en-US" w:eastAsia="zh-CN"/>
        </w:rPr>
        <w:t>自动疏通装置的安装工艺系统及管路设计、系统布置方案设计、疏通系统机械及电气、仪控系统、液压动力系统、气控</w:t>
      </w:r>
      <w:r>
        <w:rPr>
          <w:rFonts w:hint="eastAsia"/>
          <w:lang w:val="en-US" w:eastAsia="zh-CN"/>
        </w:rPr>
        <w:t>系统及基础设计）、自动液压疏通系统的机械装置（系统运行及维护所必需的钢结构、支撑机架、平台等）、渗滤液疏通装置（所有管道、阀门及安装附件等），</w:t>
      </w:r>
      <w:r>
        <w:rPr>
          <w:rFonts w:hint="default"/>
          <w:lang w:val="en-US" w:eastAsia="zh-CN"/>
        </w:rPr>
        <w:t>新型液压疏通装置</w:t>
      </w:r>
      <w:r>
        <w:rPr>
          <w:rFonts w:hint="eastAsia"/>
          <w:lang w:val="en-US" w:eastAsia="zh-CN"/>
        </w:rPr>
        <w:t>供货范围如下（供参考，具体以供应商实际供货为准）：</w:t>
      </w:r>
    </w:p>
    <w:tbl>
      <w:tblPr>
        <w:tblStyle w:val="18"/>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21"/>
        <w:gridCol w:w="3122"/>
        <w:gridCol w:w="859"/>
        <w:gridCol w:w="804"/>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序号</w:t>
            </w:r>
          </w:p>
        </w:tc>
        <w:tc>
          <w:tcPr>
            <w:tcW w:w="2521" w:type="dxa"/>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设备或系统名称</w:t>
            </w:r>
          </w:p>
        </w:tc>
        <w:tc>
          <w:tcPr>
            <w:tcW w:w="3122" w:type="dxa"/>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型号规格参数</w:t>
            </w:r>
          </w:p>
        </w:tc>
        <w:tc>
          <w:tcPr>
            <w:tcW w:w="859" w:type="dxa"/>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单位</w:t>
            </w:r>
          </w:p>
        </w:tc>
        <w:tc>
          <w:tcPr>
            <w:tcW w:w="804" w:type="dxa"/>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数量</w:t>
            </w:r>
          </w:p>
        </w:tc>
        <w:tc>
          <w:tcPr>
            <w:tcW w:w="1185" w:type="dxa"/>
          </w:tcPr>
          <w:p>
            <w:pPr>
              <w:pageBreakBefore w:val="0"/>
              <w:kinsoku/>
              <w:wordWrap/>
              <w:overflowPunct/>
              <w:topLinePunct w:val="0"/>
              <w:bidi w:val="0"/>
              <w:spacing w:line="240" w:lineRule="auto"/>
              <w:jc w:val="center"/>
              <w:rPr>
                <w:rFonts w:hint="default"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疏通装置安装架</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12MnCuCr耐候钢</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85" w:type="dxa"/>
            <w:vMerge w:val="restart"/>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仿宋" w:asciiTheme="minorEastAsia" w:hAnsiTheme="minorEastAsia"/>
                <w:b/>
                <w:bCs/>
                <w:snapToGrid w:val="0"/>
                <w:kern w:val="0"/>
                <w:sz w:val="18"/>
                <w:szCs w:val="18"/>
                <w:u w:val="single"/>
                <w:lang w:val="en-US" w:eastAsia="zh-CN" w:bidi="ar-SA"/>
              </w:rPr>
              <w:t>尼龙扎带、穿线管、螺栓、U型环等辅助材料、支架、密封材料、安装工器具均由供应商提供，采购人不额外支付费用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疏通装置</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12MnCuCr耐候钢</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通柱</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φ48mm 约12个/套</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液压缸</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316L不锈钢活塞杆</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螺杆螺母及垫板</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316L不锈钢材质</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6</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液压站</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防爆电机7.5kW/16MPa</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7</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疏通控制阀组</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316L不锈钢阀芯</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组</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8</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气液控制阀组</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QYK-04</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组</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9</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高压油管</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软管（钢网防护）Φ22主管</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米</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10</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高压油管</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软管（钢网防护）Φ22油缸用</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11</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气管</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软管Φ8</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100</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12</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PLC控制柜</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防护等级IP54 1800mm*800mm*600mm</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13</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触摸屏</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10寸</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14</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动力电缆</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防腐阻燃</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200</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15</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数字量输入/输出模块</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组</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16</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模拟量输入/输出模块</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组</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17</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其他电气一二次元器件</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防护等级IP54</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批</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18</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通讯线</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DP线</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100</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19</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球形防爆摄像头</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不低于200万像素防爆摄像头  DS-2XE8627FED</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20</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光电转换器</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TL-MC111</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21</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五口交换机</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TL-SG2206</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22</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光纤</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150</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default"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23</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电缆桥架</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8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w:t>
            </w:r>
          </w:p>
        </w:tc>
        <w:tc>
          <w:tcPr>
            <w:tcW w:w="1185"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b/>
          <w:bCs/>
          <w:snapToGrid w:val="0"/>
          <w:kern w:val="0"/>
          <w:sz w:val="24"/>
          <w:szCs w:val="21"/>
          <w:lang w:val="en-US" w:eastAsia="zh-CN" w:bidi="ar-SA"/>
        </w:rPr>
        <w:t>：</w:t>
      </w:r>
      <w:r>
        <w:rPr>
          <w:rFonts w:hint="eastAsia" w:cs="仿宋" w:asciiTheme="minorEastAsia" w:hAnsiTheme="minorEastAsia"/>
          <w:sz w:val="24"/>
          <w:u w:val="single"/>
          <w:lang w:val="en-US" w:eastAsia="zh-CN"/>
        </w:rPr>
        <w:t>在</w:t>
      </w:r>
      <w:bookmarkStart w:id="16" w:name="OLE_LINK1"/>
      <w:r>
        <w:rPr>
          <w:rFonts w:hint="eastAsia" w:cs="仿宋" w:asciiTheme="minorEastAsia" w:hAnsiTheme="minorEastAsia"/>
          <w:sz w:val="24"/>
          <w:u w:val="single"/>
          <w:lang w:val="en-US" w:eastAsia="zh-CN"/>
        </w:rPr>
        <w:t>采购人</w:t>
      </w:r>
      <w:r>
        <w:rPr>
          <w:rFonts w:hint="eastAsia" w:cs="仿宋" w:asciiTheme="minorEastAsia" w:hAnsiTheme="minorEastAsia"/>
          <w:sz w:val="24"/>
          <w:u w:val="single"/>
        </w:rPr>
        <w:t>订单下达后</w:t>
      </w:r>
      <w:r>
        <w:rPr>
          <w:rFonts w:hint="eastAsia" w:cs="仿宋" w:asciiTheme="minorEastAsia" w:hAnsiTheme="minorEastAsia"/>
          <w:sz w:val="24"/>
          <w:u w:val="single"/>
          <w:lang w:val="en-US" w:eastAsia="zh-CN"/>
        </w:rPr>
        <w:t>45天</w:t>
      </w:r>
      <w:r>
        <w:rPr>
          <w:rFonts w:hint="eastAsia" w:cs="仿宋" w:asciiTheme="minorEastAsia" w:hAnsiTheme="minorEastAsia"/>
          <w:sz w:val="24"/>
          <w:u w:val="single"/>
        </w:rPr>
        <w:t>内完成供货</w:t>
      </w:r>
      <w:r>
        <w:rPr>
          <w:rFonts w:hint="eastAsia" w:cs="仿宋" w:asciiTheme="minorEastAsia" w:hAnsiTheme="minorEastAsia"/>
          <w:sz w:val="24"/>
          <w:u w:val="single"/>
          <w:lang w:eastAsia="zh-CN"/>
        </w:rPr>
        <w:t>，</w:t>
      </w:r>
      <w:r>
        <w:rPr>
          <w:rFonts w:hint="eastAsia" w:cs="仿宋" w:asciiTheme="minorEastAsia" w:hAnsiTheme="minorEastAsia"/>
          <w:sz w:val="24"/>
          <w:u w:val="single"/>
          <w:lang w:val="en-US" w:eastAsia="zh-CN"/>
        </w:rPr>
        <w:t>在收到采购人通知后15天内安装和调试</w:t>
      </w:r>
      <w:r>
        <w:rPr>
          <w:rFonts w:hint="eastAsia" w:cs="仿宋" w:asciiTheme="minorEastAsia" w:hAnsiTheme="minorEastAsia"/>
          <w:color w:val="auto"/>
          <w:sz w:val="24"/>
          <w:u w:val="single"/>
        </w:rPr>
        <w:t>。</w:t>
      </w:r>
      <w:bookmarkEnd w:id="16"/>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s="仿宋" w:asciiTheme="minorEastAsia" w:hAnsiTheme="minorEastAsia" w:eastAsiaTheme="minorEastAsia"/>
          <w:snapToGrid/>
          <w:kern w:val="2"/>
          <w:sz w:val="24"/>
          <w:szCs w:val="24"/>
          <w:u w:val="single"/>
          <w:lang w:val="en-US" w:eastAsia="zh-CN" w:bidi="ar-SA"/>
        </w:rPr>
        <w:t>一次性完成供货、安装及调试</w:t>
      </w:r>
      <w:r>
        <w:rPr>
          <w:rFonts w:hint="eastAsia" w:cs="仿宋" w:asciiTheme="minorEastAsia" w:hAnsiTheme="minorEastAsia"/>
          <w:snapToGrid/>
          <w:kern w:val="2"/>
          <w:sz w:val="24"/>
          <w:szCs w:val="24"/>
          <w:u w:val="single"/>
          <w:lang w:val="en-US" w:eastAsia="zh-CN" w:bidi="ar-SA"/>
        </w:rPr>
        <w:t>。</w:t>
      </w:r>
    </w:p>
    <w:p>
      <w:pPr>
        <w:pStyle w:val="7"/>
        <w:numPr>
          <w:ilvl w:val="0"/>
          <w:numId w:val="3"/>
        </w:numPr>
        <w:ind w:firstLine="482" w:firstLineChars="200"/>
        <w:rPr>
          <w:rFonts w:hint="eastAsia"/>
          <w:b/>
          <w:bCs/>
          <w:lang w:val="en-US" w:eastAsia="zh-CN"/>
        </w:rPr>
      </w:pPr>
      <w:r>
        <w:rPr>
          <w:rFonts w:hint="eastAsia"/>
          <w:b/>
          <w:bCs/>
          <w:lang w:val="en-US" w:eastAsia="zh-CN"/>
        </w:rPr>
        <w:t>设计、供货及安装调试界面</w:t>
      </w:r>
    </w:p>
    <w:p>
      <w:pPr>
        <w:pStyle w:val="7"/>
        <w:numPr>
          <w:ilvl w:val="0"/>
          <w:numId w:val="0"/>
        </w:numPr>
        <w:ind w:firstLine="480" w:firstLineChars="200"/>
        <w:rPr>
          <w:rFonts w:hint="eastAsia" w:ascii="宋体" w:hAnsi="宋体" w:cs="宋体" w:eastAsiaTheme="minorEastAsia"/>
          <w:snapToGrid/>
          <w:color w:val="auto"/>
          <w:kern w:val="2"/>
          <w:sz w:val="24"/>
          <w:szCs w:val="24"/>
          <w:lang w:val="en-US" w:eastAsia="zh-CN" w:bidi="ar-SA"/>
        </w:rPr>
      </w:pPr>
      <w:r>
        <w:rPr>
          <w:rFonts w:hint="eastAsia" w:ascii="宋体" w:hAnsi="宋体" w:cs="宋体" w:eastAsiaTheme="minorEastAsia"/>
          <w:snapToGrid/>
          <w:color w:val="auto"/>
          <w:kern w:val="2"/>
          <w:sz w:val="24"/>
          <w:szCs w:val="24"/>
          <w:lang w:val="en-US" w:eastAsia="zh-CN" w:bidi="ar-SA"/>
        </w:rPr>
        <w:t>1.</w:t>
      </w:r>
      <w:r>
        <w:rPr>
          <w:rFonts w:hint="default" w:ascii="宋体" w:hAnsi="宋体" w:cs="宋体" w:eastAsiaTheme="minorEastAsia"/>
          <w:snapToGrid/>
          <w:color w:val="auto"/>
          <w:kern w:val="2"/>
          <w:sz w:val="24"/>
          <w:szCs w:val="24"/>
          <w:lang w:val="en-US" w:eastAsia="zh-CN" w:bidi="ar-SA"/>
        </w:rPr>
        <w:t>垃圾仓水箅子自动疏通系统装置的疏通执行机构、动力输出机构、滑枕支撑架、疏通模块</w:t>
      </w:r>
      <w:r>
        <w:rPr>
          <w:rFonts w:hint="eastAsia" w:hAnsi="宋体" w:cs="宋体"/>
          <w:snapToGrid/>
          <w:color w:val="auto"/>
          <w:kern w:val="2"/>
          <w:sz w:val="24"/>
          <w:szCs w:val="24"/>
          <w:lang w:val="en-US" w:eastAsia="zh-CN" w:bidi="ar-SA"/>
        </w:rPr>
        <w:t>、</w:t>
      </w:r>
      <w:r>
        <w:rPr>
          <w:rFonts w:hint="eastAsia" w:ascii="宋体" w:hAnsi="宋体" w:cs="宋体" w:eastAsiaTheme="minorEastAsia"/>
          <w:snapToGrid/>
          <w:color w:val="auto"/>
          <w:kern w:val="2"/>
          <w:sz w:val="24"/>
          <w:szCs w:val="24"/>
          <w:lang w:val="en-US" w:eastAsia="zh-CN" w:bidi="ar-SA"/>
        </w:rPr>
        <w:t>视频监控系统</w:t>
      </w:r>
      <w:r>
        <w:rPr>
          <w:rFonts w:hint="default" w:ascii="宋体" w:hAnsi="宋体" w:cs="宋体" w:eastAsiaTheme="minorEastAsia"/>
          <w:snapToGrid/>
          <w:color w:val="auto"/>
          <w:kern w:val="2"/>
          <w:sz w:val="24"/>
          <w:szCs w:val="24"/>
          <w:lang w:val="en-US" w:eastAsia="zh-CN" w:bidi="ar-SA"/>
        </w:rPr>
        <w:t>等</w:t>
      </w:r>
      <w:r>
        <w:rPr>
          <w:rFonts w:hint="eastAsia" w:hAnsi="宋体" w:cs="宋体"/>
          <w:snapToGrid/>
          <w:color w:val="auto"/>
          <w:kern w:val="2"/>
          <w:sz w:val="24"/>
          <w:szCs w:val="24"/>
          <w:lang w:val="en-US" w:eastAsia="zh-CN" w:bidi="ar-SA"/>
        </w:rPr>
        <w:t>本装置所需所有组成部分均</w:t>
      </w:r>
      <w:r>
        <w:rPr>
          <w:rFonts w:hint="default" w:ascii="宋体" w:hAnsi="宋体" w:cs="宋体" w:eastAsiaTheme="minorEastAsia"/>
          <w:snapToGrid/>
          <w:color w:val="auto"/>
          <w:kern w:val="2"/>
          <w:sz w:val="24"/>
          <w:szCs w:val="24"/>
          <w:lang w:val="en-US" w:eastAsia="zh-CN" w:bidi="ar-SA"/>
        </w:rPr>
        <w:t>由</w:t>
      </w:r>
      <w:r>
        <w:rPr>
          <w:rFonts w:hint="eastAsia" w:ascii="宋体" w:hAnsi="宋体" w:cs="宋体"/>
          <w:snapToGrid/>
          <w:color w:val="auto"/>
          <w:kern w:val="2"/>
          <w:sz w:val="24"/>
          <w:szCs w:val="24"/>
          <w:lang w:val="en-US" w:eastAsia="zh-CN" w:bidi="ar-SA"/>
        </w:rPr>
        <w:t>供应商负责</w:t>
      </w:r>
      <w:r>
        <w:rPr>
          <w:rFonts w:hint="default" w:ascii="宋体" w:hAnsi="宋体" w:cs="宋体" w:eastAsiaTheme="minorEastAsia"/>
          <w:snapToGrid/>
          <w:color w:val="auto"/>
          <w:kern w:val="2"/>
          <w:sz w:val="24"/>
          <w:szCs w:val="24"/>
          <w:lang w:val="en-US" w:eastAsia="zh-CN" w:bidi="ar-SA"/>
        </w:rPr>
        <w:t>设计、供货、安装</w:t>
      </w:r>
      <w:r>
        <w:rPr>
          <w:rFonts w:hint="eastAsia" w:ascii="宋体" w:hAnsi="宋体" w:cs="宋体" w:eastAsiaTheme="minorEastAsia"/>
          <w:snapToGrid/>
          <w:color w:val="auto"/>
          <w:kern w:val="2"/>
          <w:sz w:val="24"/>
          <w:szCs w:val="24"/>
          <w:lang w:val="en-US" w:eastAsia="zh-CN" w:bidi="ar-SA"/>
        </w:rPr>
        <w:t>、调试等工作。</w:t>
      </w:r>
    </w:p>
    <w:p>
      <w:pPr>
        <w:pStyle w:val="7"/>
        <w:numPr>
          <w:ilvl w:val="0"/>
          <w:numId w:val="0"/>
        </w:numPr>
        <w:ind w:firstLine="480" w:firstLineChars="200"/>
        <w:rPr>
          <w:rFonts w:hint="default" w:ascii="宋体" w:hAnsi="宋体" w:cs="宋体" w:eastAsiaTheme="minorEastAsia"/>
          <w:snapToGrid/>
          <w:color w:val="auto"/>
          <w:kern w:val="2"/>
          <w:sz w:val="24"/>
          <w:szCs w:val="24"/>
          <w:lang w:val="en-US" w:eastAsia="zh-CN" w:bidi="ar-SA"/>
        </w:rPr>
      </w:pPr>
      <w:r>
        <w:rPr>
          <w:rFonts w:hint="default" w:ascii="宋体" w:hAnsi="宋体" w:cs="宋体" w:eastAsiaTheme="minorEastAsia"/>
          <w:snapToGrid/>
          <w:color w:val="auto"/>
          <w:kern w:val="2"/>
          <w:sz w:val="24"/>
          <w:szCs w:val="24"/>
          <w:lang w:val="en-US" w:eastAsia="zh-CN" w:bidi="ar-SA"/>
        </w:rPr>
        <w:t>2.</w:t>
      </w:r>
      <w:r>
        <w:rPr>
          <w:rFonts w:hint="eastAsia" w:ascii="宋体" w:hAnsi="宋体" w:cs="宋体"/>
          <w:snapToGrid/>
          <w:color w:val="auto"/>
          <w:kern w:val="2"/>
          <w:sz w:val="24"/>
          <w:szCs w:val="24"/>
          <w:lang w:val="en-US" w:eastAsia="zh-CN" w:bidi="ar-SA"/>
        </w:rPr>
        <w:t>本项目安装和调试期间的正式用电接入点由采购人指定，动力电缆长度约200米</w:t>
      </w:r>
      <w:r>
        <w:rPr>
          <w:rFonts w:hint="eastAsia" w:hAnsi="宋体" w:cs="宋体"/>
          <w:snapToGrid/>
          <w:color w:val="auto"/>
          <w:kern w:val="2"/>
          <w:sz w:val="24"/>
          <w:szCs w:val="24"/>
          <w:lang w:val="en-US" w:eastAsia="zh-CN" w:bidi="ar-SA"/>
        </w:rPr>
        <w:t>（</w:t>
      </w:r>
      <w:r>
        <w:rPr>
          <w:rFonts w:hint="eastAsia" w:ascii="宋体" w:hAnsi="宋体" w:cs="宋体"/>
          <w:snapToGrid/>
          <w:color w:val="auto"/>
          <w:kern w:val="2"/>
          <w:sz w:val="24"/>
          <w:szCs w:val="24"/>
          <w:lang w:val="en-US" w:eastAsia="zh-CN" w:bidi="ar-SA"/>
        </w:rPr>
        <w:t>以现场实际情况为准</w:t>
      </w:r>
      <w:r>
        <w:rPr>
          <w:rFonts w:hint="eastAsia" w:hAnsi="宋体" w:cs="宋体"/>
          <w:snapToGrid/>
          <w:color w:val="auto"/>
          <w:kern w:val="2"/>
          <w:sz w:val="24"/>
          <w:szCs w:val="24"/>
          <w:lang w:val="en-US" w:eastAsia="zh-CN" w:bidi="ar-SA"/>
        </w:rPr>
        <w:t>）由供应商负责提供，含在本次采购范围内</w:t>
      </w:r>
      <w:r>
        <w:rPr>
          <w:rFonts w:hint="eastAsia" w:ascii="宋体" w:hAnsi="宋体" w:cs="宋体"/>
          <w:snapToGrid/>
          <w:color w:val="auto"/>
          <w:kern w:val="2"/>
          <w:sz w:val="24"/>
          <w:szCs w:val="24"/>
          <w:lang w:val="en-US" w:eastAsia="zh-CN" w:bidi="ar-SA"/>
        </w:rPr>
        <w:t>。</w:t>
      </w:r>
    </w:p>
    <w:p>
      <w:pPr>
        <w:pStyle w:val="7"/>
        <w:numPr>
          <w:ilvl w:val="0"/>
          <w:numId w:val="0"/>
        </w:numPr>
        <w:ind w:firstLine="480" w:firstLineChars="200"/>
        <w:rPr>
          <w:rFonts w:hint="default" w:ascii="宋体" w:hAnsi="宋体" w:cs="宋体" w:eastAsiaTheme="minorEastAsia"/>
          <w:snapToGrid/>
          <w:color w:val="auto"/>
          <w:kern w:val="2"/>
          <w:sz w:val="24"/>
          <w:szCs w:val="24"/>
          <w:lang w:val="en-US" w:eastAsia="zh-CN" w:bidi="ar-SA"/>
        </w:rPr>
      </w:pPr>
      <w:r>
        <w:rPr>
          <w:rFonts w:hint="default" w:ascii="宋体" w:hAnsi="宋体" w:cs="宋体" w:eastAsiaTheme="minorEastAsia"/>
          <w:snapToGrid/>
          <w:color w:val="auto"/>
          <w:kern w:val="2"/>
          <w:sz w:val="24"/>
          <w:szCs w:val="24"/>
          <w:lang w:val="en-US" w:eastAsia="zh-CN" w:bidi="ar-SA"/>
        </w:rPr>
        <w:t>3.垃圾仓水箅子自动疏通系统装置安装位置为</w:t>
      </w:r>
      <w:r>
        <w:rPr>
          <w:rFonts w:hint="eastAsia" w:hAnsi="宋体" w:cs="宋体"/>
          <w:snapToGrid/>
          <w:color w:val="auto"/>
          <w:kern w:val="2"/>
          <w:sz w:val="24"/>
          <w:szCs w:val="24"/>
          <w:lang w:val="en-US" w:eastAsia="zh-CN" w:bidi="ar-SA"/>
        </w:rPr>
        <w:t>采购人</w:t>
      </w:r>
      <w:r>
        <w:rPr>
          <w:rFonts w:hint="default" w:ascii="宋体" w:hAnsi="宋体" w:cs="宋体" w:eastAsiaTheme="minorEastAsia"/>
          <w:snapToGrid/>
          <w:color w:val="auto"/>
          <w:kern w:val="2"/>
          <w:sz w:val="24"/>
          <w:szCs w:val="24"/>
          <w:lang w:val="en-US" w:eastAsia="zh-CN" w:bidi="ar-SA"/>
        </w:rPr>
        <w:t>-6米渗滤液沟道间，其中动力输出机构（如液压站）安装在</w:t>
      </w:r>
      <w:r>
        <w:rPr>
          <w:rFonts w:hint="eastAsia" w:hAnsi="宋体" w:cs="宋体"/>
          <w:snapToGrid/>
          <w:color w:val="auto"/>
          <w:kern w:val="2"/>
          <w:sz w:val="24"/>
          <w:szCs w:val="24"/>
          <w:lang w:val="en-US" w:eastAsia="zh-CN" w:bidi="ar-SA"/>
        </w:rPr>
        <w:t>采购人</w:t>
      </w:r>
      <w:r>
        <w:rPr>
          <w:rFonts w:hint="default" w:ascii="宋体" w:hAnsi="宋体" w:cs="宋体" w:eastAsiaTheme="minorEastAsia"/>
          <w:snapToGrid/>
          <w:color w:val="auto"/>
          <w:kern w:val="2"/>
          <w:sz w:val="24"/>
          <w:szCs w:val="24"/>
          <w:lang w:val="en-US" w:eastAsia="zh-CN" w:bidi="ar-SA"/>
        </w:rPr>
        <w:t>渗滤液沟道间</w:t>
      </w:r>
      <w:r>
        <w:rPr>
          <w:rFonts w:hint="eastAsia" w:ascii="宋体" w:hAnsi="宋体" w:cs="宋体"/>
          <w:snapToGrid/>
          <w:color w:val="auto"/>
          <w:kern w:val="2"/>
          <w:sz w:val="24"/>
          <w:szCs w:val="24"/>
          <w:lang w:val="en-US" w:eastAsia="zh-CN" w:bidi="ar-SA"/>
        </w:rPr>
        <w:t>0</w:t>
      </w:r>
      <w:r>
        <w:rPr>
          <w:rFonts w:hint="default" w:ascii="宋体" w:hAnsi="宋体" w:cs="宋体" w:eastAsiaTheme="minorEastAsia"/>
          <w:snapToGrid/>
          <w:color w:val="auto"/>
          <w:kern w:val="2"/>
          <w:sz w:val="24"/>
          <w:szCs w:val="24"/>
          <w:lang w:val="en-US" w:eastAsia="zh-CN" w:bidi="ar-SA"/>
        </w:rPr>
        <w:t>米层；视频监控线缆引至疏通系统后台位置，自动疏通装置控制系统通讯信号及视频监控系统通讯信号</w:t>
      </w:r>
      <w:r>
        <w:rPr>
          <w:rFonts w:hint="eastAsia" w:hAnsi="宋体" w:cs="宋体"/>
          <w:snapToGrid/>
          <w:color w:val="auto"/>
          <w:kern w:val="2"/>
          <w:sz w:val="24"/>
          <w:szCs w:val="24"/>
          <w:lang w:val="en-US" w:eastAsia="zh-CN" w:bidi="ar-SA"/>
        </w:rPr>
        <w:t>光缆</w:t>
      </w:r>
      <w:r>
        <w:rPr>
          <w:rFonts w:hint="default" w:ascii="宋体" w:hAnsi="宋体" w:cs="宋体" w:eastAsiaTheme="minorEastAsia"/>
          <w:snapToGrid/>
          <w:color w:val="auto"/>
          <w:kern w:val="2"/>
          <w:sz w:val="24"/>
          <w:szCs w:val="24"/>
          <w:lang w:val="en-US" w:eastAsia="zh-CN" w:bidi="ar-SA"/>
        </w:rPr>
        <w:t>由</w:t>
      </w:r>
      <w:r>
        <w:rPr>
          <w:rFonts w:hint="eastAsia" w:ascii="宋体" w:hAnsi="宋体" w:cs="宋体"/>
          <w:snapToGrid/>
          <w:color w:val="auto"/>
          <w:kern w:val="2"/>
          <w:sz w:val="24"/>
          <w:szCs w:val="24"/>
          <w:lang w:val="en-US" w:eastAsia="zh-CN" w:bidi="ar-SA"/>
        </w:rPr>
        <w:t>供应商</w:t>
      </w:r>
      <w:r>
        <w:rPr>
          <w:rFonts w:hint="default" w:ascii="宋体" w:hAnsi="宋体" w:cs="宋体" w:eastAsiaTheme="minorEastAsia"/>
          <w:snapToGrid/>
          <w:color w:val="auto"/>
          <w:kern w:val="2"/>
          <w:sz w:val="24"/>
          <w:szCs w:val="24"/>
          <w:lang w:val="en-US" w:eastAsia="zh-CN" w:bidi="ar-SA"/>
        </w:rPr>
        <w:t>负责敷设至</w:t>
      </w:r>
      <w:r>
        <w:rPr>
          <w:rFonts w:hint="eastAsia" w:hAnsi="宋体" w:cs="宋体"/>
          <w:snapToGrid/>
          <w:color w:val="auto"/>
          <w:kern w:val="2"/>
          <w:sz w:val="24"/>
          <w:szCs w:val="24"/>
          <w:lang w:val="en-US" w:eastAsia="zh-CN" w:bidi="ar-SA"/>
        </w:rPr>
        <w:t>采购人</w:t>
      </w:r>
      <w:r>
        <w:rPr>
          <w:rFonts w:hint="default" w:ascii="宋体" w:hAnsi="宋体" w:cs="宋体" w:eastAsiaTheme="minorEastAsia"/>
          <w:snapToGrid/>
          <w:color w:val="auto"/>
          <w:kern w:val="2"/>
          <w:sz w:val="24"/>
          <w:szCs w:val="24"/>
          <w:lang w:val="en-US" w:eastAsia="zh-CN" w:bidi="ar-SA"/>
        </w:rPr>
        <w:t>指定</w:t>
      </w:r>
      <w:r>
        <w:rPr>
          <w:rFonts w:hint="eastAsia" w:ascii="宋体" w:hAnsi="宋体" w:cs="宋体"/>
          <w:snapToGrid/>
          <w:color w:val="auto"/>
          <w:kern w:val="2"/>
          <w:sz w:val="24"/>
          <w:szCs w:val="24"/>
          <w:lang w:val="en-US" w:eastAsia="zh-CN" w:bidi="ar-SA"/>
        </w:rPr>
        <w:t>垃圾吊控制室的指定位置</w:t>
      </w:r>
      <w:r>
        <w:rPr>
          <w:rFonts w:hint="default" w:ascii="宋体" w:hAnsi="宋体" w:cs="宋体" w:eastAsiaTheme="minorEastAsia"/>
          <w:snapToGrid/>
          <w:color w:val="auto"/>
          <w:kern w:val="2"/>
          <w:sz w:val="24"/>
          <w:szCs w:val="24"/>
          <w:lang w:val="en-US" w:eastAsia="zh-CN" w:bidi="ar-SA"/>
        </w:rPr>
        <w:t>，</w:t>
      </w:r>
      <w:r>
        <w:rPr>
          <w:rFonts w:hint="eastAsia" w:hAnsi="宋体" w:cs="宋体"/>
          <w:snapToGrid/>
          <w:color w:val="auto"/>
          <w:kern w:val="2"/>
          <w:sz w:val="24"/>
          <w:szCs w:val="24"/>
          <w:lang w:val="en-US" w:eastAsia="zh-CN" w:bidi="ar-SA"/>
        </w:rPr>
        <w:t>光缆</w:t>
      </w:r>
      <w:r>
        <w:rPr>
          <w:rFonts w:hint="default" w:ascii="宋体" w:hAnsi="宋体" w:cs="宋体" w:eastAsiaTheme="minorEastAsia"/>
          <w:snapToGrid/>
          <w:color w:val="auto"/>
          <w:kern w:val="2"/>
          <w:sz w:val="24"/>
          <w:szCs w:val="24"/>
          <w:lang w:val="en-US" w:eastAsia="zh-CN" w:bidi="ar-SA"/>
        </w:rPr>
        <w:t>长度150米</w:t>
      </w:r>
      <w:r>
        <w:rPr>
          <w:rFonts w:hint="eastAsia" w:ascii="宋体" w:hAnsi="宋体" w:cs="宋体"/>
          <w:snapToGrid/>
          <w:color w:val="auto"/>
          <w:kern w:val="2"/>
          <w:sz w:val="24"/>
          <w:szCs w:val="24"/>
          <w:lang w:val="en-US" w:eastAsia="zh-CN" w:bidi="ar-SA"/>
        </w:rPr>
        <w:t>左右（以现场实际情况为准）</w:t>
      </w:r>
      <w:r>
        <w:rPr>
          <w:rFonts w:hint="eastAsia" w:hAnsi="宋体" w:cs="宋体"/>
          <w:snapToGrid/>
          <w:color w:val="auto"/>
          <w:kern w:val="2"/>
          <w:sz w:val="24"/>
          <w:szCs w:val="24"/>
          <w:lang w:val="en-US" w:eastAsia="zh-CN" w:bidi="ar-SA"/>
        </w:rPr>
        <w:t>，由供应商负责提供，含在本次采购范围内</w:t>
      </w:r>
      <w:r>
        <w:rPr>
          <w:rFonts w:hint="eastAsia" w:ascii="宋体" w:hAnsi="宋体" w:cs="宋体"/>
          <w:snapToGrid/>
          <w:color w:val="auto"/>
          <w:kern w:val="2"/>
          <w:sz w:val="24"/>
          <w:szCs w:val="24"/>
          <w:lang w:val="en-US" w:eastAsia="zh-CN" w:bidi="ar-SA"/>
        </w:rPr>
        <w:t>。</w:t>
      </w:r>
    </w:p>
    <w:p>
      <w:pPr>
        <w:pStyle w:val="7"/>
        <w:ind w:firstLine="482" w:firstLineChars="200"/>
        <w:rPr>
          <w:rFonts w:hint="eastAsia"/>
          <w:b/>
          <w:bCs/>
          <w:lang w:val="en-US" w:eastAsia="zh-CN"/>
        </w:rPr>
      </w:pPr>
      <w:r>
        <w:rPr>
          <w:rFonts w:hint="eastAsia"/>
          <w:b/>
          <w:bCs/>
          <w:lang w:val="en-US" w:eastAsia="zh-CN"/>
        </w:rPr>
        <w:t>五、</w:t>
      </w:r>
      <w:r>
        <w:rPr>
          <w:rFonts w:hint="eastAsia"/>
          <w:b/>
          <w:bCs/>
          <w:lang w:val="en-US"/>
        </w:rPr>
        <w:t>技术</w:t>
      </w:r>
      <w:r>
        <w:rPr>
          <w:rFonts w:hint="eastAsia"/>
          <w:b/>
          <w:bCs/>
          <w:lang w:val="en-US" w:eastAsia="zh-CN"/>
        </w:rPr>
        <w:t>和质量要求</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w:t>
      </w:r>
      <w:r>
        <w:rPr>
          <w:rFonts w:hint="eastAsia" w:ascii="宋体" w:hAnsi="宋体" w:cs="宋体"/>
          <w:sz w:val="24"/>
          <w:highlight w:val="none"/>
          <w:lang w:val="en-US" w:eastAsia="zh-CN"/>
        </w:rPr>
        <w:t>或者服务</w:t>
      </w:r>
      <w:r>
        <w:rPr>
          <w:rFonts w:hint="eastAsia" w:ascii="宋体" w:hAnsi="宋体" w:cs="宋体"/>
          <w:sz w:val="24"/>
          <w:highlight w:val="none"/>
        </w:rPr>
        <w:t>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eastAsia="zh-CN"/>
        </w:rPr>
        <w:t>，</w:t>
      </w:r>
      <w:r>
        <w:rPr>
          <w:rFonts w:hint="eastAsia" w:ascii="宋体" w:hAnsi="宋体" w:cs="宋体"/>
          <w:sz w:val="24"/>
          <w:highlight w:val="none"/>
          <w:lang w:val="en-US" w:eastAsia="zh-CN"/>
        </w:rPr>
        <w:t>包括但不限于以下标准：</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《生活垃圾焚烧处理工程技术规范》 CJJ 90-2009</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《输送设备安装工程施工及验收规范》 GB 50270-2010</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w:t>
      </w:r>
      <w:r>
        <w:rPr>
          <w:rFonts w:hint="default" w:ascii="宋体" w:hAnsi="宋体" w:cs="宋体" w:eastAsiaTheme="minorEastAsia"/>
          <w:snapToGrid/>
          <w:kern w:val="2"/>
          <w:sz w:val="24"/>
          <w:szCs w:val="24"/>
          <w:lang w:val="en-US" w:eastAsia="zh-CN" w:bidi="ar-SA"/>
        </w:rPr>
        <w:t>冶金设备制造通用技术条件</w:t>
      </w:r>
      <w:r>
        <w:rPr>
          <w:rFonts w:hint="eastAsia" w:ascii="宋体" w:hAnsi="宋体" w:cs="宋体" w:eastAsiaTheme="minorEastAsia"/>
          <w:snapToGrid/>
          <w:kern w:val="2"/>
          <w:sz w:val="24"/>
          <w:szCs w:val="24"/>
          <w:lang w:val="en-US" w:eastAsia="zh-CN" w:bidi="ar-SA"/>
        </w:rPr>
        <w:t>焊接件》 YB/T 036.11-1992</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w:t>
      </w:r>
      <w:r>
        <w:rPr>
          <w:rFonts w:hint="default" w:ascii="宋体" w:hAnsi="宋体" w:cs="宋体" w:eastAsiaTheme="minorEastAsia"/>
          <w:snapToGrid/>
          <w:kern w:val="2"/>
          <w:sz w:val="24"/>
          <w:szCs w:val="24"/>
          <w:lang w:val="en-US" w:eastAsia="zh-CN" w:bidi="ar-SA"/>
        </w:rPr>
        <w:t>冶金设备制造通用技术条件</w:t>
      </w:r>
      <w:r>
        <w:rPr>
          <w:rFonts w:hint="eastAsia" w:ascii="宋体" w:hAnsi="宋体" w:cs="宋体" w:eastAsiaTheme="minorEastAsia"/>
          <w:snapToGrid/>
          <w:kern w:val="2"/>
          <w:sz w:val="24"/>
          <w:szCs w:val="24"/>
          <w:lang w:val="en-US" w:eastAsia="zh-CN" w:bidi="ar-SA"/>
        </w:rPr>
        <w:t xml:space="preserve"> 热处理件》 YB/T 036.16-1992</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w:t>
      </w:r>
      <w:r>
        <w:rPr>
          <w:rFonts w:hint="default" w:ascii="宋体" w:hAnsi="宋体" w:cs="宋体" w:eastAsiaTheme="minorEastAsia"/>
          <w:snapToGrid/>
          <w:kern w:val="2"/>
          <w:sz w:val="24"/>
          <w:szCs w:val="24"/>
          <w:lang w:val="en-US" w:eastAsia="zh-CN" w:bidi="ar-SA"/>
        </w:rPr>
        <w:t>冶金设备制造通用技术条件</w:t>
      </w:r>
      <w:r>
        <w:rPr>
          <w:rFonts w:hint="eastAsia" w:ascii="宋体" w:hAnsi="宋体" w:cs="宋体" w:eastAsiaTheme="minorEastAsia"/>
          <w:snapToGrid/>
          <w:kern w:val="2"/>
          <w:sz w:val="24"/>
          <w:szCs w:val="24"/>
          <w:lang w:val="en-US" w:eastAsia="zh-CN" w:bidi="ar-SA"/>
        </w:rPr>
        <w:t xml:space="preserve"> 机械加工件》 YB/T 036.17-1992</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w:t>
      </w:r>
      <w:r>
        <w:rPr>
          <w:rFonts w:hint="default" w:ascii="宋体" w:hAnsi="宋体" w:cs="宋体" w:eastAsiaTheme="minorEastAsia"/>
          <w:snapToGrid/>
          <w:kern w:val="2"/>
          <w:sz w:val="24"/>
          <w:szCs w:val="24"/>
          <w:lang w:val="en-US" w:eastAsia="zh-CN" w:bidi="ar-SA"/>
        </w:rPr>
        <w:t>冶金设备制造通用技术条件</w:t>
      </w:r>
      <w:r>
        <w:rPr>
          <w:rFonts w:hint="eastAsia" w:ascii="宋体" w:hAnsi="宋体" w:cs="宋体" w:eastAsiaTheme="minorEastAsia"/>
          <w:snapToGrid/>
          <w:kern w:val="2"/>
          <w:sz w:val="24"/>
          <w:szCs w:val="24"/>
          <w:lang w:val="en-US" w:eastAsia="zh-CN" w:bidi="ar-SA"/>
        </w:rPr>
        <w:t>涂装》 YB/T 036.19-92</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《自动化仪表工程施工及质量验收规范》 GB 50093-2013</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《电力装置电测量仪表装置设计规范》 GB/T 50063-2017</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《电力装置的继电保护和自动装置设计规范》 GB/T 50062-2008</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2.供应商提供的整套疏通装置应保证在任何工况下都必须满足安全运行和环保要求，设备系统应密封良好，完全防腐蚀、防磨损和防堵塞，部件应具有耐久性、防腐性和抗老化性，满足使用要求，易于检查和检修。</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3.疏通装置必须在设计上和制造上保证在设计寿命内安全、连续和有效地运行，且在运行中应保证运转平稳，无刮、卡、碰等现象，不产生电火花。不发生任何异常变形、异常振动，若出现质量问题供应商应在48h内响应并到现场提出解决方案。</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4.疏通装置</w:t>
      </w:r>
      <w:r>
        <w:rPr>
          <w:rFonts w:hint="default" w:ascii="宋体" w:hAnsi="宋体" w:cs="宋体"/>
          <w:sz w:val="24"/>
          <w:highlight w:val="none"/>
          <w:lang w:val="en-US" w:eastAsia="zh-CN"/>
        </w:rPr>
        <w:t>应有良好的防腐措施。钢板箅子与疏通装置为自定位一体式结构，疏通轨道采用316L不锈钢材质，滑枕整体具备水平垂直调节功能，不得使用线轴承结构。</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5.疏通装置液压油缸缸内径为100mm，杆径50mm；缸活塞杆要求采用不锈钢316L材质，应对比较恶劣的腐蚀环境，油缸单缸推力≥10吨。</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6.疏通装置采用框架结构，自定位形式，不需要基建预埋件等工作。疏通装置要求疏通行程≥410mm，伸出钢板箅子内壁面≥150mm（具体行程可根据现场实际情况协商调整）。</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7.疏通装置系统应结合原工程竣工图纸建筑结构尺寸，布置方案设计应确保维护人员进入渗滤液沟道间进行疏通系统维护、清理地面沉积的垃圾等不受阻挡。</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8.疏通装置原则上应利用原有钢板箅子，如出现原钢板箅子局部变形，钢板箅子孔加工精度偏差大等情况，供应商可以采用水切割原钢板箅子的方式进行安装；安装时应确保疏通柱的同轴心对准度，防止运行时通柱对钢板箅子产生过大的推力而影响疏通效果。</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9.每套疏通装置的通柱配置数量约12个（根据现场格栅口大小设计），通柱采用优质耐腐蚀材质，通柱直径≤48mm（具体以现场实际为准），疏通装置构造应充分根据渗滤液沟道间尺寸等因素进行设计制造，保证系统的运行可靠性和流畅性。</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10.疏通装置的液压系统部件具有防爆功能。液压油经只有2根主管路由地面引至沟道间，置于渗滤液沟道间通道中的疏通装置只有液压缸、控制阀组（包含气体及液压）、分流阀和截止阀、管路系统，渗沥液沟道间严禁使用电器元件，源头上杜绝爆炸安全风险，关键件应采用316L不锈钢材质，分流阀应采用大流量阀。</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11.疏通装置要求采用</w:t>
      </w:r>
      <w:r>
        <w:rPr>
          <w:rFonts w:hint="default" w:ascii="宋体" w:hAnsi="宋体" w:cs="宋体"/>
          <w:sz w:val="24"/>
          <w:highlight w:val="none"/>
          <w:lang w:val="en-US" w:eastAsia="zh-CN"/>
        </w:rPr>
        <w:t>气液动力系统驱动</w:t>
      </w:r>
      <w:r>
        <w:rPr>
          <w:rFonts w:hint="eastAsia" w:ascii="宋体" w:hAnsi="宋体" w:cs="宋体"/>
          <w:sz w:val="24"/>
          <w:highlight w:val="none"/>
          <w:lang w:val="en-US" w:eastAsia="zh-CN"/>
        </w:rPr>
        <w:t>（不允许电动驱动）</w:t>
      </w:r>
      <w:r>
        <w:rPr>
          <w:rFonts w:hint="default" w:ascii="宋体" w:hAnsi="宋体" w:cs="宋体"/>
          <w:sz w:val="24"/>
          <w:highlight w:val="none"/>
          <w:lang w:val="en-US" w:eastAsia="zh-CN"/>
        </w:rPr>
        <w:t>，疏通</w:t>
      </w:r>
      <w:r>
        <w:rPr>
          <w:rFonts w:hint="eastAsia" w:ascii="宋体" w:hAnsi="宋体" w:cs="宋体"/>
          <w:sz w:val="24"/>
          <w:highlight w:val="none"/>
          <w:lang w:val="en-US" w:eastAsia="zh-CN"/>
        </w:rPr>
        <w:t>装置的</w:t>
      </w:r>
      <w:r>
        <w:rPr>
          <w:rFonts w:hint="default" w:ascii="宋体" w:hAnsi="宋体" w:cs="宋体"/>
          <w:sz w:val="24"/>
          <w:highlight w:val="none"/>
          <w:lang w:val="en-US" w:eastAsia="zh-CN"/>
        </w:rPr>
        <w:t>控制液压阀</w:t>
      </w:r>
      <w:r>
        <w:rPr>
          <w:rFonts w:hint="eastAsia" w:ascii="宋体" w:hAnsi="宋体" w:cs="宋体"/>
          <w:sz w:val="24"/>
          <w:highlight w:val="none"/>
          <w:lang w:val="en-US" w:eastAsia="zh-CN"/>
        </w:rPr>
        <w:t>的</w:t>
      </w:r>
      <w:r>
        <w:rPr>
          <w:rFonts w:hint="default" w:ascii="宋体" w:hAnsi="宋体" w:cs="宋体"/>
          <w:sz w:val="24"/>
          <w:highlight w:val="none"/>
          <w:lang w:val="en-US" w:eastAsia="zh-CN"/>
        </w:rPr>
        <w:t>阀芯</w:t>
      </w:r>
      <w:r>
        <w:rPr>
          <w:rFonts w:hint="eastAsia" w:ascii="宋体" w:hAnsi="宋体" w:cs="宋体"/>
          <w:sz w:val="24"/>
          <w:highlight w:val="none"/>
          <w:lang w:val="en-US" w:eastAsia="zh-CN"/>
        </w:rPr>
        <w:t>采用不锈钢材质。</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12.疏通装置配置</w:t>
      </w:r>
      <w:r>
        <w:rPr>
          <w:rFonts w:hint="default" w:ascii="宋体" w:hAnsi="宋体" w:cs="宋体"/>
          <w:sz w:val="24"/>
          <w:highlight w:val="none"/>
          <w:lang w:val="en-US" w:eastAsia="zh-CN"/>
        </w:rPr>
        <w:t>现场控制柜，控制柜内</w:t>
      </w:r>
      <w:r>
        <w:rPr>
          <w:rFonts w:hint="eastAsia" w:ascii="宋体" w:hAnsi="宋体" w:cs="宋体"/>
          <w:sz w:val="24"/>
          <w:highlight w:val="none"/>
          <w:lang w:val="en-US" w:eastAsia="zh-CN"/>
        </w:rPr>
        <w:t>配置</w:t>
      </w:r>
      <w:r>
        <w:rPr>
          <w:rFonts w:hint="default" w:ascii="宋体" w:hAnsi="宋体" w:cs="宋体"/>
          <w:sz w:val="24"/>
          <w:highlight w:val="none"/>
          <w:lang w:val="en-US" w:eastAsia="zh-CN"/>
        </w:rPr>
        <w:t>自动疏通</w:t>
      </w:r>
      <w:r>
        <w:rPr>
          <w:rFonts w:hint="eastAsia" w:ascii="宋体" w:hAnsi="宋体" w:cs="宋体"/>
          <w:sz w:val="24"/>
          <w:highlight w:val="none"/>
          <w:lang w:val="en-US" w:eastAsia="zh-CN"/>
        </w:rPr>
        <w:t>系统</w:t>
      </w:r>
      <w:r>
        <w:rPr>
          <w:rFonts w:hint="default" w:ascii="宋体" w:hAnsi="宋体" w:cs="宋体"/>
          <w:sz w:val="24"/>
          <w:highlight w:val="none"/>
          <w:lang w:val="en-US" w:eastAsia="zh-CN"/>
        </w:rPr>
        <w:t>的PLC 控制系统。</w:t>
      </w:r>
      <w:r>
        <w:rPr>
          <w:rFonts w:hint="eastAsia" w:ascii="宋体" w:hAnsi="宋体" w:cs="宋体"/>
          <w:sz w:val="24"/>
          <w:highlight w:val="none"/>
          <w:lang w:val="en-US" w:eastAsia="zh-CN"/>
        </w:rPr>
        <w:t>可实现就地和远程切换</w:t>
      </w:r>
      <w:r>
        <w:rPr>
          <w:rFonts w:hint="default" w:ascii="宋体" w:hAnsi="宋体" w:cs="宋体"/>
          <w:sz w:val="24"/>
          <w:highlight w:val="none"/>
          <w:lang w:val="en-US" w:eastAsia="zh-CN"/>
        </w:rPr>
        <w:t>。垃圾吊控室内</w:t>
      </w:r>
      <w:r>
        <w:rPr>
          <w:rFonts w:hint="eastAsia" w:ascii="宋体" w:hAnsi="宋体" w:cs="宋体"/>
          <w:sz w:val="24"/>
          <w:highlight w:val="none"/>
          <w:lang w:val="en-US" w:eastAsia="zh-CN"/>
        </w:rPr>
        <w:t>设置</w:t>
      </w:r>
      <w:r>
        <w:rPr>
          <w:rFonts w:hint="default" w:ascii="宋体" w:hAnsi="宋体" w:cs="宋体"/>
          <w:sz w:val="24"/>
          <w:highlight w:val="none"/>
          <w:lang w:val="en-US" w:eastAsia="zh-CN"/>
        </w:rPr>
        <w:t>10寸疏通系统远程控制触摸屏，疏通系统应能够在“自动\手动 ”模式下运行</w:t>
      </w:r>
      <w:r>
        <w:rPr>
          <w:rFonts w:hint="eastAsia" w:ascii="宋体" w:hAnsi="宋体" w:cs="宋体"/>
          <w:sz w:val="24"/>
          <w:highlight w:val="none"/>
          <w:lang w:val="en-US" w:eastAsia="zh-CN"/>
        </w:rPr>
        <w:t>（具体位置由采购人确定）</w:t>
      </w:r>
      <w:r>
        <w:rPr>
          <w:rFonts w:hint="default" w:ascii="宋体" w:hAnsi="宋体" w:cs="宋体"/>
          <w:sz w:val="24"/>
          <w:highlight w:val="none"/>
          <w:lang w:val="en-US" w:eastAsia="zh-CN"/>
        </w:rPr>
        <w:t>。</w:t>
      </w:r>
      <w:r>
        <w:rPr>
          <w:rFonts w:hint="eastAsia" w:ascii="宋体" w:hAnsi="宋体" w:cs="宋体"/>
          <w:sz w:val="24"/>
          <w:highlight w:val="none"/>
          <w:lang w:val="en-US" w:eastAsia="zh-CN"/>
        </w:rPr>
        <w:t>就地控制柜设置</w:t>
      </w:r>
      <w:r>
        <w:rPr>
          <w:rFonts w:hint="default" w:ascii="宋体" w:hAnsi="宋体" w:cs="宋体"/>
          <w:sz w:val="24"/>
          <w:highlight w:val="none"/>
          <w:lang w:val="en-US" w:eastAsia="zh-CN"/>
        </w:rPr>
        <w:t>急停按钮</w:t>
      </w:r>
      <w:r>
        <w:rPr>
          <w:rFonts w:hint="eastAsia" w:ascii="宋体" w:hAnsi="宋体" w:cs="宋体"/>
          <w:sz w:val="24"/>
          <w:highlight w:val="none"/>
          <w:lang w:val="en-US" w:eastAsia="zh-CN"/>
        </w:rPr>
        <w:t>、</w:t>
      </w:r>
      <w:r>
        <w:rPr>
          <w:rFonts w:hint="default" w:ascii="宋体" w:hAnsi="宋体" w:cs="宋体"/>
          <w:sz w:val="24"/>
          <w:highlight w:val="none"/>
          <w:lang w:val="en-US" w:eastAsia="zh-CN"/>
        </w:rPr>
        <w:t>启停按钮，</w:t>
      </w:r>
      <w:r>
        <w:rPr>
          <w:rFonts w:hint="eastAsia" w:ascii="宋体" w:hAnsi="宋体" w:cs="宋体"/>
          <w:sz w:val="24"/>
          <w:highlight w:val="none"/>
          <w:lang w:val="en-US" w:eastAsia="zh-CN"/>
        </w:rPr>
        <w:t>并</w:t>
      </w:r>
      <w:r>
        <w:rPr>
          <w:rFonts w:hint="default" w:ascii="宋体" w:hAnsi="宋体" w:cs="宋体"/>
          <w:sz w:val="24"/>
          <w:highlight w:val="none"/>
          <w:lang w:val="en-US" w:eastAsia="zh-CN"/>
        </w:rPr>
        <w:t>通过HMI</w:t>
      </w:r>
      <w:r>
        <w:rPr>
          <w:rFonts w:hint="eastAsia" w:ascii="宋体" w:hAnsi="宋体" w:cs="宋体"/>
          <w:sz w:val="24"/>
          <w:highlight w:val="none"/>
          <w:lang w:val="en-US" w:eastAsia="zh-CN"/>
        </w:rPr>
        <w:t>（人机界面）</w:t>
      </w:r>
      <w:r>
        <w:rPr>
          <w:rFonts w:hint="default" w:ascii="宋体" w:hAnsi="宋体" w:cs="宋体"/>
          <w:sz w:val="24"/>
          <w:highlight w:val="none"/>
          <w:lang w:val="en-US" w:eastAsia="zh-CN"/>
        </w:rPr>
        <w:t>设置水箅子疏通装置工作参数。</w:t>
      </w:r>
      <w:r>
        <w:rPr>
          <w:rFonts w:hint="eastAsia" w:ascii="宋体" w:hAnsi="宋体" w:cs="宋体"/>
          <w:sz w:val="24"/>
          <w:highlight w:val="none"/>
          <w:lang w:val="en-US" w:eastAsia="zh-CN"/>
        </w:rPr>
        <w:t>控制柜</w:t>
      </w:r>
      <w:r>
        <w:rPr>
          <w:rFonts w:hint="default" w:ascii="宋体" w:hAnsi="宋体" w:cs="宋体"/>
          <w:sz w:val="24"/>
          <w:highlight w:val="none"/>
          <w:lang w:val="en-US" w:eastAsia="zh-CN"/>
        </w:rPr>
        <w:t>防护等级为IP54。</w:t>
      </w:r>
      <w:r>
        <w:rPr>
          <w:rFonts w:hint="eastAsia" w:ascii="宋体" w:hAnsi="宋体" w:cs="宋体"/>
          <w:sz w:val="24"/>
          <w:highlight w:val="none"/>
          <w:lang w:val="en-US" w:eastAsia="zh-CN"/>
        </w:rPr>
        <w:t>疏通装置应具备以下功能：</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w:t>
      </w:r>
      <w:r>
        <w:rPr>
          <w:rFonts w:hint="default" w:ascii="宋体" w:hAnsi="宋体" w:cs="宋体"/>
          <w:sz w:val="24"/>
          <w:highlight w:val="none"/>
          <w:lang w:val="en-US" w:eastAsia="zh-CN"/>
        </w:rPr>
        <w:t>开机自检，能够实现一键启动、系统自检、自动执行疏通工作、疏通完</w:t>
      </w:r>
      <w:r>
        <w:rPr>
          <w:rFonts w:hint="eastAsia" w:ascii="宋体" w:hAnsi="宋体" w:cs="宋体"/>
          <w:sz w:val="24"/>
          <w:highlight w:val="none"/>
          <w:lang w:val="en-US" w:eastAsia="zh-CN"/>
        </w:rPr>
        <w:t>成后</w:t>
      </w:r>
      <w:r>
        <w:rPr>
          <w:rFonts w:hint="default" w:ascii="宋体" w:hAnsi="宋体" w:cs="宋体"/>
          <w:sz w:val="24"/>
          <w:highlight w:val="none"/>
          <w:lang w:val="en-US" w:eastAsia="zh-CN"/>
        </w:rPr>
        <w:t>恢复初始状态；</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default" w:ascii="宋体" w:hAnsi="宋体" w:cs="宋体"/>
          <w:sz w:val="24"/>
          <w:highlight w:val="none"/>
          <w:lang w:val="en-US" w:eastAsia="zh-CN"/>
        </w:rPr>
        <w:t>疏通过程状态检测，自动疏通模式时，可通过疏通系统远程控制平台实现疏通窗口的任意选择；</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（3）</w:t>
      </w:r>
      <w:r>
        <w:rPr>
          <w:rFonts w:hint="default" w:ascii="宋体" w:hAnsi="宋体" w:cs="宋体"/>
          <w:sz w:val="24"/>
          <w:highlight w:val="none"/>
          <w:lang w:val="en-US" w:eastAsia="zh-CN"/>
        </w:rPr>
        <w:t>自动疏通系统设备运行状态参数监控及故障诊断；</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（4）</w:t>
      </w:r>
      <w:r>
        <w:rPr>
          <w:rFonts w:hint="default" w:ascii="宋体" w:hAnsi="宋体" w:cs="宋体"/>
          <w:sz w:val="24"/>
          <w:highlight w:val="none"/>
          <w:lang w:val="en-US" w:eastAsia="zh-CN"/>
        </w:rPr>
        <w:t>可提供钢板箅子疏通的次数或时</w:t>
      </w:r>
      <w:r>
        <w:rPr>
          <w:rFonts w:hint="eastAsia" w:ascii="宋体" w:hAnsi="宋体" w:cs="宋体"/>
          <w:sz w:val="24"/>
          <w:highlight w:val="none"/>
          <w:lang w:val="en-US" w:eastAsia="zh-CN"/>
        </w:rPr>
        <w:t>间</w:t>
      </w:r>
      <w:r>
        <w:rPr>
          <w:rFonts w:hint="default" w:ascii="宋体" w:hAnsi="宋体" w:cs="宋体"/>
          <w:sz w:val="24"/>
          <w:highlight w:val="none"/>
          <w:lang w:val="en-US" w:eastAsia="zh-CN"/>
        </w:rPr>
        <w:t>两种运行</w:t>
      </w:r>
      <w:r>
        <w:rPr>
          <w:rFonts w:hint="eastAsia" w:ascii="宋体" w:hAnsi="宋体" w:cs="宋体"/>
          <w:sz w:val="24"/>
          <w:highlight w:val="none"/>
          <w:lang w:val="en-US" w:eastAsia="zh-CN"/>
        </w:rPr>
        <w:t>控制</w:t>
      </w:r>
      <w:r>
        <w:rPr>
          <w:rFonts w:hint="default" w:ascii="宋体" w:hAnsi="宋体" w:cs="宋体"/>
          <w:sz w:val="24"/>
          <w:highlight w:val="none"/>
          <w:lang w:val="en-US" w:eastAsia="zh-CN"/>
        </w:rPr>
        <w:t>模式选择；</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（5）</w:t>
      </w:r>
      <w:r>
        <w:rPr>
          <w:rFonts w:hint="default" w:ascii="宋体" w:hAnsi="宋体" w:cs="宋体"/>
          <w:sz w:val="24"/>
          <w:highlight w:val="none"/>
          <w:lang w:val="en-US" w:eastAsia="zh-CN"/>
        </w:rPr>
        <w:t>液压缸行程可</w:t>
      </w:r>
      <w:r>
        <w:rPr>
          <w:rFonts w:hint="eastAsia" w:ascii="宋体" w:hAnsi="宋体" w:cs="宋体"/>
          <w:sz w:val="24"/>
          <w:highlight w:val="none"/>
          <w:lang w:val="en-US" w:eastAsia="zh-CN"/>
        </w:rPr>
        <w:t>通过</w:t>
      </w:r>
      <w:r>
        <w:rPr>
          <w:rFonts w:hint="default" w:ascii="宋体" w:hAnsi="宋体" w:cs="宋体"/>
          <w:sz w:val="24"/>
          <w:highlight w:val="none"/>
          <w:lang w:val="en-US" w:eastAsia="zh-CN"/>
        </w:rPr>
        <w:t>油缸上方的装置</w:t>
      </w:r>
      <w:r>
        <w:rPr>
          <w:rFonts w:hint="eastAsia" w:ascii="宋体" w:hAnsi="宋体" w:cs="宋体"/>
          <w:sz w:val="24"/>
          <w:highlight w:val="none"/>
          <w:lang w:val="en-US" w:eastAsia="zh-CN"/>
        </w:rPr>
        <w:t>显示</w:t>
      </w:r>
      <w:r>
        <w:rPr>
          <w:rFonts w:hint="default" w:ascii="宋体" w:hAnsi="宋体" w:cs="宋体"/>
          <w:sz w:val="24"/>
          <w:highlight w:val="none"/>
          <w:lang w:val="en-US" w:eastAsia="zh-CN"/>
        </w:rPr>
        <w:t>液压缸进、退动作；</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（6）</w:t>
      </w:r>
      <w:r>
        <w:rPr>
          <w:rFonts w:hint="default" w:ascii="宋体" w:hAnsi="宋体" w:cs="宋体"/>
          <w:sz w:val="24"/>
          <w:highlight w:val="none"/>
          <w:lang w:val="en-US" w:eastAsia="zh-CN"/>
        </w:rPr>
        <w:t>疏通系统远程控制平台，可实现启动、停运单个钢板箅子，并可查看系统相关参数；当其中一个疏通装置出现故障时，不影响其余疏通装置的自动运行。</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（7）PLC屏幕</w:t>
      </w:r>
      <w:r>
        <w:rPr>
          <w:rFonts w:hint="default" w:ascii="宋体" w:hAnsi="宋体" w:cs="宋体"/>
          <w:sz w:val="24"/>
          <w:highlight w:val="none"/>
          <w:lang w:val="en-US" w:eastAsia="zh-CN"/>
        </w:rPr>
        <w:t>显示方面：运行时显示工作电流及“运行</w:t>
      </w:r>
      <w:r>
        <w:rPr>
          <w:rFonts w:hint="eastAsia" w:ascii="宋体" w:hAnsi="宋体" w:cs="宋体"/>
          <w:sz w:val="24"/>
          <w:highlight w:val="none"/>
          <w:lang w:val="en-US" w:eastAsia="zh-CN"/>
        </w:rPr>
        <w:t>”“</w:t>
      </w:r>
      <w:r>
        <w:rPr>
          <w:rFonts w:hint="default" w:ascii="宋体" w:hAnsi="宋体" w:cs="宋体"/>
          <w:sz w:val="24"/>
          <w:highlight w:val="none"/>
          <w:lang w:val="en-US" w:eastAsia="zh-CN"/>
        </w:rPr>
        <w:t>停止</w:t>
      </w:r>
      <w:r>
        <w:rPr>
          <w:rFonts w:hint="eastAsia" w:ascii="宋体" w:hAnsi="宋体" w:cs="宋体"/>
          <w:sz w:val="24"/>
          <w:highlight w:val="none"/>
          <w:lang w:val="en-US" w:eastAsia="zh-CN"/>
        </w:rPr>
        <w:t>”“</w:t>
      </w:r>
      <w:r>
        <w:rPr>
          <w:rFonts w:hint="default" w:ascii="宋体" w:hAnsi="宋体" w:cs="宋体"/>
          <w:sz w:val="24"/>
          <w:highlight w:val="none"/>
          <w:lang w:val="en-US" w:eastAsia="zh-CN"/>
        </w:rPr>
        <w:t>过载</w:t>
      </w:r>
      <w:r>
        <w:rPr>
          <w:rFonts w:hint="eastAsia" w:ascii="宋体" w:hAnsi="宋体" w:cs="宋体"/>
          <w:sz w:val="24"/>
          <w:highlight w:val="none"/>
          <w:lang w:val="en-US" w:eastAsia="zh-CN"/>
        </w:rPr>
        <w:t>”“</w:t>
      </w:r>
      <w:r>
        <w:rPr>
          <w:rFonts w:hint="default" w:ascii="宋体" w:hAnsi="宋体" w:cs="宋体"/>
          <w:sz w:val="24"/>
          <w:highlight w:val="none"/>
          <w:lang w:val="en-US" w:eastAsia="zh-CN"/>
        </w:rPr>
        <w:t>故障”状态指示灯。</w:t>
      </w:r>
    </w:p>
    <w:p>
      <w:pPr>
        <w:spacing w:line="360" w:lineRule="auto"/>
        <w:ind w:firstLine="480" w:firstLineChars="200"/>
        <w:outlineLvl w:val="0"/>
        <w:rPr>
          <w:rFonts w:hint="default" w:ascii="宋体" w:hAnsi="宋体" w:cs="宋体"/>
          <w:sz w:val="24"/>
          <w:highlight w:val="none"/>
          <w:lang w:val="en-US" w:eastAsia="zh-CN"/>
        </w:rPr>
      </w:pPr>
      <w:bookmarkStart w:id="17" w:name="_Toc22572"/>
      <w:r>
        <w:rPr>
          <w:rFonts w:hint="eastAsia" w:ascii="宋体" w:hAnsi="宋体" w:cs="宋体"/>
          <w:sz w:val="24"/>
          <w:highlight w:val="none"/>
          <w:lang w:val="en-US" w:eastAsia="zh-CN"/>
        </w:rPr>
        <w:t>13.</w:t>
      </w:r>
      <w:r>
        <w:rPr>
          <w:rFonts w:hint="default" w:ascii="宋体" w:hAnsi="宋体" w:cs="宋体"/>
          <w:sz w:val="24"/>
          <w:highlight w:val="none"/>
          <w:lang w:val="en-US" w:eastAsia="zh-CN"/>
        </w:rPr>
        <w:t>控制柜内部要求</w:t>
      </w:r>
      <w:bookmarkEnd w:id="17"/>
      <w:r>
        <w:rPr>
          <w:rFonts w:hint="eastAsia" w:ascii="宋体" w:hAnsi="宋体" w:cs="宋体"/>
          <w:sz w:val="24"/>
          <w:highlight w:val="none"/>
          <w:lang w:val="en-US" w:eastAsia="zh-CN"/>
        </w:rPr>
        <w:t>：</w:t>
      </w:r>
      <w:r>
        <w:rPr>
          <w:rFonts w:hint="default" w:ascii="宋体" w:hAnsi="宋体" w:cs="宋体"/>
          <w:sz w:val="24"/>
          <w:highlight w:val="none"/>
          <w:lang w:val="en-US" w:eastAsia="zh-CN"/>
        </w:rPr>
        <w:t>最少包含一个二级电源空开，一个二次控制回路空开，空气开关要求质量可靠、最大额定电流选择恰当；内部线要求接线整齐，线号明确、端子排固定牢固，距离适当，布置合理，便于引入外部进线；柜内安装过流保护装置，报警点输出至控制箱面板的过载指示灯以及通过干接点输出至端子排上，定值设定与设备相符。</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14.疏通系统所有电气设备外壳、开关柜和控制柜接地母线、金属构架、电缆管道、电缆的屏蔽层、其他可能会偶然带电的金属物件、管道等，均应牢固可靠地连接到主接地网上。铜接地体与扁钢接地体连接时应使用过渡接头。</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15.</w:t>
      </w:r>
      <w:r>
        <w:rPr>
          <w:rFonts w:hint="default" w:ascii="宋体" w:hAnsi="宋体" w:cs="宋体"/>
          <w:sz w:val="24"/>
          <w:highlight w:val="none"/>
          <w:lang w:val="en-US" w:eastAsia="zh-CN"/>
        </w:rPr>
        <w:t>电缆敷设主要采用电缆桥架架空敷设，材质采用热镀锌，厚度不小于 1.5mm ，注意防爆、 防火、防振动。当电缆根数较少或无管架，可采用电缆穿钢管明配或直埋敷设。0.4KV低压系统电力电缆选用ZB-YJV 交联聚乙烯绝缘铜芯电缆。</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16.</w:t>
      </w:r>
      <w:r>
        <w:rPr>
          <w:rFonts w:hint="default" w:ascii="宋体" w:hAnsi="宋体" w:cs="宋体"/>
          <w:sz w:val="24"/>
          <w:highlight w:val="none"/>
          <w:lang w:val="en-US" w:eastAsia="zh-CN"/>
        </w:rPr>
        <w:t>压力仪表应按需要完整地配备</w:t>
      </w:r>
      <w:r>
        <w:rPr>
          <w:rFonts w:hint="eastAsia" w:ascii="宋体" w:hAnsi="宋体" w:cs="宋体"/>
          <w:sz w:val="24"/>
          <w:highlight w:val="none"/>
          <w:lang w:val="en-US" w:eastAsia="zh-CN"/>
        </w:rPr>
        <w:t>一二次</w:t>
      </w:r>
      <w:r>
        <w:rPr>
          <w:rFonts w:hint="default" w:ascii="宋体" w:hAnsi="宋体" w:cs="宋体"/>
          <w:sz w:val="24"/>
          <w:highlight w:val="none"/>
          <w:lang w:val="en-US" w:eastAsia="zh-CN"/>
        </w:rPr>
        <w:t>仪表阀等。配供的压力表选用不锈钢压力表，所有仪表管路应是不锈钢材质；温度元件选用三线制PT100的铠装热电阻。</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17.供应商所供必须为合格全新产品，不得为假冒伪劣和质保期之外的产品。</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18.</w:t>
      </w:r>
      <w:r>
        <w:rPr>
          <w:rFonts w:hint="eastAsia" w:ascii="宋体" w:hAnsi="宋体" w:cs="宋体"/>
          <w:sz w:val="24"/>
          <w:lang w:val="en-US" w:eastAsia="zh-CN"/>
        </w:rPr>
        <w:t>本合同质保期限为至验收合格</w:t>
      </w:r>
      <w:r>
        <w:rPr>
          <w:rFonts w:hint="eastAsia" w:ascii="宋体" w:hAnsi="宋体" w:cs="宋体"/>
          <w:sz w:val="24"/>
          <w:u w:val="single"/>
          <w:lang w:val="en-US" w:eastAsia="zh-CN"/>
        </w:rPr>
        <w:t>后12个月</w:t>
      </w:r>
      <w:r>
        <w:rPr>
          <w:rFonts w:hint="eastAsia" w:ascii="宋体" w:hAnsi="宋体" w:cs="宋体"/>
          <w:sz w:val="24"/>
          <w:lang w:val="en-US" w:eastAsia="zh-CN"/>
        </w:rPr>
        <w:t>，若质保期限内出现问题（非质量问题除外），供应商必须在接到采购人通知后48小时内无条件赶到现场，免费维修或更换。在质保期限内未出现任何质量问题，视为质保合格。</w:t>
      </w:r>
    </w:p>
    <w:p>
      <w:pPr>
        <w:pStyle w:val="28"/>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（2）</w:t>
      </w:r>
      <w:r>
        <w:rPr>
          <w:rFonts w:hint="eastAsia" w:eastAsia="宋体" w:cs="宋体"/>
          <w:color w:val="auto"/>
          <w:highlight w:val="none"/>
          <w:lang w:val="en-US" w:eastAsia="zh-CN"/>
        </w:rPr>
        <w:t>形式执行：</w:t>
      </w:r>
    </w:p>
    <w:p>
      <w:pPr>
        <w:pStyle w:val="7"/>
        <w:ind w:firstLine="480" w:firstLineChars="200"/>
        <w:rPr>
          <w:rFonts w:hint="default" w:ascii="宋体" w:hAnsi="宋体" w:eastAsia="宋体" w:cs="宋体"/>
          <w:color w:val="auto"/>
          <w:u w:val="none"/>
          <w:lang w:val="en-US" w:eastAsia="zh-CN"/>
        </w:rPr>
      </w:pPr>
      <w:r>
        <w:rPr>
          <w:rFonts w:hint="eastAsia" w:eastAsia="宋体" w:cs="宋体"/>
          <w:color w:val="auto"/>
          <w:lang w:val="en-US" w:eastAsia="zh-CN"/>
        </w:rPr>
        <w:t>第（2）形式：合同履约保证金不包含质保金，采购人在结算付款时需扣除质保金，具体要求如下：</w:t>
      </w:r>
    </w:p>
    <w:p>
      <w:pPr>
        <w:pStyle w:val="7"/>
        <w:ind w:firstLine="480" w:firstLineChars="200"/>
        <w:rPr>
          <w:rFonts w:hint="eastAsia" w:ascii="宋体" w:hAnsi="宋体" w:eastAsia="宋体" w:cs="宋体"/>
          <w:color w:val="auto"/>
          <w:u w:val="none"/>
          <w:lang w:val="en-US" w:eastAsia="zh-CN"/>
        </w:rPr>
      </w:pPr>
      <w:r>
        <w:rPr>
          <w:rFonts w:hint="eastAsia" w:hAnsi="宋体" w:eastAsia="宋体" w:cs="宋体"/>
          <w:color w:val="auto"/>
          <w:u w:val="none"/>
          <w:lang w:val="en-US" w:eastAsia="zh-CN"/>
        </w:rPr>
        <w:t>①</w:t>
      </w:r>
      <w:r>
        <w:rPr>
          <w:rFonts w:hint="eastAsia" w:ascii="宋体" w:hAnsi="宋体" w:eastAsia="宋体" w:cs="宋体"/>
          <w:color w:val="auto"/>
          <w:u w:val="none"/>
          <w:lang w:val="en-US" w:eastAsia="zh-CN"/>
        </w:rPr>
        <w:t>质保金的比例为</w:t>
      </w:r>
      <w:r>
        <w:rPr>
          <w:rFonts w:hint="eastAsia" w:hAnsi="宋体" w:eastAsia="宋体" w:cs="宋体"/>
          <w:color w:val="auto"/>
          <w:u w:val="none"/>
          <w:lang w:val="en-US" w:eastAsia="zh-CN"/>
        </w:rPr>
        <w:t>供应商本次</w:t>
      </w:r>
      <w:r>
        <w:rPr>
          <w:rFonts w:hint="eastAsia" w:ascii="宋体" w:hAnsi="宋体" w:eastAsia="宋体" w:cs="宋体"/>
          <w:color w:val="auto"/>
          <w:u w:val="none"/>
          <w:lang w:val="en-US" w:eastAsia="zh-CN"/>
        </w:rPr>
        <w:t>应结算总金额的</w:t>
      </w:r>
      <w:r>
        <w:rPr>
          <w:rFonts w:hint="eastAsia" w:ascii="宋体" w:hAnsi="宋体" w:eastAsia="宋体" w:cs="宋体"/>
          <w:color w:val="auto"/>
          <w:u w:val="single"/>
          <w:lang w:val="en-US" w:eastAsia="zh-CN"/>
        </w:rPr>
        <w:t xml:space="preserve"> </w:t>
      </w:r>
      <w:r>
        <w:rPr>
          <w:rFonts w:hint="eastAsia" w:hAnsi="宋体" w:eastAsia="宋体" w:cs="宋体"/>
          <w:color w:val="auto"/>
          <w:u w:val="single"/>
          <w:lang w:val="en-US" w:eastAsia="zh-CN"/>
        </w:rPr>
        <w:t xml:space="preserve">10  </w:t>
      </w:r>
      <w:r>
        <w:rPr>
          <w:rFonts w:hint="eastAsia" w:ascii="宋体" w:hAnsi="宋体" w:eastAsia="宋体" w:cs="宋体"/>
          <w:color w:val="auto"/>
          <w:u w:val="none"/>
          <w:lang w:val="en-US" w:eastAsia="zh-CN"/>
        </w:rPr>
        <w:t>%</w:t>
      </w:r>
      <w:r>
        <w:rPr>
          <w:rFonts w:hint="eastAsia" w:hAnsi="宋体" w:eastAsia="宋体" w:cs="宋体"/>
          <w:color w:val="auto"/>
          <w:u w:val="none"/>
          <w:lang w:val="en-US" w:eastAsia="zh-CN"/>
        </w:rPr>
        <w:t>，本次</w:t>
      </w:r>
      <w:r>
        <w:rPr>
          <w:rFonts w:hint="eastAsia" w:ascii="宋体" w:hAnsi="宋体" w:eastAsia="宋体" w:cs="宋体"/>
          <w:color w:val="auto"/>
          <w:u w:val="none"/>
          <w:lang w:val="en-US" w:eastAsia="zh-CN"/>
        </w:rPr>
        <w:t>应结算总金额</w:t>
      </w:r>
      <w:r>
        <w:rPr>
          <w:rFonts w:hint="eastAsia" w:hAnsi="宋体" w:eastAsia="宋体" w:cs="宋体"/>
          <w:color w:val="auto"/>
          <w:u w:val="none"/>
          <w:lang w:val="en-US" w:eastAsia="zh-CN"/>
        </w:rPr>
        <w:t>是指本次若有价格折让之后的总金额，但包含了违约金或行为考核扣款</w:t>
      </w:r>
      <w:r>
        <w:rPr>
          <w:rFonts w:hint="eastAsia" w:ascii="宋体" w:hAnsi="宋体" w:eastAsia="宋体" w:cs="宋体"/>
          <w:color w:val="auto"/>
          <w:u w:val="none"/>
          <w:lang w:val="en-US" w:eastAsia="zh-CN"/>
        </w:rPr>
        <w:t>；</w:t>
      </w:r>
    </w:p>
    <w:p>
      <w:pPr>
        <w:pStyle w:val="7"/>
        <w:numPr>
          <w:ilvl w:val="0"/>
          <w:numId w:val="0"/>
        </w:numPr>
        <w:ind w:firstLine="480" w:firstLineChars="200"/>
        <w:rPr>
          <w:rFonts w:hint="default" w:eastAsia="宋体" w:cs="宋体"/>
          <w:color w:val="auto"/>
          <w:highlight w:val="none"/>
          <w:lang w:val="en-US" w:eastAsia="zh-CN"/>
        </w:rPr>
      </w:pPr>
      <w:r>
        <w:rPr>
          <w:rFonts w:hint="eastAsia" w:hAnsi="宋体" w:eastAsia="宋体" w:cs="宋体"/>
          <w:color w:val="auto"/>
          <w:u w:val="none"/>
          <w:lang w:val="en-US" w:eastAsia="zh-CN"/>
        </w:rPr>
        <w:t>②</w:t>
      </w:r>
      <w:r>
        <w:rPr>
          <w:rFonts w:hint="eastAsia" w:ascii="宋体" w:hAnsi="宋体" w:eastAsia="宋体" w:cs="宋体"/>
          <w:color w:val="auto"/>
          <w:u w:val="none"/>
          <w:lang w:val="en-US" w:eastAsia="zh-CN"/>
        </w:rPr>
        <w:t>质保金支付条件：质保</w:t>
      </w:r>
      <w:r>
        <w:rPr>
          <w:rFonts w:hint="eastAsia" w:hAnsi="宋体" w:eastAsia="宋体" w:cs="宋体"/>
          <w:color w:val="auto"/>
          <w:u w:val="none"/>
          <w:lang w:val="en-US" w:eastAsia="zh-CN"/>
        </w:rPr>
        <w:t>期限</w:t>
      </w:r>
      <w:r>
        <w:rPr>
          <w:rFonts w:hint="eastAsia" w:ascii="宋体" w:hAnsi="宋体" w:eastAsia="宋体" w:cs="宋体"/>
          <w:color w:val="auto"/>
          <w:u w:val="none"/>
          <w:lang w:val="en-US" w:eastAsia="zh-CN"/>
        </w:rPr>
        <w:t>内无任何质量问题，双方无任何遗留问题 ，质保</w:t>
      </w:r>
      <w:r>
        <w:rPr>
          <w:rFonts w:hint="eastAsia" w:hAnsi="宋体" w:eastAsia="宋体" w:cs="宋体"/>
          <w:color w:val="auto"/>
          <w:u w:val="none"/>
          <w:lang w:val="en-US" w:eastAsia="zh-CN"/>
        </w:rPr>
        <w:t>期限</w:t>
      </w:r>
      <w:r>
        <w:rPr>
          <w:rFonts w:hint="eastAsia" w:ascii="宋体" w:hAnsi="宋体" w:eastAsia="宋体" w:cs="宋体"/>
          <w:color w:val="auto"/>
          <w:u w:val="none"/>
          <w:lang w:val="en-US" w:eastAsia="zh-CN"/>
        </w:rPr>
        <w:t>结束后30天内</w:t>
      </w:r>
      <w:r>
        <w:rPr>
          <w:rFonts w:hint="eastAsia" w:hAnsi="宋体" w:eastAsia="宋体" w:cs="宋体"/>
          <w:color w:val="auto"/>
          <w:u w:val="none"/>
          <w:lang w:val="en-US" w:eastAsia="zh-CN"/>
        </w:rPr>
        <w:t>采购人</w:t>
      </w:r>
      <w:r>
        <w:rPr>
          <w:rFonts w:hint="eastAsia" w:ascii="宋体" w:hAnsi="宋体" w:eastAsia="宋体" w:cs="宋体"/>
          <w:color w:val="auto"/>
          <w:u w:val="none"/>
          <w:lang w:val="en-US" w:eastAsia="zh-CN"/>
        </w:rPr>
        <w:t>无息支付。</w:t>
      </w:r>
    </w:p>
    <w:p>
      <w:pPr>
        <w:spacing w:line="360" w:lineRule="auto"/>
        <w:ind w:firstLine="480" w:firstLineChars="200"/>
        <w:outlineLvl w:val="0"/>
        <w:rPr>
          <w:rFonts w:hint="eastAsia"/>
          <w:lang w:val="en-US" w:eastAsia="zh-CN"/>
        </w:rPr>
      </w:pPr>
      <w:r>
        <w:rPr>
          <w:rFonts w:hint="eastAsia" w:ascii="宋体" w:hAnsi="宋体" w:cs="宋体"/>
          <w:b w:val="0"/>
          <w:bCs/>
          <w:color w:val="auto"/>
          <w:sz w:val="24"/>
          <w:highlight w:val="none"/>
          <w:lang w:val="en-US" w:eastAsia="zh-CN"/>
        </w:rPr>
        <w:t>21.采购人对本合同项下合同成果的验收合格，仅为对货物数量、外观、型号及初步功能、服务要求的符合性确认，并非对货物或者服务内在质量、性能、长期稳定性及所有潜在瑕疵的最终认可，不能豁免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lang w:val="en-US"/>
        </w:rPr>
      </w:pPr>
      <w:r>
        <w:rPr>
          <w:rFonts w:hint="eastAsia"/>
          <w:b/>
          <w:bCs/>
          <w:lang w:val="en-US" w:eastAsia="zh-CN"/>
        </w:rPr>
        <w:t>六</w:t>
      </w:r>
      <w:r>
        <w:rPr>
          <w:rFonts w:hint="eastAsia"/>
          <w:b/>
          <w:bCs/>
          <w:lang w:val="en-US"/>
        </w:rPr>
        <w:t>、服务要求</w:t>
      </w:r>
    </w:p>
    <w:p>
      <w:pPr>
        <w:spacing w:line="360" w:lineRule="auto"/>
        <w:ind w:firstLine="480" w:firstLineChars="200"/>
        <w:outlineLvl w:val="0"/>
        <w:rPr>
          <w:rFonts w:hint="default" w:ascii="宋体" w:hAnsi="宋体" w:cs="宋体" w:eastAsiaTheme="minorEastAsia"/>
          <w:b/>
          <w:bCs/>
          <w:sz w:val="24"/>
          <w:u w:val="single"/>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r>
        <w:rPr>
          <w:rFonts w:hint="eastAsia" w:ascii="宋体" w:hAnsi="宋体" w:cs="宋体"/>
          <w:b/>
          <w:bCs/>
          <w:sz w:val="24"/>
          <w:u w:val="single"/>
          <w:lang w:val="en-US" w:eastAsia="zh-CN"/>
        </w:rPr>
        <w:t>供应商需要充分了解采购人现场安装环境，有恶臭、有毒有害气体存在，乙方需要遵守甲方的安全作业要求，自行准备劳动防护用品。</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spacing w:line="360" w:lineRule="auto"/>
        <w:ind w:firstLine="480" w:firstLineChars="200"/>
        <w:outlineLvl w:val="0"/>
        <w:rPr>
          <w:rFonts w:hint="default" w:ascii="宋体" w:hAnsi="宋体" w:cs="宋体"/>
          <w:b w:val="0"/>
          <w:bCs w:val="0"/>
          <w:color w:val="auto"/>
          <w:sz w:val="24"/>
          <w:lang w:val="en-US" w:eastAsia="zh-CN"/>
        </w:rPr>
      </w:pPr>
      <w:r>
        <w:rPr>
          <w:rFonts w:hint="eastAsia" w:ascii="宋体" w:hAnsi="宋体" w:cs="宋体"/>
          <w:b w:val="0"/>
          <w:bCs w:val="0"/>
          <w:color w:val="auto"/>
          <w:sz w:val="24"/>
          <w:lang w:val="en-US" w:eastAsia="zh-CN"/>
        </w:rPr>
        <w:t>3.供货批次：一次性供货、安装和调试。供应商在收到采购人采购订单后45天内完成供货，在收到甲方通知后15天内安装和调试。</w:t>
      </w:r>
    </w:p>
    <w:p>
      <w:pPr>
        <w:pStyle w:val="7"/>
        <w:ind w:firstLine="480" w:firstLineChars="200"/>
        <w:rPr>
          <w:rFonts w:hint="eastAsia"/>
          <w:highlight w:val="none"/>
          <w:lang w:val="en-US" w:eastAsia="zh-CN"/>
        </w:rPr>
      </w:pPr>
      <w:r>
        <w:rPr>
          <w:rFonts w:hint="eastAsia"/>
          <w:highlight w:val="none"/>
          <w:lang w:val="en-US" w:eastAsia="zh-CN"/>
        </w:rPr>
        <w:t>4.供应商应及时提供与设备有关的设计、设备监造、检验、调试、验收、性能验收试验、运行、检修等相应的技术指导、技术配合、技术培训等全过程的服务。</w:t>
      </w:r>
    </w:p>
    <w:p>
      <w:pPr>
        <w:pStyle w:val="7"/>
        <w:ind w:firstLine="480" w:firstLineChars="200"/>
        <w:rPr>
          <w:rFonts w:hint="eastAsia"/>
          <w:highlight w:val="none"/>
          <w:lang w:val="en-US" w:eastAsia="zh-CN"/>
        </w:rPr>
      </w:pPr>
      <w:r>
        <w:rPr>
          <w:rFonts w:hint="eastAsia"/>
          <w:highlight w:val="none"/>
          <w:lang w:val="en-US" w:eastAsia="zh-CN"/>
        </w:rPr>
        <w:t>5.本项目安装调试期内供应商应派专业技术人员常驻现场，根据技术资料进行安装、调试和启动，并负责解决所供设备在安装、调试、试运行中发现的与制造质量及性能有关的问题。</w:t>
      </w:r>
    </w:p>
    <w:p>
      <w:pPr>
        <w:pStyle w:val="7"/>
        <w:ind w:firstLine="480" w:firstLineChars="200"/>
        <w:rPr>
          <w:rFonts w:hint="eastAsia"/>
          <w:highlight w:val="none"/>
          <w:lang w:val="en-US" w:eastAsia="zh-CN"/>
        </w:rPr>
      </w:pPr>
      <w:r>
        <w:rPr>
          <w:rFonts w:hint="eastAsia"/>
          <w:highlight w:val="none"/>
          <w:lang w:val="en-US" w:eastAsia="zh-CN"/>
        </w:rPr>
        <w:t>6.供应商派到现场服务的技术人员应是具有实践经验、可胜任此项工作的人员。采购人有权提出更换不符合要求的技术服务人员，供货方可根据现场需要重新选派符合要求的服务人员。</w:t>
      </w:r>
    </w:p>
    <w:p>
      <w:pPr>
        <w:pStyle w:val="7"/>
        <w:ind w:firstLine="480" w:firstLineChars="200"/>
        <w:rPr>
          <w:rFonts w:hint="eastAsia"/>
          <w:highlight w:val="none"/>
          <w:lang w:val="en-US" w:eastAsia="zh-CN"/>
        </w:rPr>
      </w:pPr>
      <w:r>
        <w:rPr>
          <w:rFonts w:hint="eastAsia"/>
          <w:highlight w:val="none"/>
          <w:lang w:val="en-US" w:eastAsia="zh-CN"/>
        </w:rPr>
        <w:t>7.如遇有重大问题需要双方立即研究协商时，任何一方均可建议召开会议，双方协商解决方案。</w:t>
      </w:r>
    </w:p>
    <w:p>
      <w:pPr>
        <w:pStyle w:val="7"/>
        <w:ind w:firstLine="480" w:firstLineChars="200"/>
        <w:rPr>
          <w:rFonts w:hint="eastAsia"/>
          <w:highlight w:val="none"/>
          <w:lang w:val="en-US" w:eastAsia="zh-CN"/>
        </w:rPr>
      </w:pPr>
      <w:r>
        <w:rPr>
          <w:rFonts w:hint="eastAsia"/>
          <w:highlight w:val="none"/>
          <w:lang w:val="en-US" w:eastAsia="zh-CN"/>
        </w:rPr>
        <w:t>8.供应商须对本项目相关的供货、设备及技术接口、技术服务等问题负全部责任。凡与本次供货设备相连接的其他设备装置，供应商有义务提供接口和技术配合。</w:t>
      </w:r>
    </w:p>
    <w:p>
      <w:pPr>
        <w:pStyle w:val="7"/>
        <w:ind w:firstLine="480" w:firstLineChars="200"/>
        <w:rPr>
          <w:rFonts w:hint="eastAsia"/>
          <w:highlight w:val="none"/>
          <w:lang w:val="en-US" w:eastAsia="zh-CN"/>
        </w:rPr>
      </w:pPr>
      <w:r>
        <w:rPr>
          <w:rFonts w:hint="eastAsia" w:ascii="宋体"/>
          <w:lang w:val="en-US" w:eastAsia="zh-CN"/>
        </w:rPr>
        <w:t>9.供应商须保证本项目技术方案、设备选型、施工工艺等全部内容均为自主研发、合法授权或已进入公知领域，不存在侵犯任何第三方专利、商标、著作权等知识产权的行为。如因报价方行为导致本项目涉及专利侵权纠纷（包括但不限于诉讼、索赔、行政调查等），由供应商全权承担所有法律责任及经济赔偿（包括因此产生的律师费、诉讼费、赔偿金等全部损失）。</w:t>
      </w:r>
    </w:p>
    <w:p>
      <w:pPr>
        <w:pStyle w:val="7"/>
        <w:ind w:firstLine="480" w:firstLineChars="200"/>
        <w:rPr>
          <w:rFonts w:hint="eastAsia" w:ascii="宋体"/>
          <w:highlight w:val="none"/>
          <w:lang w:val="en-US"/>
        </w:rPr>
      </w:pPr>
      <w:r>
        <w:rPr>
          <w:rFonts w:hint="eastAsia"/>
          <w:highlight w:val="none"/>
          <w:lang w:val="en-US" w:eastAsia="zh-CN"/>
        </w:rPr>
        <w:t>10</w:t>
      </w:r>
      <w:r>
        <w:rPr>
          <w:rFonts w:hint="eastAsia"/>
          <w:highlight w:val="none"/>
          <w:lang w:val="en-US"/>
        </w:rPr>
        <w:t>.</w:t>
      </w:r>
      <w:r>
        <w:rPr>
          <w:rFonts w:hint="eastAsia"/>
          <w:highlight w:val="none"/>
          <w:lang w:val="en-US" w:eastAsia="zh-CN"/>
        </w:rPr>
        <w:t>供应商</w:t>
      </w:r>
      <w:r>
        <w:rPr>
          <w:rFonts w:hint="eastAsia"/>
          <w:highlight w:val="none"/>
          <w:lang w:val="en-US"/>
        </w:rPr>
        <w:t>必须满足</w:t>
      </w:r>
      <w:r>
        <w:rPr>
          <w:rFonts w:hint="eastAsia"/>
          <w:highlight w:val="none"/>
          <w:lang w:val="en-US" w:eastAsia="zh-CN"/>
        </w:rPr>
        <w:t>采购人</w:t>
      </w:r>
      <w:r>
        <w:rPr>
          <w:rFonts w:hint="eastAsia"/>
          <w:highlight w:val="none"/>
          <w:lang w:val="en-US"/>
        </w:rPr>
        <w:t>售后服务要求。</w:t>
      </w:r>
      <w:r>
        <w:rPr>
          <w:rFonts w:hint="eastAsia"/>
          <w:highlight w:val="none"/>
          <w:lang w:val="en-US" w:eastAsia="zh-CN"/>
        </w:rPr>
        <w:t>若供应商提供的货物或者服务在</w:t>
      </w:r>
      <w:r>
        <w:rPr>
          <w:rFonts w:hint="eastAsia"/>
          <w:highlight w:val="none"/>
          <w:lang w:val="en-US"/>
        </w:rPr>
        <w:t>使用过</w:t>
      </w:r>
      <w:r>
        <w:rPr>
          <w:rFonts w:hint="eastAsia"/>
          <w:highlight w:val="none"/>
          <w:lang w:val="en-US" w:eastAsia="zh-CN"/>
        </w:rPr>
        <w:t>程中</w:t>
      </w:r>
      <w:r>
        <w:rPr>
          <w:rFonts w:hint="eastAsia"/>
          <w:highlight w:val="none"/>
          <w:lang w:val="en-US"/>
        </w:rPr>
        <w:t>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highlight w:val="none"/>
          <w:lang w:val="en-US" w:eastAsia="zh-CN"/>
        </w:rPr>
        <w:t>采购人</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highlight w:val="none"/>
          <w:lang w:val="en-US" w:eastAsia="zh-CN"/>
        </w:rPr>
        <w:t>充分</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11</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12</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七</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0000FF"/>
          <w:sz w:val="24"/>
          <w:highlight w:val="yellow"/>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采购订单、送货单、产品质量检验合格证明或者检测报告</w:t>
      </w:r>
      <w:r>
        <w:rPr>
          <w:rFonts w:hint="eastAsia" w:ascii="宋体" w:hAnsi="宋体" w:eastAsia="宋体" w:cs="宋体"/>
          <w:sz w:val="24"/>
          <w:lang w:eastAsia="zh-CN"/>
        </w:rPr>
        <w:t>，</w:t>
      </w:r>
      <w:r>
        <w:rPr>
          <w:rFonts w:hint="eastAsia" w:ascii="宋体" w:hAnsi="宋体" w:eastAsia="宋体" w:cs="宋体"/>
          <w:sz w:val="24"/>
        </w:rPr>
        <w:t>否则</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ind w:firstLine="480" w:firstLineChars="200"/>
        <w:outlineLvl w:val="0"/>
        <w:rPr>
          <w:rFonts w:hint="eastAsia" w:ascii="宋体" w:hAnsi="宋体" w:cs="宋体"/>
          <w:b/>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、检验和验收</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。采购人有权使用光谱分析仪对材质成份进行检测，检测结果应满足合同约定要求，否则视为验收不合格，供应商负责调换货。</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4.经验收不满足合同要求的，视为验收不合格，供应商须及时完成整改，整体装置</w:t>
      </w:r>
      <w:r>
        <w:rPr>
          <w:rFonts w:hint="eastAsia" w:ascii="宋体" w:hAnsi="宋体" w:cs="宋体"/>
          <w:color w:val="auto"/>
          <w:sz w:val="24"/>
          <w:lang w:val="en-US" w:eastAsia="zh-CN"/>
        </w:rPr>
        <w:t>试运行72+24小时，期间视频数据传输顺畅、视频效果清晰、排水通畅视为验收合格。</w:t>
      </w:r>
    </w:p>
    <w:p>
      <w:pPr>
        <w:tabs>
          <w:tab w:val="left" w:pos="360"/>
          <w:tab w:val="left" w:pos="540"/>
          <w:tab w:val="left" w:pos="1080"/>
        </w:tabs>
        <w:spacing w:line="360" w:lineRule="auto"/>
        <w:ind w:firstLine="480" w:firstLineChars="200"/>
        <w:rPr>
          <w:rFonts w:hint="eastAsia" w:ascii="宋体" w:hAnsi="宋体" w:eastAsia="宋体" w:cs="宋体"/>
          <w:b/>
          <w:bCs/>
          <w:sz w:val="24"/>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r>
        <w:rPr>
          <w:rFonts w:hint="eastAsia" w:ascii="宋体" w:hAnsi="宋体" w:cs="宋体"/>
          <w:sz w:val="24"/>
          <w:lang w:val="en-US" w:eastAsia="zh-CN"/>
        </w:rPr>
        <w:t>或原品牌的产品。</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九</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rFonts w:hint="eastAsia" w:cs="仿宋" w:asciiTheme="minorEastAsia" w:hAnsiTheme="minorEastAsia"/>
          <w:color w:val="auto"/>
          <w:kern w:val="0"/>
        </w:rPr>
      </w:pPr>
      <w:r>
        <w:rPr>
          <w:rFonts w:hint="eastAsia" w:cs="仿宋" w:asciiTheme="minorEastAsia" w:hAnsiTheme="minorEastAsia"/>
          <w:color w:val="auto"/>
          <w:kern w:val="0"/>
          <w:lang w:val="en-US" w:eastAsia="zh-CN"/>
        </w:rPr>
        <w:t>4</w:t>
      </w:r>
      <w:r>
        <w:rPr>
          <w:rFonts w:hint="eastAsia" w:cs="仿宋" w:asciiTheme="minorEastAsia" w:hAnsiTheme="minorEastAsia"/>
          <w:color w:val="auto"/>
          <w:kern w:val="0"/>
        </w:rPr>
        <w:t>.供应商提供完整详细的控制说明书、原理接线图、仪表清单、电缆清册及全部设备安装、调试、运行、维修所需要的详细的技术说明、手册及设备安装图等。</w:t>
      </w:r>
    </w:p>
    <w:p>
      <w:pPr>
        <w:pStyle w:val="7"/>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十</w:t>
      </w:r>
      <w:r>
        <w:rPr>
          <w:rFonts w:hint="eastAsia"/>
          <w:b/>
          <w:bCs/>
          <w:color w:val="auto"/>
          <w:lang w:val="en-US"/>
        </w:rPr>
        <w:t>、结算方式</w:t>
      </w:r>
    </w:p>
    <w:p>
      <w:pPr>
        <w:pStyle w:val="16"/>
        <w:ind w:firstLine="480" w:firstLineChars="200"/>
        <w:rPr>
          <w:lang w:val="en-US"/>
        </w:rPr>
      </w:pPr>
      <w:r>
        <w:rPr>
          <w:rFonts w:hint="eastAsia"/>
          <w:lang w:val="en-US"/>
        </w:rPr>
        <w:t>以本询价采购文件中的合同条款为准。</w:t>
      </w:r>
    </w:p>
    <w:p>
      <w:pPr>
        <w:pStyle w:val="7"/>
        <w:numPr>
          <w:ilvl w:val="0"/>
          <w:numId w:val="0"/>
        </w:numPr>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cs="仿宋" w:asciiTheme="minorEastAsia" w:hAnsiTheme="minorEastAsia"/>
          <w:b/>
          <w:sz w:val="36"/>
          <w:szCs w:val="36"/>
        </w:rPr>
      </w:pPr>
    </w:p>
    <w:p/>
    <w:p/>
    <w:p/>
    <w:p/>
    <w:p/>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8" w:name="_Toc184308080"/>
      <w:bookmarkEnd w:id="18"/>
      <w:bookmarkStart w:id="19" w:name="_Toc184312113"/>
      <w:bookmarkEnd w:id="19"/>
      <w:bookmarkStart w:id="20" w:name="_Toc184312071"/>
      <w:bookmarkEnd w:id="20"/>
      <w:bookmarkStart w:id="21" w:name="_Toc184313278"/>
      <w:bookmarkEnd w:id="21"/>
      <w:bookmarkStart w:id="22" w:name="_Toc184314441"/>
      <w:bookmarkEnd w:id="22"/>
      <w:bookmarkStart w:id="23" w:name="_Toc184308064"/>
      <w:bookmarkEnd w:id="23"/>
      <w:bookmarkStart w:id="24" w:name="_Toc184314442"/>
      <w:bookmarkEnd w:id="24"/>
      <w:bookmarkStart w:id="25" w:name="_Toc184308067"/>
      <w:bookmarkEnd w:id="25"/>
      <w:bookmarkStart w:id="26" w:name="_Toc184313262"/>
      <w:bookmarkEnd w:id="26"/>
      <w:bookmarkStart w:id="27" w:name="_Toc184314412"/>
      <w:bookmarkEnd w:id="27"/>
      <w:bookmarkStart w:id="28" w:name="_Toc184313284"/>
      <w:bookmarkEnd w:id="28"/>
      <w:bookmarkStart w:id="29" w:name="_Toc184314453"/>
      <w:bookmarkEnd w:id="29"/>
      <w:bookmarkStart w:id="30" w:name="_Toc184310337"/>
      <w:bookmarkEnd w:id="30"/>
      <w:bookmarkStart w:id="31" w:name="_Toc184314455"/>
      <w:bookmarkEnd w:id="31"/>
      <w:bookmarkStart w:id="32" w:name="_Toc184314428"/>
      <w:bookmarkEnd w:id="32"/>
      <w:bookmarkStart w:id="33" w:name="_Toc184312067"/>
      <w:bookmarkEnd w:id="33"/>
      <w:bookmarkStart w:id="34" w:name="_Toc184314481"/>
      <w:bookmarkEnd w:id="34"/>
      <w:bookmarkStart w:id="35" w:name="_Toc184313309"/>
      <w:bookmarkEnd w:id="35"/>
      <w:bookmarkStart w:id="36" w:name="_Toc184310273"/>
      <w:bookmarkEnd w:id="36"/>
      <w:bookmarkStart w:id="37" w:name="_Toc184312087"/>
      <w:bookmarkEnd w:id="37"/>
      <w:bookmarkStart w:id="38" w:name="_Toc184310343"/>
      <w:bookmarkEnd w:id="38"/>
      <w:bookmarkStart w:id="39" w:name="_Toc184310300"/>
      <w:bookmarkEnd w:id="39"/>
      <w:bookmarkStart w:id="40" w:name="_Toc184314473"/>
      <w:bookmarkEnd w:id="40"/>
      <w:bookmarkStart w:id="41" w:name="_Toc184314414"/>
      <w:bookmarkEnd w:id="41"/>
      <w:bookmarkStart w:id="42" w:name="_Toc184314458"/>
      <w:bookmarkEnd w:id="42"/>
      <w:bookmarkStart w:id="43" w:name="_Toc184310305"/>
      <w:bookmarkEnd w:id="43"/>
      <w:bookmarkStart w:id="44" w:name="_Toc184310276"/>
      <w:bookmarkEnd w:id="44"/>
      <w:bookmarkStart w:id="45" w:name="_Toc184312102"/>
      <w:bookmarkEnd w:id="45"/>
      <w:bookmarkStart w:id="46" w:name="_Toc184313252"/>
      <w:bookmarkEnd w:id="46"/>
      <w:bookmarkStart w:id="47" w:name="_Toc184310330"/>
      <w:bookmarkEnd w:id="47"/>
      <w:bookmarkStart w:id="48" w:name="_Toc184313248"/>
      <w:bookmarkEnd w:id="48"/>
      <w:bookmarkStart w:id="49" w:name="_Toc184312110"/>
      <w:bookmarkEnd w:id="49"/>
      <w:bookmarkStart w:id="50" w:name="_Toc184313279"/>
      <w:bookmarkEnd w:id="50"/>
      <w:bookmarkStart w:id="51" w:name="_Toc184312069"/>
      <w:bookmarkEnd w:id="51"/>
      <w:bookmarkStart w:id="52" w:name="_Toc184313255"/>
      <w:bookmarkEnd w:id="52"/>
      <w:bookmarkStart w:id="53" w:name="_Toc184310318"/>
      <w:bookmarkEnd w:id="53"/>
      <w:bookmarkStart w:id="54" w:name="_Toc184312090"/>
      <w:bookmarkEnd w:id="54"/>
      <w:bookmarkStart w:id="55" w:name="_Toc184310291"/>
      <w:bookmarkEnd w:id="55"/>
      <w:bookmarkStart w:id="56" w:name="_Toc184312107"/>
      <w:bookmarkEnd w:id="56"/>
      <w:bookmarkStart w:id="57" w:name="_Toc184310325"/>
      <w:bookmarkEnd w:id="57"/>
      <w:bookmarkStart w:id="58" w:name="_Toc184308074"/>
      <w:bookmarkEnd w:id="58"/>
      <w:bookmarkStart w:id="59" w:name="_Toc184310294"/>
      <w:bookmarkEnd w:id="59"/>
      <w:bookmarkStart w:id="60" w:name="_Toc184312139"/>
      <w:bookmarkEnd w:id="60"/>
      <w:bookmarkStart w:id="61" w:name="_Toc184312077"/>
      <w:bookmarkEnd w:id="61"/>
      <w:bookmarkStart w:id="62" w:name="_Toc184313299"/>
      <w:bookmarkEnd w:id="62"/>
      <w:bookmarkStart w:id="63" w:name="_Toc184313273"/>
      <w:bookmarkEnd w:id="63"/>
      <w:bookmarkStart w:id="64" w:name="_Toc184314478"/>
      <w:bookmarkEnd w:id="64"/>
      <w:bookmarkStart w:id="65" w:name="_Toc184310339"/>
      <w:bookmarkEnd w:id="65"/>
      <w:bookmarkStart w:id="66" w:name="_Toc184308103"/>
      <w:bookmarkEnd w:id="66"/>
      <w:bookmarkStart w:id="67" w:name="_Toc184314418"/>
      <w:bookmarkEnd w:id="67"/>
      <w:bookmarkStart w:id="68" w:name="_Toc184314477"/>
      <w:bookmarkEnd w:id="68"/>
      <w:bookmarkStart w:id="69" w:name="_Toc184308102"/>
      <w:bookmarkEnd w:id="69"/>
      <w:bookmarkStart w:id="70" w:name="_Toc184312096"/>
      <w:bookmarkEnd w:id="70"/>
      <w:bookmarkStart w:id="71" w:name="_Toc184308058"/>
      <w:bookmarkEnd w:id="71"/>
      <w:bookmarkStart w:id="72" w:name="_Toc184313257"/>
      <w:bookmarkEnd w:id="72"/>
      <w:bookmarkStart w:id="73" w:name="_Toc184312078"/>
      <w:bookmarkEnd w:id="73"/>
      <w:bookmarkStart w:id="74" w:name="_Toc184312125"/>
      <w:bookmarkEnd w:id="74"/>
      <w:bookmarkStart w:id="75" w:name="_Toc184313308"/>
      <w:bookmarkEnd w:id="75"/>
      <w:bookmarkStart w:id="76" w:name="_Toc184313264"/>
      <w:bookmarkEnd w:id="76"/>
      <w:bookmarkStart w:id="77" w:name="_Toc184312134"/>
      <w:bookmarkEnd w:id="77"/>
      <w:bookmarkStart w:id="78" w:name="_Toc184313301"/>
      <w:bookmarkEnd w:id="78"/>
      <w:bookmarkStart w:id="79" w:name="_Toc184310316"/>
      <w:bookmarkEnd w:id="79"/>
      <w:bookmarkStart w:id="80" w:name="_Toc184308045"/>
      <w:bookmarkEnd w:id="80"/>
      <w:bookmarkStart w:id="81" w:name="_Toc184314433"/>
      <w:bookmarkEnd w:id="81"/>
      <w:bookmarkStart w:id="82" w:name="_Toc184312072"/>
      <w:bookmarkEnd w:id="82"/>
      <w:bookmarkStart w:id="83" w:name="_Toc184310335"/>
      <w:bookmarkEnd w:id="83"/>
      <w:bookmarkStart w:id="84" w:name="_Toc184314454"/>
      <w:bookmarkEnd w:id="84"/>
      <w:bookmarkStart w:id="85" w:name="_Toc184313268"/>
      <w:bookmarkEnd w:id="85"/>
      <w:bookmarkStart w:id="86" w:name="_Toc184308099"/>
      <w:bookmarkEnd w:id="86"/>
      <w:bookmarkStart w:id="87" w:name="_Toc184310328"/>
      <w:bookmarkEnd w:id="87"/>
      <w:bookmarkStart w:id="88" w:name="_Toc184308090"/>
      <w:bookmarkEnd w:id="88"/>
      <w:bookmarkStart w:id="89" w:name="_Toc184312127"/>
      <w:bookmarkEnd w:id="89"/>
      <w:bookmarkStart w:id="90" w:name="_Toc184308051"/>
      <w:bookmarkEnd w:id="90"/>
      <w:bookmarkStart w:id="91" w:name="_Toc184308084"/>
      <w:bookmarkEnd w:id="91"/>
      <w:bookmarkStart w:id="92" w:name="_Toc184310282"/>
      <w:bookmarkEnd w:id="92"/>
      <w:bookmarkStart w:id="93" w:name="_Toc184313247"/>
      <w:bookmarkEnd w:id="93"/>
      <w:bookmarkStart w:id="94" w:name="_Toc184308077"/>
      <w:bookmarkEnd w:id="94"/>
      <w:bookmarkStart w:id="95" w:name="_Toc184308070"/>
      <w:bookmarkEnd w:id="95"/>
      <w:bookmarkStart w:id="96" w:name="_Toc184310329"/>
      <w:bookmarkEnd w:id="96"/>
      <w:bookmarkStart w:id="97" w:name="_Toc184308055"/>
      <w:bookmarkEnd w:id="97"/>
      <w:bookmarkStart w:id="98" w:name="_Toc184310301"/>
      <w:bookmarkEnd w:id="98"/>
      <w:bookmarkStart w:id="99" w:name="_Toc184312086"/>
      <w:bookmarkEnd w:id="99"/>
      <w:bookmarkStart w:id="100" w:name="_Toc184312126"/>
      <w:bookmarkEnd w:id="100"/>
      <w:bookmarkStart w:id="101" w:name="_Toc184314468"/>
      <w:bookmarkEnd w:id="101"/>
      <w:bookmarkStart w:id="102" w:name="_Toc184313295"/>
      <w:bookmarkEnd w:id="102"/>
      <w:bookmarkStart w:id="103" w:name="_Toc184312136"/>
      <w:bookmarkEnd w:id="103"/>
      <w:bookmarkStart w:id="104" w:name="_Toc184308079"/>
      <w:bookmarkEnd w:id="104"/>
      <w:bookmarkStart w:id="105" w:name="_Toc184308056"/>
      <w:bookmarkEnd w:id="105"/>
      <w:bookmarkStart w:id="106" w:name="_Toc184313259"/>
      <w:bookmarkEnd w:id="106"/>
      <w:bookmarkStart w:id="107" w:name="_Toc184314429"/>
      <w:bookmarkEnd w:id="107"/>
      <w:bookmarkStart w:id="108" w:name="_Toc184312101"/>
      <w:bookmarkEnd w:id="108"/>
      <w:bookmarkStart w:id="109" w:name="_Toc184313305"/>
      <w:bookmarkEnd w:id="109"/>
      <w:bookmarkStart w:id="110" w:name="_Toc184310293"/>
      <w:bookmarkEnd w:id="110"/>
      <w:bookmarkStart w:id="111" w:name="_Toc184313274"/>
      <w:bookmarkEnd w:id="111"/>
      <w:bookmarkStart w:id="112" w:name="_Toc184308078"/>
      <w:bookmarkEnd w:id="112"/>
      <w:bookmarkStart w:id="113" w:name="_Toc184313249"/>
      <w:bookmarkEnd w:id="113"/>
      <w:bookmarkStart w:id="114" w:name="_Toc184313241"/>
      <w:bookmarkEnd w:id="114"/>
      <w:bookmarkStart w:id="115" w:name="_Toc184314434"/>
      <w:bookmarkEnd w:id="115"/>
      <w:bookmarkStart w:id="116" w:name="_Toc184313282"/>
      <w:bookmarkEnd w:id="116"/>
      <w:bookmarkStart w:id="117" w:name="_Toc184313243"/>
      <w:bookmarkEnd w:id="117"/>
      <w:bookmarkStart w:id="118" w:name="_Toc184312116"/>
      <w:bookmarkEnd w:id="118"/>
      <w:bookmarkStart w:id="119" w:name="_Toc184312108"/>
      <w:bookmarkEnd w:id="119"/>
      <w:bookmarkStart w:id="120" w:name="_Toc184308039"/>
      <w:bookmarkEnd w:id="120"/>
      <w:bookmarkStart w:id="121" w:name="_Toc184310285"/>
      <w:bookmarkEnd w:id="121"/>
      <w:bookmarkStart w:id="122" w:name="_Toc184312094"/>
      <w:bookmarkEnd w:id="122"/>
      <w:bookmarkStart w:id="123" w:name="_Toc184312084"/>
      <w:bookmarkEnd w:id="123"/>
      <w:bookmarkStart w:id="124" w:name="_Toc184308098"/>
      <w:bookmarkEnd w:id="124"/>
      <w:bookmarkStart w:id="125" w:name="_Toc184310307"/>
      <w:bookmarkEnd w:id="125"/>
      <w:bookmarkStart w:id="126" w:name="_Toc184312105"/>
      <w:bookmarkEnd w:id="126"/>
      <w:bookmarkStart w:id="127" w:name="_Toc184314479"/>
      <w:bookmarkEnd w:id="127"/>
      <w:bookmarkStart w:id="128" w:name="_Toc184314422"/>
      <w:bookmarkEnd w:id="128"/>
      <w:bookmarkStart w:id="129" w:name="_Toc184308066"/>
      <w:bookmarkEnd w:id="129"/>
      <w:bookmarkStart w:id="130" w:name="_Toc184314464"/>
      <w:bookmarkEnd w:id="130"/>
      <w:bookmarkStart w:id="131" w:name="_Toc184308086"/>
      <w:bookmarkEnd w:id="131"/>
      <w:bookmarkStart w:id="132" w:name="_Toc184310286"/>
      <w:bookmarkEnd w:id="132"/>
      <w:bookmarkStart w:id="133" w:name="_Toc184308049"/>
      <w:bookmarkEnd w:id="133"/>
      <w:bookmarkStart w:id="134" w:name="_Toc184313302"/>
      <w:bookmarkEnd w:id="134"/>
      <w:bookmarkStart w:id="135" w:name="_Toc184314446"/>
      <w:bookmarkEnd w:id="135"/>
      <w:bookmarkStart w:id="136" w:name="_Toc184312079"/>
      <w:bookmarkEnd w:id="136"/>
      <w:bookmarkStart w:id="137" w:name="_Toc184313281"/>
      <w:bookmarkEnd w:id="137"/>
      <w:bookmarkStart w:id="138" w:name="_Toc184312120"/>
      <w:bookmarkEnd w:id="138"/>
      <w:bookmarkStart w:id="139" w:name="_Toc184310274"/>
      <w:bookmarkEnd w:id="139"/>
      <w:bookmarkStart w:id="140" w:name="_Toc184308053"/>
      <w:bookmarkEnd w:id="140"/>
      <w:bookmarkStart w:id="141" w:name="_Toc184310302"/>
      <w:bookmarkEnd w:id="141"/>
      <w:bookmarkStart w:id="142" w:name="_Toc184308042"/>
      <w:bookmarkEnd w:id="142"/>
      <w:bookmarkStart w:id="143" w:name="_Toc184310342"/>
      <w:bookmarkEnd w:id="143"/>
      <w:bookmarkStart w:id="144" w:name="_Toc184308100"/>
      <w:bookmarkEnd w:id="144"/>
      <w:bookmarkStart w:id="145" w:name="_Toc184308095"/>
      <w:bookmarkEnd w:id="145"/>
      <w:bookmarkStart w:id="146" w:name="_Toc184312132"/>
      <w:bookmarkEnd w:id="146"/>
      <w:bookmarkStart w:id="147" w:name="_Toc184308092"/>
      <w:bookmarkEnd w:id="147"/>
      <w:bookmarkStart w:id="148" w:name="_Toc184308036"/>
      <w:bookmarkEnd w:id="148"/>
      <w:bookmarkStart w:id="149" w:name="_Toc184313280"/>
      <w:bookmarkEnd w:id="149"/>
      <w:bookmarkStart w:id="150" w:name="_Toc184314460"/>
      <w:bookmarkEnd w:id="150"/>
      <w:bookmarkStart w:id="151" w:name="_Toc184312095"/>
      <w:bookmarkEnd w:id="151"/>
      <w:bookmarkStart w:id="152" w:name="_Toc184312138"/>
      <w:bookmarkEnd w:id="152"/>
      <w:bookmarkStart w:id="153" w:name="_Toc184310272"/>
      <w:bookmarkEnd w:id="153"/>
      <w:bookmarkStart w:id="154" w:name="_Toc184313245"/>
      <w:bookmarkEnd w:id="154"/>
      <w:bookmarkStart w:id="155" w:name="_Toc184314423"/>
      <w:bookmarkEnd w:id="155"/>
      <w:bookmarkStart w:id="156" w:name="_Toc184310310"/>
      <w:bookmarkEnd w:id="156"/>
      <w:bookmarkStart w:id="157" w:name="_Toc184313242"/>
      <w:bookmarkEnd w:id="157"/>
      <w:bookmarkStart w:id="158" w:name="_Toc184312091"/>
      <w:bookmarkEnd w:id="158"/>
      <w:bookmarkStart w:id="159" w:name="_Toc184310295"/>
      <w:bookmarkEnd w:id="159"/>
      <w:bookmarkStart w:id="160" w:name="_Toc184312135"/>
      <w:bookmarkEnd w:id="160"/>
      <w:bookmarkStart w:id="161" w:name="_Toc184308106"/>
      <w:bookmarkEnd w:id="161"/>
      <w:bookmarkStart w:id="162" w:name="_Toc184314471"/>
      <w:bookmarkEnd w:id="162"/>
      <w:bookmarkStart w:id="163" w:name="_Toc184314411"/>
      <w:bookmarkEnd w:id="163"/>
      <w:bookmarkStart w:id="164" w:name="_Toc184312068"/>
      <w:bookmarkEnd w:id="164"/>
      <w:bookmarkStart w:id="165" w:name="_Toc184313283"/>
      <w:bookmarkEnd w:id="165"/>
      <w:bookmarkStart w:id="166" w:name="_Toc184314480"/>
      <w:bookmarkEnd w:id="166"/>
      <w:bookmarkStart w:id="167" w:name="_Toc184314465"/>
      <w:bookmarkEnd w:id="167"/>
      <w:bookmarkStart w:id="168" w:name="_Toc184308091"/>
      <w:bookmarkEnd w:id="168"/>
      <w:bookmarkStart w:id="169" w:name="_Toc184313294"/>
      <w:bookmarkEnd w:id="169"/>
      <w:bookmarkStart w:id="170" w:name="_Toc184310314"/>
      <w:bookmarkEnd w:id="170"/>
      <w:bookmarkStart w:id="171" w:name="_Toc184313289"/>
      <w:bookmarkEnd w:id="171"/>
      <w:bookmarkStart w:id="172" w:name="_Toc184314476"/>
      <w:bookmarkEnd w:id="172"/>
      <w:bookmarkStart w:id="173" w:name="_Toc184313300"/>
      <w:bookmarkEnd w:id="173"/>
      <w:bookmarkStart w:id="174" w:name="_Toc184310275"/>
      <w:bookmarkEnd w:id="174"/>
      <w:bookmarkStart w:id="175" w:name="_Toc184308061"/>
      <w:bookmarkEnd w:id="175"/>
      <w:bookmarkStart w:id="176" w:name="_Toc184310290"/>
      <w:bookmarkEnd w:id="176"/>
      <w:bookmarkStart w:id="177" w:name="_Toc184312104"/>
      <w:bookmarkEnd w:id="177"/>
      <w:bookmarkStart w:id="178" w:name="_Toc184308071"/>
      <w:bookmarkEnd w:id="178"/>
      <w:bookmarkStart w:id="179" w:name="_Toc184314456"/>
      <w:bookmarkEnd w:id="179"/>
      <w:bookmarkStart w:id="180" w:name="_Toc184314475"/>
      <w:bookmarkEnd w:id="180"/>
      <w:bookmarkStart w:id="181" w:name="_Toc184312114"/>
      <w:bookmarkEnd w:id="181"/>
      <w:bookmarkStart w:id="182" w:name="_Toc184310284"/>
      <w:bookmarkEnd w:id="182"/>
      <w:bookmarkStart w:id="183" w:name="_Toc184314470"/>
      <w:bookmarkEnd w:id="183"/>
      <w:bookmarkStart w:id="184" w:name="_Toc184313307"/>
      <w:bookmarkEnd w:id="184"/>
      <w:bookmarkStart w:id="185" w:name="_Toc184308047"/>
      <w:bookmarkEnd w:id="185"/>
      <w:bookmarkStart w:id="186" w:name="_Toc184313271"/>
      <w:bookmarkEnd w:id="186"/>
      <w:bookmarkStart w:id="187" w:name="_Toc184308068"/>
      <w:bookmarkEnd w:id="187"/>
      <w:bookmarkStart w:id="188" w:name="_Toc184314417"/>
      <w:bookmarkEnd w:id="188"/>
      <w:bookmarkStart w:id="189" w:name="_Toc184312109"/>
      <w:bookmarkEnd w:id="189"/>
      <w:bookmarkStart w:id="190" w:name="_Toc184314440"/>
      <w:bookmarkEnd w:id="190"/>
      <w:bookmarkStart w:id="191" w:name="_Toc184310334"/>
      <w:bookmarkEnd w:id="191"/>
      <w:bookmarkStart w:id="192" w:name="_Toc184308089"/>
      <w:bookmarkEnd w:id="192"/>
      <w:bookmarkStart w:id="193" w:name="_Toc184314461"/>
      <w:bookmarkEnd w:id="193"/>
      <w:bookmarkStart w:id="194" w:name="_Toc184310317"/>
      <w:bookmarkEnd w:id="194"/>
      <w:bookmarkStart w:id="195" w:name="_Toc184310279"/>
      <w:bookmarkEnd w:id="195"/>
      <w:bookmarkStart w:id="196" w:name="_Toc184310327"/>
      <w:bookmarkEnd w:id="196"/>
      <w:bookmarkStart w:id="197" w:name="_Toc184310308"/>
      <w:bookmarkEnd w:id="197"/>
      <w:bookmarkStart w:id="198" w:name="_Toc184313286"/>
      <w:bookmarkEnd w:id="198"/>
      <w:bookmarkStart w:id="199" w:name="_Toc184310277"/>
      <w:bookmarkEnd w:id="199"/>
      <w:bookmarkStart w:id="200" w:name="_Toc184314421"/>
      <w:bookmarkEnd w:id="200"/>
      <w:bookmarkStart w:id="201" w:name="_Toc184314444"/>
      <w:bookmarkEnd w:id="201"/>
      <w:bookmarkStart w:id="202" w:name="_Toc184310289"/>
      <w:bookmarkEnd w:id="202"/>
      <w:bookmarkStart w:id="203" w:name="_Toc184308044"/>
      <w:bookmarkEnd w:id="203"/>
      <w:bookmarkStart w:id="204" w:name="_Toc184310306"/>
      <w:bookmarkEnd w:id="204"/>
      <w:bookmarkStart w:id="205" w:name="_Toc184308073"/>
      <w:bookmarkEnd w:id="205"/>
      <w:bookmarkStart w:id="206" w:name="_Toc184313296"/>
      <w:bookmarkEnd w:id="206"/>
      <w:bookmarkStart w:id="207" w:name="_Toc184312074"/>
      <w:bookmarkEnd w:id="207"/>
      <w:bookmarkStart w:id="208" w:name="_Toc184308087"/>
      <w:bookmarkEnd w:id="208"/>
      <w:bookmarkStart w:id="209" w:name="_Toc184313265"/>
      <w:bookmarkEnd w:id="209"/>
      <w:bookmarkStart w:id="210" w:name="_Toc184312083"/>
      <w:bookmarkEnd w:id="210"/>
      <w:bookmarkStart w:id="211" w:name="_Toc184312121"/>
      <w:bookmarkEnd w:id="211"/>
      <w:bookmarkStart w:id="212" w:name="_Toc184313256"/>
      <w:bookmarkEnd w:id="212"/>
      <w:bookmarkStart w:id="213" w:name="_Toc184312081"/>
      <w:bookmarkEnd w:id="213"/>
      <w:bookmarkStart w:id="214" w:name="_Toc184312122"/>
      <w:bookmarkEnd w:id="214"/>
      <w:bookmarkStart w:id="215" w:name="_Toc184308043"/>
      <w:bookmarkEnd w:id="215"/>
      <w:bookmarkStart w:id="216" w:name="_Toc184308072"/>
      <w:bookmarkEnd w:id="216"/>
      <w:bookmarkStart w:id="217" w:name="_Toc184308069"/>
      <w:bookmarkEnd w:id="217"/>
      <w:bookmarkStart w:id="218" w:name="_Toc184310313"/>
      <w:bookmarkEnd w:id="218"/>
      <w:bookmarkStart w:id="219" w:name="_Toc184310299"/>
      <w:bookmarkEnd w:id="219"/>
      <w:bookmarkStart w:id="220" w:name="_Toc184310332"/>
      <w:bookmarkEnd w:id="220"/>
      <w:bookmarkStart w:id="221" w:name="_Toc184312129"/>
      <w:bookmarkEnd w:id="221"/>
      <w:bookmarkStart w:id="222" w:name="_Toc184314431"/>
      <w:bookmarkEnd w:id="222"/>
      <w:bookmarkStart w:id="223" w:name="_Toc184310288"/>
      <w:bookmarkEnd w:id="223"/>
      <w:bookmarkStart w:id="224" w:name="_Toc184313275"/>
      <w:bookmarkEnd w:id="224"/>
      <w:bookmarkStart w:id="225" w:name="_Toc184308059"/>
      <w:bookmarkEnd w:id="225"/>
      <w:bookmarkStart w:id="226" w:name="_Toc184312092"/>
      <w:bookmarkEnd w:id="226"/>
      <w:bookmarkStart w:id="227" w:name="_Toc184308076"/>
      <w:bookmarkEnd w:id="227"/>
      <w:bookmarkStart w:id="228" w:name="_Toc184308037"/>
      <w:bookmarkEnd w:id="228"/>
      <w:bookmarkStart w:id="229" w:name="_Toc184313288"/>
      <w:bookmarkEnd w:id="229"/>
      <w:bookmarkStart w:id="230" w:name="_Toc184313267"/>
      <w:bookmarkEnd w:id="230"/>
      <w:bookmarkStart w:id="231" w:name="_Toc184310321"/>
      <w:bookmarkEnd w:id="231"/>
      <w:bookmarkStart w:id="232" w:name="_Toc184310341"/>
      <w:bookmarkEnd w:id="232"/>
      <w:bookmarkStart w:id="233" w:name="_Toc184310297"/>
      <w:bookmarkEnd w:id="233"/>
      <w:bookmarkStart w:id="234" w:name="_Toc184308085"/>
      <w:bookmarkEnd w:id="234"/>
      <w:bookmarkStart w:id="235" w:name="_Toc184312117"/>
      <w:bookmarkEnd w:id="235"/>
      <w:bookmarkStart w:id="236" w:name="_Toc184310304"/>
      <w:bookmarkEnd w:id="236"/>
      <w:bookmarkStart w:id="237" w:name="_Toc184314467"/>
      <w:bookmarkEnd w:id="237"/>
      <w:bookmarkStart w:id="238" w:name="_Toc184314462"/>
      <w:bookmarkEnd w:id="238"/>
      <w:bookmarkStart w:id="239" w:name="_Toc184314410"/>
      <w:bookmarkEnd w:id="239"/>
      <w:bookmarkStart w:id="240" w:name="_Toc184310281"/>
      <w:bookmarkEnd w:id="240"/>
      <w:bookmarkStart w:id="241" w:name="_Toc184312130"/>
      <w:bookmarkEnd w:id="241"/>
      <w:bookmarkStart w:id="242" w:name="_Toc184310280"/>
      <w:bookmarkEnd w:id="242"/>
      <w:bookmarkStart w:id="243" w:name="_Toc184314425"/>
      <w:bookmarkEnd w:id="243"/>
      <w:bookmarkStart w:id="244" w:name="_Toc184313290"/>
      <w:bookmarkEnd w:id="244"/>
      <w:bookmarkStart w:id="245" w:name="_Toc184313306"/>
      <w:bookmarkEnd w:id="245"/>
      <w:bookmarkStart w:id="246" w:name="_Toc184308063"/>
      <w:bookmarkEnd w:id="246"/>
      <w:bookmarkStart w:id="247" w:name="_Toc184308108"/>
      <w:bookmarkEnd w:id="247"/>
      <w:bookmarkStart w:id="248" w:name="_Toc184310311"/>
      <w:bookmarkEnd w:id="248"/>
      <w:bookmarkStart w:id="249" w:name="_Toc184314437"/>
      <w:bookmarkEnd w:id="249"/>
      <w:bookmarkStart w:id="250" w:name="_Toc184313270"/>
      <w:bookmarkEnd w:id="250"/>
      <w:bookmarkStart w:id="251" w:name="_Toc184310323"/>
      <w:bookmarkEnd w:id="251"/>
      <w:bookmarkStart w:id="252" w:name="_Toc184308101"/>
      <w:bookmarkEnd w:id="252"/>
      <w:bookmarkStart w:id="253" w:name="_Toc184308048"/>
      <w:bookmarkEnd w:id="253"/>
      <w:bookmarkStart w:id="254" w:name="_Toc184308104"/>
      <w:bookmarkEnd w:id="254"/>
      <w:bookmarkStart w:id="255" w:name="_Toc184314420"/>
      <w:bookmarkEnd w:id="255"/>
      <w:bookmarkStart w:id="256" w:name="_Toc184314443"/>
      <w:bookmarkEnd w:id="256"/>
      <w:bookmarkStart w:id="257" w:name="_Toc184308057"/>
      <w:bookmarkEnd w:id="257"/>
      <w:bookmarkStart w:id="258" w:name="_Toc184308096"/>
      <w:bookmarkEnd w:id="258"/>
      <w:bookmarkStart w:id="259" w:name="_Toc184314439"/>
      <w:bookmarkEnd w:id="259"/>
      <w:bookmarkStart w:id="260" w:name="_Toc184314482"/>
      <w:bookmarkEnd w:id="260"/>
      <w:bookmarkStart w:id="261" w:name="_Toc184308050"/>
      <w:bookmarkEnd w:id="261"/>
      <w:bookmarkStart w:id="262" w:name="_Toc184310320"/>
      <w:bookmarkEnd w:id="262"/>
      <w:bookmarkStart w:id="263" w:name="_Toc184312131"/>
      <w:bookmarkEnd w:id="263"/>
      <w:bookmarkStart w:id="264" w:name="_Toc184308038"/>
      <w:bookmarkEnd w:id="264"/>
      <w:bookmarkStart w:id="265" w:name="_Toc184308046"/>
      <w:bookmarkEnd w:id="265"/>
      <w:bookmarkStart w:id="266" w:name="_Toc184312137"/>
      <w:bookmarkEnd w:id="266"/>
      <w:bookmarkStart w:id="267" w:name="_Toc184308107"/>
      <w:bookmarkEnd w:id="267"/>
      <w:bookmarkStart w:id="268" w:name="_Toc184312112"/>
      <w:bookmarkEnd w:id="268"/>
      <w:bookmarkStart w:id="269" w:name="_Toc184310303"/>
      <w:bookmarkEnd w:id="269"/>
      <w:bookmarkStart w:id="270" w:name="_Toc184308041"/>
      <w:bookmarkEnd w:id="270"/>
      <w:bookmarkStart w:id="271" w:name="_Toc184310278"/>
      <w:bookmarkEnd w:id="271"/>
      <w:bookmarkStart w:id="272" w:name="_Toc184312133"/>
      <w:bookmarkEnd w:id="272"/>
      <w:bookmarkStart w:id="273" w:name="_Toc184312089"/>
      <w:bookmarkEnd w:id="273"/>
      <w:bookmarkStart w:id="274" w:name="_Toc184312106"/>
      <w:bookmarkEnd w:id="274"/>
      <w:bookmarkStart w:id="275" w:name="_Toc184313250"/>
      <w:bookmarkEnd w:id="275"/>
      <w:bookmarkStart w:id="276" w:name="_Toc184308094"/>
      <w:bookmarkEnd w:id="276"/>
      <w:bookmarkStart w:id="277" w:name="_Toc184308060"/>
      <w:bookmarkEnd w:id="277"/>
      <w:bookmarkStart w:id="278" w:name="_Toc184313276"/>
      <w:bookmarkEnd w:id="278"/>
      <w:bookmarkStart w:id="279" w:name="_Toc184312115"/>
      <w:bookmarkEnd w:id="279"/>
      <w:bookmarkStart w:id="280" w:name="_Toc184314449"/>
      <w:bookmarkEnd w:id="280"/>
      <w:bookmarkStart w:id="281" w:name="_Toc184310344"/>
      <w:bookmarkEnd w:id="281"/>
      <w:bookmarkStart w:id="282" w:name="_Toc184308081"/>
      <w:bookmarkEnd w:id="282"/>
      <w:bookmarkStart w:id="283" w:name="_Toc184308105"/>
      <w:bookmarkEnd w:id="283"/>
      <w:bookmarkStart w:id="284" w:name="_Toc184310322"/>
      <w:bookmarkEnd w:id="284"/>
      <w:bookmarkStart w:id="285" w:name="_Toc184308054"/>
      <w:bookmarkEnd w:id="285"/>
      <w:bookmarkStart w:id="286" w:name="_Toc184313297"/>
      <w:bookmarkEnd w:id="286"/>
      <w:bookmarkStart w:id="287" w:name="_Toc184313238"/>
      <w:bookmarkEnd w:id="287"/>
      <w:bookmarkStart w:id="288" w:name="_Toc184310333"/>
      <w:bookmarkEnd w:id="288"/>
      <w:bookmarkStart w:id="289" w:name="_Toc184314451"/>
      <w:bookmarkEnd w:id="289"/>
      <w:bookmarkStart w:id="290" w:name="_Toc184312082"/>
      <w:bookmarkEnd w:id="290"/>
      <w:bookmarkStart w:id="291" w:name="_Toc184312085"/>
      <w:bookmarkEnd w:id="291"/>
      <w:bookmarkStart w:id="292" w:name="_Toc184313253"/>
      <w:bookmarkEnd w:id="292"/>
      <w:bookmarkStart w:id="293" w:name="_Toc184313254"/>
      <w:bookmarkEnd w:id="293"/>
      <w:bookmarkStart w:id="294" w:name="_Toc184312075"/>
      <w:bookmarkEnd w:id="294"/>
      <w:bookmarkStart w:id="295" w:name="_Toc184310315"/>
      <w:bookmarkEnd w:id="295"/>
      <w:bookmarkStart w:id="296" w:name="_Toc184314447"/>
      <w:bookmarkEnd w:id="296"/>
      <w:bookmarkStart w:id="297" w:name="_Toc184308088"/>
      <w:bookmarkEnd w:id="297"/>
      <w:bookmarkStart w:id="298" w:name="_Toc184310283"/>
      <w:bookmarkEnd w:id="298"/>
      <w:bookmarkStart w:id="299" w:name="_Toc184313285"/>
      <w:bookmarkEnd w:id="299"/>
      <w:bookmarkStart w:id="300" w:name="_Toc184312093"/>
      <w:bookmarkEnd w:id="300"/>
      <w:bookmarkStart w:id="301" w:name="_Toc184310319"/>
      <w:bookmarkEnd w:id="301"/>
      <w:bookmarkStart w:id="302" w:name="_Toc184314445"/>
      <w:bookmarkEnd w:id="302"/>
      <w:bookmarkStart w:id="303" w:name="_Toc184314427"/>
      <w:bookmarkEnd w:id="303"/>
      <w:bookmarkStart w:id="304" w:name="_Toc184310296"/>
      <w:bookmarkEnd w:id="304"/>
      <w:bookmarkStart w:id="305" w:name="_Toc184308097"/>
      <w:bookmarkEnd w:id="305"/>
      <w:bookmarkStart w:id="306" w:name="_Toc184308040"/>
      <w:bookmarkEnd w:id="306"/>
      <w:bookmarkStart w:id="307" w:name="_Toc184314438"/>
      <w:bookmarkEnd w:id="307"/>
      <w:bookmarkStart w:id="308" w:name="_Toc184310326"/>
      <w:bookmarkEnd w:id="308"/>
      <w:bookmarkStart w:id="309" w:name="_Toc184314452"/>
      <w:bookmarkEnd w:id="309"/>
      <w:bookmarkStart w:id="310" w:name="_Toc184312070"/>
      <w:bookmarkEnd w:id="310"/>
      <w:bookmarkStart w:id="311" w:name="_Toc184310292"/>
      <w:bookmarkEnd w:id="311"/>
      <w:bookmarkStart w:id="312" w:name="_Toc184313287"/>
      <w:bookmarkEnd w:id="312"/>
      <w:bookmarkStart w:id="313" w:name="_Toc184310331"/>
      <w:bookmarkEnd w:id="313"/>
      <w:bookmarkStart w:id="314" w:name="_Toc184314459"/>
      <w:bookmarkEnd w:id="314"/>
      <w:bookmarkStart w:id="315" w:name="_Toc184312098"/>
      <w:bookmarkEnd w:id="315"/>
      <w:bookmarkStart w:id="316" w:name="_Toc184313269"/>
      <w:bookmarkEnd w:id="316"/>
      <w:bookmarkStart w:id="317" w:name="_Toc184308065"/>
      <w:bookmarkEnd w:id="317"/>
      <w:bookmarkStart w:id="318" w:name="_Toc184310338"/>
      <w:bookmarkEnd w:id="318"/>
      <w:bookmarkStart w:id="319" w:name="_Toc184314426"/>
      <w:bookmarkEnd w:id="319"/>
      <w:bookmarkStart w:id="320" w:name="_Toc184312099"/>
      <w:bookmarkEnd w:id="320"/>
      <w:bookmarkStart w:id="321" w:name="_Toc184314416"/>
      <w:bookmarkEnd w:id="321"/>
      <w:bookmarkStart w:id="322" w:name="_Toc184312118"/>
      <w:bookmarkEnd w:id="322"/>
      <w:bookmarkStart w:id="323" w:name="_Toc184310324"/>
      <w:bookmarkEnd w:id="323"/>
      <w:bookmarkStart w:id="324" w:name="_Toc184308093"/>
      <w:bookmarkEnd w:id="324"/>
      <w:bookmarkStart w:id="325" w:name="_Toc184308083"/>
      <w:bookmarkEnd w:id="325"/>
      <w:bookmarkStart w:id="326" w:name="_Toc184314430"/>
      <w:bookmarkEnd w:id="326"/>
      <w:bookmarkStart w:id="327" w:name="_Toc184312123"/>
      <w:bookmarkEnd w:id="327"/>
      <w:bookmarkStart w:id="328" w:name="_Toc184314424"/>
      <w:bookmarkEnd w:id="328"/>
      <w:bookmarkStart w:id="329" w:name="_Toc184310336"/>
      <w:bookmarkEnd w:id="329"/>
      <w:bookmarkStart w:id="330" w:name="_Toc184313266"/>
      <w:bookmarkEnd w:id="330"/>
      <w:bookmarkStart w:id="331" w:name="_Toc184313251"/>
      <w:bookmarkEnd w:id="331"/>
      <w:bookmarkStart w:id="332" w:name="_Toc184314457"/>
      <w:bookmarkEnd w:id="332"/>
      <w:bookmarkStart w:id="333" w:name="_Toc184312128"/>
      <w:bookmarkEnd w:id="333"/>
      <w:bookmarkStart w:id="334" w:name="_Toc184312097"/>
      <w:bookmarkEnd w:id="334"/>
      <w:bookmarkStart w:id="335" w:name="_Toc184314450"/>
      <w:bookmarkEnd w:id="335"/>
      <w:bookmarkStart w:id="336" w:name="_Toc184313304"/>
      <w:bookmarkEnd w:id="336"/>
      <w:bookmarkStart w:id="337" w:name="_Toc184312080"/>
      <w:bookmarkEnd w:id="337"/>
      <w:bookmarkStart w:id="338" w:name="_Toc184313261"/>
      <w:bookmarkEnd w:id="338"/>
      <w:bookmarkStart w:id="339" w:name="_Toc184314466"/>
      <w:bookmarkEnd w:id="339"/>
      <w:bookmarkStart w:id="340" w:name="_Toc184308075"/>
      <w:bookmarkEnd w:id="340"/>
      <w:bookmarkStart w:id="341" w:name="_Toc184314448"/>
      <w:bookmarkEnd w:id="341"/>
      <w:bookmarkStart w:id="342" w:name="_Toc184313258"/>
      <w:bookmarkEnd w:id="342"/>
      <w:bookmarkStart w:id="343" w:name="_Toc184314469"/>
      <w:bookmarkEnd w:id="343"/>
      <w:bookmarkStart w:id="344" w:name="_Toc184314432"/>
      <w:bookmarkEnd w:id="344"/>
      <w:bookmarkStart w:id="345" w:name="_Toc184310298"/>
      <w:bookmarkEnd w:id="345"/>
      <w:bookmarkStart w:id="346" w:name="_Toc184312100"/>
      <w:bookmarkEnd w:id="346"/>
      <w:bookmarkStart w:id="347" w:name="_Toc184312124"/>
      <w:bookmarkEnd w:id="347"/>
      <w:bookmarkStart w:id="348" w:name="_Toc184313244"/>
      <w:bookmarkEnd w:id="348"/>
      <w:bookmarkStart w:id="349" w:name="_Toc184314463"/>
      <w:bookmarkEnd w:id="349"/>
      <w:bookmarkStart w:id="350" w:name="_Toc184314419"/>
      <w:bookmarkEnd w:id="350"/>
      <w:bookmarkStart w:id="351" w:name="_Toc184313272"/>
      <w:bookmarkEnd w:id="351"/>
      <w:bookmarkStart w:id="352" w:name="_Toc184313293"/>
      <w:bookmarkEnd w:id="352"/>
      <w:bookmarkStart w:id="353" w:name="_Toc184310287"/>
      <w:bookmarkEnd w:id="353"/>
      <w:bookmarkStart w:id="354" w:name="_Toc184310340"/>
      <w:bookmarkEnd w:id="354"/>
      <w:bookmarkStart w:id="355" w:name="_Toc184313303"/>
      <w:bookmarkEnd w:id="355"/>
      <w:bookmarkStart w:id="356" w:name="_Toc184312103"/>
      <w:bookmarkEnd w:id="356"/>
      <w:bookmarkStart w:id="357" w:name="_Toc184313277"/>
      <w:bookmarkEnd w:id="357"/>
      <w:bookmarkStart w:id="358" w:name="_Toc184312088"/>
      <w:bookmarkEnd w:id="358"/>
      <w:bookmarkStart w:id="359" w:name="_Toc184314415"/>
      <w:bookmarkEnd w:id="359"/>
      <w:bookmarkStart w:id="360" w:name="_Toc184313310"/>
      <w:bookmarkEnd w:id="360"/>
      <w:bookmarkStart w:id="361" w:name="_Toc184314436"/>
      <w:bookmarkEnd w:id="361"/>
      <w:bookmarkStart w:id="362" w:name="_Toc184310309"/>
      <w:bookmarkEnd w:id="362"/>
      <w:bookmarkStart w:id="363" w:name="_Toc184312111"/>
      <w:bookmarkEnd w:id="363"/>
      <w:bookmarkStart w:id="364" w:name="_Toc184312073"/>
      <w:bookmarkEnd w:id="364"/>
      <w:bookmarkStart w:id="365" w:name="_Toc184314413"/>
      <w:bookmarkEnd w:id="365"/>
      <w:bookmarkStart w:id="366" w:name="_Toc184312119"/>
      <w:bookmarkEnd w:id="366"/>
      <w:bookmarkStart w:id="367" w:name="_Toc184310312"/>
      <w:bookmarkEnd w:id="367"/>
      <w:bookmarkStart w:id="368" w:name="_Toc184308062"/>
      <w:bookmarkEnd w:id="368"/>
      <w:bookmarkStart w:id="369" w:name="_Toc184313292"/>
      <w:bookmarkEnd w:id="369"/>
      <w:bookmarkStart w:id="370" w:name="_Toc184312076"/>
      <w:bookmarkEnd w:id="370"/>
      <w:bookmarkStart w:id="371" w:name="_Toc184314474"/>
      <w:bookmarkEnd w:id="371"/>
      <w:bookmarkStart w:id="372" w:name="_Toc184313239"/>
      <w:bookmarkEnd w:id="372"/>
      <w:bookmarkStart w:id="373" w:name="_Toc184313263"/>
      <w:bookmarkEnd w:id="373"/>
      <w:bookmarkStart w:id="374" w:name="_Toc184308052"/>
      <w:bookmarkEnd w:id="374"/>
      <w:bookmarkStart w:id="375" w:name="_Toc184313298"/>
      <w:bookmarkEnd w:id="375"/>
      <w:bookmarkStart w:id="376" w:name="_Toc184313291"/>
      <w:bookmarkEnd w:id="376"/>
      <w:bookmarkStart w:id="377" w:name="_Toc184313246"/>
      <w:bookmarkEnd w:id="377"/>
      <w:bookmarkStart w:id="378" w:name="_Toc184314472"/>
      <w:bookmarkEnd w:id="378"/>
      <w:bookmarkStart w:id="379" w:name="_Toc184313240"/>
      <w:bookmarkEnd w:id="379"/>
      <w:bookmarkStart w:id="380" w:name="_Toc184314435"/>
      <w:bookmarkEnd w:id="380"/>
      <w:bookmarkStart w:id="381" w:name="_Toc184308082"/>
      <w:bookmarkEnd w:id="381"/>
      <w:bookmarkStart w:id="382" w:name="_Toc184313260"/>
      <w:bookmarkEnd w:id="382"/>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w:t>
      </w:r>
      <w:r>
        <w:rPr>
          <w:rFonts w:hint="eastAsia" w:ascii="宋体" w:hAnsi="宋体" w:cs="宋体"/>
          <w:color w:val="auto"/>
          <w:kern w:val="0"/>
          <w:sz w:val="24"/>
          <w:lang w:val="en-US" w:eastAsia="zh-CN"/>
        </w:rPr>
        <w:t>上传</w:t>
      </w:r>
      <w:r>
        <w:rPr>
          <w:rFonts w:hint="eastAsia" w:ascii="宋体" w:hAnsi="宋体" w:cs="宋体"/>
          <w:color w:val="auto"/>
          <w:kern w:val="0"/>
          <w:sz w:val="24"/>
        </w:rPr>
        <w:t>的响</w:t>
      </w:r>
      <w:r>
        <w:rPr>
          <w:rFonts w:hint="eastAsia" w:ascii="宋体" w:hAnsi="宋体" w:cs="宋体"/>
          <w:kern w:val="0"/>
          <w:sz w:val="24"/>
        </w:rPr>
        <w:t>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总金</w:t>
      </w:r>
      <w:r>
        <w:rPr>
          <w:rFonts w:hint="eastAsia"/>
          <w:color w:val="auto"/>
        </w:rPr>
        <w:t>额最低报价情况时，</w:t>
      </w:r>
      <w:r>
        <w:rPr>
          <w:rFonts w:hint="eastAsia"/>
          <w:b/>
          <w:bCs/>
          <w:color w:val="auto"/>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 xml:space="preserve"> PDF</w:t>
      </w:r>
      <w:r>
        <w:rPr>
          <w:rFonts w:hint="eastAsia" w:cs="仿宋" w:asciiTheme="minorEastAsia" w:hAnsiTheme="minorEastAsia"/>
          <w:color w:val="auto"/>
          <w:sz w:val="24"/>
        </w:rPr>
        <w:t>响应文件报价函</w:t>
      </w:r>
      <w:r>
        <w:rPr>
          <w:rFonts w:hint="eastAsia" w:cs="仿宋" w:asciiTheme="minorEastAsia" w:hAnsiTheme="minorEastAsia"/>
          <w:color w:val="auto"/>
          <w:sz w:val="24"/>
          <w:lang w:val="en-US" w:eastAsia="zh-CN"/>
        </w:rPr>
        <w:t>与电子</w:t>
      </w:r>
      <w:r>
        <w:rPr>
          <w:rFonts w:hint="eastAsia" w:cs="仿宋" w:asciiTheme="minorEastAsia" w:hAnsiTheme="minorEastAsia"/>
          <w:color w:val="auto"/>
          <w:sz w:val="24"/>
        </w:rPr>
        <w:t>响应文件报价函不一致的，以</w:t>
      </w:r>
      <w:r>
        <w:rPr>
          <w:rFonts w:hint="eastAsia" w:cs="仿宋" w:asciiTheme="minorEastAsia" w:hAnsiTheme="minorEastAsia"/>
          <w:color w:val="auto"/>
          <w:sz w:val="24"/>
          <w:lang w:val="en-US" w:eastAsia="zh-CN"/>
        </w:rPr>
        <w:t>电子</w:t>
      </w:r>
      <w:r>
        <w:rPr>
          <w:rFonts w:hint="eastAsia" w:cs="仿宋" w:asciiTheme="minorEastAsia" w:hAnsiTheme="minorEastAsia"/>
          <w:color w:val="auto"/>
          <w:sz w:val="24"/>
        </w:rPr>
        <w:t>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4"/>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货物采购合同</w:t>
      </w:r>
    </w:p>
    <w:p>
      <w:pPr>
        <w:pStyle w:val="27"/>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临江环境2026年垃圾仓水箅子疏通装置采购项目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Pr>
        <w:pStyle w:val="7"/>
      </w:pPr>
    </w:p>
    <w:p>
      <w:pPr>
        <w:pStyle w:val="16"/>
      </w:pPr>
    </w:p>
    <w:p/>
    <w:p>
      <w:pPr>
        <w:pStyle w:val="27"/>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临江环境2026年垃圾仓水箅子疏通装置采购项目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color w:val="auto"/>
          <w:sz w:val="24"/>
          <w:u w:val="single"/>
        </w:rPr>
        <w:t>评审</w:t>
      </w:r>
      <w:r>
        <w:rPr>
          <w:rFonts w:hint="eastAsia" w:ascii="宋体" w:hAnsi="宋体" w:cs="宋体"/>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eastAsia="zh-CN"/>
        </w:rPr>
        <w:t>（</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s="宋体"/>
          <w:b/>
          <w:sz w:val="24"/>
        </w:rPr>
      </w:pPr>
      <w:bookmarkStart w:id="383" w:name="_Toc3029"/>
      <w:bookmarkStart w:id="384" w:name="_Toc24059"/>
      <w:bookmarkStart w:id="385" w:name="_Toc2232"/>
      <w:r>
        <w:rPr>
          <w:rFonts w:hint="eastAsia" w:ascii="宋体" w:hAnsi="宋体" w:cs="宋体"/>
          <w:b/>
          <w:sz w:val="24"/>
        </w:rPr>
        <w:t>一、合同组成部分</w:t>
      </w:r>
      <w:bookmarkEnd w:id="383"/>
      <w:bookmarkEnd w:id="384"/>
      <w:bookmarkEnd w:id="385"/>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6" w:name="_Toc24300"/>
      <w:bookmarkStart w:id="387" w:name="_Toc27126"/>
      <w:bookmarkStart w:id="388" w:name="_Toc21295"/>
      <w:r>
        <w:rPr>
          <w:rFonts w:hint="eastAsia" w:ascii="宋体" w:hAnsi="宋体" w:cs="宋体"/>
          <w:b/>
          <w:sz w:val="24"/>
        </w:rPr>
        <w:t xml:space="preserve">二、 </w:t>
      </w:r>
      <w:bookmarkEnd w:id="386"/>
      <w:bookmarkEnd w:id="387"/>
      <w:bookmarkEnd w:id="388"/>
      <w:r>
        <w:rPr>
          <w:rFonts w:hint="eastAsia" w:ascii="宋体" w:hAnsi="宋体" w:cs="宋体"/>
          <w:b/>
          <w:sz w:val="24"/>
        </w:rPr>
        <w:t>合同价款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i/>
          <w:iCs/>
          <w:color w:val="auto"/>
          <w:sz w:val="24"/>
          <w:u w:val="single"/>
        </w:rPr>
        <w:t xml:space="preserve">13/9/6/3/1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s="宋体"/>
          <w:color w:val="auto"/>
          <w:sz w:val="24"/>
        </w:rPr>
        <w:t>单价和总价均包括但不限于货款、包装费、运输费及运输保险费（如有）</w:t>
      </w:r>
      <w:r>
        <w:rPr>
          <w:rFonts w:hint="eastAsia" w:ascii="宋体" w:hAnsi="宋体" w:cs="宋体"/>
          <w:color w:val="auto"/>
          <w:sz w:val="24"/>
          <w:lang w:eastAsia="zh-CN"/>
        </w:rPr>
        <w:t>、</w:t>
      </w:r>
      <w:r>
        <w:rPr>
          <w:rFonts w:hint="eastAsia" w:ascii="宋体" w:hAnsi="宋体" w:cs="宋体"/>
          <w:color w:val="auto"/>
          <w:sz w:val="24"/>
          <w:lang w:val="en-US" w:eastAsia="zh-CN"/>
        </w:rPr>
        <w:t>设计费、安装费、调试费</w:t>
      </w:r>
      <w:r>
        <w:rPr>
          <w:rFonts w:hint="eastAsia" w:ascii="宋体" w:hAnsi="宋体" w:cs="宋体"/>
          <w:color w:val="auto"/>
          <w:sz w:val="24"/>
        </w:rPr>
        <w:t>、装卸费、售后服务费及税费等全部费用</w:t>
      </w:r>
      <w:r>
        <w:rPr>
          <w:rFonts w:hint="eastAsia" w:ascii="宋体" w:hAnsi="宋体" w:cs="宋体"/>
          <w:color w:val="auto"/>
          <w:sz w:val="24"/>
          <w:lang w:eastAsia="zh-CN"/>
        </w:rPr>
        <w:t>，</w:t>
      </w:r>
      <w:r>
        <w:rPr>
          <w:rFonts w:hint="eastAsia" w:ascii="宋体" w:hAnsi="宋体" w:cs="宋体"/>
          <w:color w:val="auto"/>
          <w:sz w:val="24"/>
          <w:lang w:val="en-US" w:eastAsia="zh-CN"/>
        </w:rPr>
        <w:t>在合同履行有效期内，合同价格不作调整</w:t>
      </w:r>
      <w:r>
        <w:rPr>
          <w:rFonts w:hint="eastAsia" w:ascii="宋体" w:hAnsi="宋体" w:cs="宋体"/>
          <w:color w:val="auto"/>
          <w:sz w:val="24"/>
        </w:rPr>
        <w:t>。</w:t>
      </w:r>
    </w:p>
    <w:p>
      <w:pPr>
        <w:pStyle w:val="28"/>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048"/>
        <w:gridCol w:w="2893"/>
        <w:gridCol w:w="768"/>
        <w:gridCol w:w="719"/>
        <w:gridCol w:w="1060"/>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33" w:type="dxa"/>
            <w:vAlign w:val="center"/>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序号</w:t>
            </w:r>
          </w:p>
        </w:tc>
        <w:tc>
          <w:tcPr>
            <w:tcW w:w="2048" w:type="dxa"/>
            <w:vAlign w:val="center"/>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设备名称</w:t>
            </w:r>
          </w:p>
        </w:tc>
        <w:tc>
          <w:tcPr>
            <w:tcW w:w="2893" w:type="dxa"/>
            <w:vAlign w:val="center"/>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型号规格参数</w:t>
            </w:r>
          </w:p>
        </w:tc>
        <w:tc>
          <w:tcPr>
            <w:tcW w:w="768" w:type="dxa"/>
            <w:vAlign w:val="center"/>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单位</w:t>
            </w:r>
          </w:p>
        </w:tc>
        <w:tc>
          <w:tcPr>
            <w:tcW w:w="719" w:type="dxa"/>
            <w:vAlign w:val="center"/>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数量</w:t>
            </w:r>
          </w:p>
        </w:tc>
        <w:tc>
          <w:tcPr>
            <w:tcW w:w="1060" w:type="dxa"/>
            <w:vAlign w:val="center"/>
          </w:tcPr>
          <w:p>
            <w:pPr>
              <w:keepNext w:val="0"/>
              <w:keepLines w:val="0"/>
              <w:widowControl/>
              <w:suppressLineNumbers w:val="0"/>
              <w:jc w:val="center"/>
              <w:textAlignment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单价（元）</w:t>
            </w:r>
          </w:p>
        </w:tc>
        <w:tc>
          <w:tcPr>
            <w:tcW w:w="1060" w:type="dxa"/>
            <w:vAlign w:val="center"/>
          </w:tcPr>
          <w:p>
            <w:pPr>
              <w:keepNext w:val="0"/>
              <w:keepLines w:val="0"/>
              <w:widowControl/>
              <w:suppressLineNumbers w:val="0"/>
              <w:jc w:val="center"/>
              <w:textAlignment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33"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2048"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default"/>
                <w:lang w:val="en-US" w:eastAsia="zh-CN"/>
              </w:rPr>
              <w:t>新型液压疏通装置</w:t>
            </w:r>
          </w:p>
        </w:tc>
        <w:tc>
          <w:tcPr>
            <w:tcW w:w="2893"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以采购需求为准</w:t>
            </w:r>
          </w:p>
        </w:tc>
        <w:tc>
          <w:tcPr>
            <w:tcW w:w="768"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71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060"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060"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bl>
    <w:p>
      <w:pPr>
        <w:spacing w:line="360" w:lineRule="auto"/>
        <w:rPr>
          <w:rFonts w:hint="default"/>
          <w:lang w:val="en-US" w:eastAsia="zh-CN"/>
        </w:rPr>
      </w:pPr>
    </w:p>
    <w:p>
      <w:pPr>
        <w:spacing w:line="360" w:lineRule="auto"/>
        <w:rPr>
          <w:rFonts w:hint="default" w:ascii="宋体" w:hAnsi="宋体" w:cs="宋体"/>
          <w:sz w:val="24"/>
          <w:lang w:val="en-US" w:eastAsia="zh-CN"/>
        </w:rPr>
      </w:pPr>
      <w:r>
        <w:rPr>
          <w:rFonts w:hint="default"/>
          <w:lang w:val="en-US" w:eastAsia="zh-CN"/>
        </w:rPr>
        <w:t>新型液压疏通装置</w:t>
      </w:r>
      <w:r>
        <w:rPr>
          <w:rFonts w:hint="eastAsia"/>
          <w:lang w:val="en-US" w:eastAsia="zh-CN"/>
        </w:rPr>
        <w:t>包含以下清单：</w:t>
      </w:r>
    </w:p>
    <w:tbl>
      <w:tblPr>
        <w:tblStyle w:val="18"/>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21"/>
        <w:gridCol w:w="3122"/>
        <w:gridCol w:w="859"/>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序号</w:t>
            </w:r>
          </w:p>
        </w:tc>
        <w:tc>
          <w:tcPr>
            <w:tcW w:w="2521" w:type="dxa"/>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设备或系统名称</w:t>
            </w:r>
          </w:p>
        </w:tc>
        <w:tc>
          <w:tcPr>
            <w:tcW w:w="3122" w:type="dxa"/>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型号规格参数</w:t>
            </w:r>
          </w:p>
        </w:tc>
        <w:tc>
          <w:tcPr>
            <w:tcW w:w="859" w:type="dxa"/>
          </w:tcPr>
          <w:p>
            <w:pPr>
              <w:pageBreakBefore w:val="0"/>
              <w:kinsoku/>
              <w:wordWrap/>
              <w:overflowPunct/>
              <w:topLinePunct w:val="0"/>
              <w:bidi w:val="0"/>
              <w:spacing w:line="240" w:lineRule="auto"/>
              <w:jc w:val="center"/>
              <w:rPr>
                <w:rFonts w:hint="eastAsia"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单位</w:t>
            </w:r>
          </w:p>
        </w:tc>
        <w:tc>
          <w:tcPr>
            <w:tcW w:w="1782" w:type="dxa"/>
          </w:tcPr>
          <w:p>
            <w:pPr>
              <w:pageBreakBefore w:val="0"/>
              <w:kinsoku/>
              <w:wordWrap/>
              <w:overflowPunct/>
              <w:topLinePunct w:val="0"/>
              <w:bidi w:val="0"/>
              <w:spacing w:line="240" w:lineRule="auto"/>
              <w:jc w:val="center"/>
              <w:rPr>
                <w:rFonts w:hint="default" w:ascii="宋体" w:hAnsi="宋体" w:eastAsia="宋体" w:cs="宋体"/>
                <w:b/>
                <w:bCs/>
                <w:color w:val="auto"/>
                <w:spacing w:val="-5"/>
                <w:sz w:val="21"/>
                <w:szCs w:val="21"/>
                <w:vertAlign w:val="baseline"/>
                <w:lang w:val="en-US" w:eastAsia="zh-CN"/>
              </w:rPr>
            </w:pPr>
            <w:r>
              <w:rPr>
                <w:rFonts w:hint="eastAsia" w:ascii="宋体" w:hAnsi="宋体" w:eastAsia="宋体" w:cs="宋体"/>
                <w:b/>
                <w:bCs/>
                <w:color w:val="auto"/>
                <w:spacing w:val="-5"/>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疏通装置安装架</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12MnCuCr耐候钢</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1782" w:type="dxa"/>
            <w:vMerge w:val="restart"/>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仿宋" w:asciiTheme="minorEastAsia" w:hAnsiTheme="minorEastAsia"/>
                <w:b/>
                <w:bCs/>
                <w:snapToGrid w:val="0"/>
                <w:kern w:val="0"/>
                <w:sz w:val="18"/>
                <w:szCs w:val="18"/>
                <w:u w:val="single"/>
                <w:lang w:val="en-US" w:eastAsia="zh-CN" w:bidi="ar-SA"/>
              </w:rPr>
              <w:t>尼龙扎带、穿线管、螺栓、U型环等辅助材料、支架、密封材料、安装工器具均由乙方提供，甲方不额外支付费用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疏通装置</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12MnCuCr耐候钢</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通柱</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φ48mm 约12个/套</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液压缸</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316L不锈钢活塞杆</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4"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螺杆螺母及垫板</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316L不锈钢材质</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6</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液压站</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sz w:val="21"/>
                <w:szCs w:val="21"/>
                <w:u w:val="none"/>
                <w:lang w:val="en-US" w:eastAsia="zh-CN"/>
              </w:rPr>
              <w:t>防爆电机7.5kW/16MPa</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7</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疏通控制阀组</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316L不锈钢阀芯</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组</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8</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气液控制阀组</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QYK-04</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组</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9</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高压油管</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软管（钢网防护）Φ22主管</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米</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10</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高压油管</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软管（钢网防护）Φ22油缸用</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11</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气管</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软管Φ8</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12</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PLC控制柜</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防护等级IP54 1800mm*800mm*600mm</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13</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触摸屏</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10寸</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14</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动力电缆</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防腐阻燃</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15</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数字量输入/输出模块</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组</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16</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模拟量输入/输出模块</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组</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17</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其他电气一二次元器件</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防护等级IP54</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批</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18</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通讯线</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DP线</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19</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球形防爆摄像头</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不低于200万像素防爆摄像头  DS-2XE8627FED</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台</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20</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光电转换器</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TL-MC111</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套</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21</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五口交换机</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TL-SG2206</w:t>
            </w: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个</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eastAsia"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22</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光纤</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米</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ageBreakBefore w:val="0"/>
              <w:kinsoku/>
              <w:wordWrap/>
              <w:overflowPunct/>
              <w:topLinePunct w:val="0"/>
              <w:bidi w:val="0"/>
              <w:spacing w:line="240" w:lineRule="auto"/>
              <w:jc w:val="center"/>
              <w:rPr>
                <w:rFonts w:hint="default" w:ascii="宋体" w:hAnsi="宋体" w:eastAsia="宋体" w:cs="宋体"/>
                <w:b w:val="0"/>
                <w:bCs w:val="0"/>
                <w:color w:val="auto"/>
                <w:spacing w:val="-5"/>
                <w:sz w:val="21"/>
                <w:szCs w:val="21"/>
                <w:vertAlign w:val="baseline"/>
                <w:lang w:val="en-US" w:eastAsia="zh-CN"/>
              </w:rPr>
            </w:pPr>
            <w:r>
              <w:rPr>
                <w:rFonts w:hint="eastAsia" w:ascii="宋体" w:hAnsi="宋体" w:eastAsia="宋体" w:cs="宋体"/>
                <w:b w:val="0"/>
                <w:bCs w:val="0"/>
                <w:color w:val="auto"/>
                <w:spacing w:val="-5"/>
                <w:sz w:val="21"/>
                <w:szCs w:val="21"/>
                <w:vertAlign w:val="baseline"/>
                <w:lang w:val="en-US" w:eastAsia="zh-CN"/>
              </w:rPr>
              <w:t>23</w:t>
            </w:r>
          </w:p>
        </w:tc>
        <w:tc>
          <w:tcPr>
            <w:tcW w:w="2521"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电缆桥架</w:t>
            </w:r>
          </w:p>
        </w:tc>
        <w:tc>
          <w:tcPr>
            <w:tcW w:w="3122"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p>
        </w:tc>
        <w:tc>
          <w:tcPr>
            <w:tcW w:w="859" w:type="dxa"/>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米</w:t>
            </w:r>
          </w:p>
        </w:tc>
        <w:tc>
          <w:tcPr>
            <w:tcW w:w="1782" w:type="dxa"/>
            <w:vMerge w:val="continue"/>
            <w:shd w:val="clear" w:color="auto" w:fill="auto"/>
            <w:vAlign w:val="center"/>
          </w:tcPr>
          <w:p>
            <w:pPr>
              <w:keepNext w:val="0"/>
              <w:keepLines w:val="0"/>
              <w:pageBreakBefore w:val="0"/>
              <w:widowControl/>
              <w:suppressLineNumbers w:val="0"/>
              <w:kinsoku/>
              <w:wordWrap/>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r>
    </w:tbl>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cs="仿宋" w:asciiTheme="minorEastAsia" w:hAnsiTheme="minorEastAsia"/>
          <w:sz w:val="24"/>
          <w:u w:val="single"/>
          <w:lang w:val="en-US" w:eastAsia="zh-CN"/>
        </w:rPr>
        <w:t>在甲方订单下达后45天内完成供货，在收到甲方通知后15天内安装和调试。</w:t>
      </w:r>
    </w:p>
    <w:p>
      <w:pPr>
        <w:pStyle w:val="28"/>
        <w:spacing w:before="0" w:beforeAutospacing="0" w:after="0" w:afterAutospacing="0" w:line="360" w:lineRule="auto"/>
        <w:ind w:firstLine="480"/>
        <w:rPr>
          <w:b/>
        </w:rPr>
      </w:pPr>
      <w:bookmarkStart w:id="389" w:name="_Toc1814"/>
      <w:bookmarkStart w:id="390" w:name="_Toc22618"/>
      <w:bookmarkStart w:id="391" w:name="_Toc10340"/>
      <w:r>
        <w:rPr>
          <w:rFonts w:hint="eastAsia"/>
          <w:b/>
        </w:rPr>
        <w:t>三、合同期限、交付期限、地点和联系方式、交付方式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☑自合同签订后一次性完成供货、</w:t>
      </w:r>
      <w:r>
        <w:rPr>
          <w:rFonts w:hint="eastAsia" w:ascii="宋体" w:hAnsi="宋体" w:cs="宋体"/>
          <w:color w:val="auto"/>
          <w:sz w:val="24"/>
          <w:highlight w:val="none"/>
          <w:u w:val="single"/>
        </w:rPr>
        <w:t>安装、调试</w:t>
      </w:r>
      <w:r>
        <w:rPr>
          <w:rFonts w:hint="eastAsia" w:ascii="宋体" w:hAnsi="宋体" w:cs="宋体"/>
          <w:color w:val="auto"/>
          <w:sz w:val="24"/>
          <w:highlight w:val="none"/>
          <w:u w:val="single"/>
          <w:lang w:val="en-US" w:eastAsia="zh-CN"/>
        </w:rPr>
        <w:t>；</w:t>
      </w:r>
    </w:p>
    <w:p>
      <w:pPr>
        <w:spacing w:line="360" w:lineRule="auto"/>
        <w:ind w:firstLine="480" w:firstLineChars="200"/>
        <w:rPr>
          <w:rFonts w:hint="default" w:ascii="宋体" w:hAnsi="宋体" w:cs="宋体" w:eastAsiaTheme="minorEastAsia"/>
          <w:color w:val="0000FF"/>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cs="仿宋" w:asciiTheme="minorEastAsia" w:hAnsiTheme="minorEastAsia"/>
          <w:sz w:val="24"/>
          <w:u w:val="single"/>
          <w:lang w:val="en-US" w:eastAsia="zh-CN"/>
        </w:rPr>
        <w:t>45天内完成供货，在收到甲方通知后15天内安装和调试。</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甲方指定位置</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pPr>
        <w:pStyle w:val="28"/>
        <w:spacing w:before="0" w:beforeAutospacing="0" w:after="0" w:afterAutospacing="0" w:line="360" w:lineRule="auto"/>
        <w:ind w:firstLine="480"/>
        <w:rPr>
          <w:rFonts w:hint="eastAsia" w:ascii="宋体" w:hAnsi="宋体" w:cs="宋体"/>
          <w:b/>
          <w:lang w:val="en-US" w:eastAsia="zh-CN"/>
        </w:rPr>
      </w:pPr>
      <w:r>
        <w:rPr>
          <w:rFonts w:hint="eastAsia" w:ascii="宋体" w:hAnsi="宋体" w:cs="宋体"/>
          <w:b/>
          <w:lang w:val="en-US" w:eastAsia="zh-CN"/>
        </w:rPr>
        <w:t>四、设计、供货及安装调试界面</w:t>
      </w:r>
    </w:p>
    <w:p>
      <w:pPr>
        <w:pStyle w:val="7"/>
        <w:numPr>
          <w:ilvl w:val="0"/>
          <w:numId w:val="0"/>
        </w:numPr>
        <w:ind w:firstLine="480" w:firstLineChars="200"/>
        <w:rPr>
          <w:rFonts w:hint="eastAsia" w:ascii="宋体" w:hAnsi="宋体" w:cs="宋体" w:eastAsiaTheme="minorEastAsia"/>
          <w:snapToGrid/>
          <w:color w:val="auto"/>
          <w:kern w:val="2"/>
          <w:sz w:val="24"/>
          <w:szCs w:val="24"/>
          <w:lang w:val="en-US" w:eastAsia="zh-CN" w:bidi="ar-SA"/>
        </w:rPr>
      </w:pPr>
      <w:r>
        <w:rPr>
          <w:rFonts w:hint="eastAsia" w:ascii="宋体" w:hAnsi="宋体" w:cs="宋体" w:eastAsiaTheme="minorEastAsia"/>
          <w:snapToGrid/>
          <w:color w:val="auto"/>
          <w:kern w:val="2"/>
          <w:sz w:val="24"/>
          <w:szCs w:val="24"/>
          <w:lang w:val="en-US" w:eastAsia="zh-CN" w:bidi="ar-SA"/>
        </w:rPr>
        <w:t>1.</w:t>
      </w:r>
      <w:r>
        <w:rPr>
          <w:rFonts w:hint="default" w:ascii="宋体" w:hAnsi="宋体" w:cs="宋体" w:eastAsiaTheme="minorEastAsia"/>
          <w:snapToGrid/>
          <w:color w:val="auto"/>
          <w:kern w:val="2"/>
          <w:sz w:val="24"/>
          <w:szCs w:val="24"/>
          <w:lang w:val="en-US" w:eastAsia="zh-CN" w:bidi="ar-SA"/>
        </w:rPr>
        <w:t>垃圾仓水箅子自动疏通系统装置的疏通执行机构、动力输出机构、滑枕支撑架、疏通模块</w:t>
      </w:r>
      <w:r>
        <w:rPr>
          <w:rFonts w:hint="eastAsia" w:hAnsi="宋体" w:cs="宋体"/>
          <w:snapToGrid/>
          <w:color w:val="auto"/>
          <w:kern w:val="2"/>
          <w:sz w:val="24"/>
          <w:szCs w:val="24"/>
          <w:lang w:val="en-US" w:eastAsia="zh-CN" w:bidi="ar-SA"/>
        </w:rPr>
        <w:t>、</w:t>
      </w:r>
      <w:r>
        <w:rPr>
          <w:rFonts w:hint="eastAsia" w:ascii="宋体" w:hAnsi="宋体" w:cs="宋体" w:eastAsiaTheme="minorEastAsia"/>
          <w:snapToGrid/>
          <w:color w:val="auto"/>
          <w:kern w:val="2"/>
          <w:sz w:val="24"/>
          <w:szCs w:val="24"/>
          <w:lang w:val="en-US" w:eastAsia="zh-CN" w:bidi="ar-SA"/>
        </w:rPr>
        <w:t>视频监控系统</w:t>
      </w:r>
      <w:r>
        <w:rPr>
          <w:rFonts w:hint="default" w:ascii="宋体" w:hAnsi="宋体" w:cs="宋体" w:eastAsiaTheme="minorEastAsia"/>
          <w:snapToGrid/>
          <w:color w:val="auto"/>
          <w:kern w:val="2"/>
          <w:sz w:val="24"/>
          <w:szCs w:val="24"/>
          <w:lang w:val="en-US" w:eastAsia="zh-CN" w:bidi="ar-SA"/>
        </w:rPr>
        <w:t>等</w:t>
      </w:r>
      <w:r>
        <w:rPr>
          <w:rFonts w:hint="eastAsia" w:hAnsi="宋体" w:cs="宋体"/>
          <w:snapToGrid/>
          <w:color w:val="auto"/>
          <w:kern w:val="2"/>
          <w:sz w:val="24"/>
          <w:szCs w:val="24"/>
          <w:lang w:val="en-US" w:eastAsia="zh-CN" w:bidi="ar-SA"/>
        </w:rPr>
        <w:t>本装置所需所有组成部分均</w:t>
      </w:r>
      <w:r>
        <w:rPr>
          <w:rFonts w:hint="default" w:ascii="宋体" w:hAnsi="宋体" w:cs="宋体" w:eastAsiaTheme="minorEastAsia"/>
          <w:snapToGrid/>
          <w:color w:val="auto"/>
          <w:kern w:val="2"/>
          <w:sz w:val="24"/>
          <w:szCs w:val="24"/>
          <w:lang w:val="en-US" w:eastAsia="zh-CN" w:bidi="ar-SA"/>
        </w:rPr>
        <w:t>由</w:t>
      </w:r>
      <w:r>
        <w:rPr>
          <w:rFonts w:hint="eastAsia" w:hAnsi="宋体" w:cs="宋体"/>
          <w:snapToGrid/>
          <w:color w:val="auto"/>
          <w:kern w:val="2"/>
          <w:sz w:val="24"/>
          <w:szCs w:val="24"/>
          <w:lang w:val="en-US" w:eastAsia="zh-CN" w:bidi="ar-SA"/>
        </w:rPr>
        <w:t>乙方</w:t>
      </w:r>
      <w:r>
        <w:rPr>
          <w:rFonts w:hint="eastAsia" w:ascii="宋体" w:hAnsi="宋体" w:cs="宋体"/>
          <w:snapToGrid/>
          <w:color w:val="auto"/>
          <w:kern w:val="2"/>
          <w:sz w:val="24"/>
          <w:szCs w:val="24"/>
          <w:lang w:val="en-US" w:eastAsia="zh-CN" w:bidi="ar-SA"/>
        </w:rPr>
        <w:t>负责</w:t>
      </w:r>
      <w:r>
        <w:rPr>
          <w:rFonts w:hint="default" w:ascii="宋体" w:hAnsi="宋体" w:cs="宋体" w:eastAsiaTheme="minorEastAsia"/>
          <w:snapToGrid/>
          <w:color w:val="auto"/>
          <w:kern w:val="2"/>
          <w:sz w:val="24"/>
          <w:szCs w:val="24"/>
          <w:lang w:val="en-US" w:eastAsia="zh-CN" w:bidi="ar-SA"/>
        </w:rPr>
        <w:t>设计、供货、安装</w:t>
      </w:r>
      <w:r>
        <w:rPr>
          <w:rFonts w:hint="eastAsia" w:ascii="宋体" w:hAnsi="宋体" w:cs="宋体" w:eastAsiaTheme="minorEastAsia"/>
          <w:snapToGrid/>
          <w:color w:val="auto"/>
          <w:kern w:val="2"/>
          <w:sz w:val="24"/>
          <w:szCs w:val="24"/>
          <w:lang w:val="en-US" w:eastAsia="zh-CN" w:bidi="ar-SA"/>
        </w:rPr>
        <w:t>、调试等工作。</w:t>
      </w:r>
    </w:p>
    <w:p>
      <w:pPr>
        <w:pStyle w:val="7"/>
        <w:numPr>
          <w:ilvl w:val="0"/>
          <w:numId w:val="0"/>
        </w:numPr>
        <w:ind w:firstLine="480" w:firstLineChars="200"/>
        <w:rPr>
          <w:rFonts w:hint="default" w:ascii="宋体" w:hAnsi="宋体" w:cs="宋体" w:eastAsiaTheme="minorEastAsia"/>
          <w:snapToGrid/>
          <w:color w:val="auto"/>
          <w:kern w:val="2"/>
          <w:sz w:val="24"/>
          <w:szCs w:val="24"/>
          <w:lang w:val="en-US" w:eastAsia="zh-CN" w:bidi="ar-SA"/>
        </w:rPr>
      </w:pPr>
      <w:r>
        <w:rPr>
          <w:rFonts w:hint="default" w:ascii="宋体" w:hAnsi="宋体" w:cs="宋体" w:eastAsiaTheme="minorEastAsia"/>
          <w:snapToGrid/>
          <w:color w:val="auto"/>
          <w:kern w:val="2"/>
          <w:sz w:val="24"/>
          <w:szCs w:val="24"/>
          <w:lang w:val="en-US" w:eastAsia="zh-CN" w:bidi="ar-SA"/>
        </w:rPr>
        <w:t>2.</w:t>
      </w:r>
      <w:r>
        <w:rPr>
          <w:rFonts w:hint="eastAsia" w:ascii="宋体" w:hAnsi="宋体" w:cs="宋体"/>
          <w:snapToGrid/>
          <w:color w:val="auto"/>
          <w:kern w:val="2"/>
          <w:sz w:val="24"/>
          <w:szCs w:val="24"/>
          <w:lang w:val="en-US" w:eastAsia="zh-CN" w:bidi="ar-SA"/>
        </w:rPr>
        <w:t>本项目安装和调试期间的正式用电接入点由</w:t>
      </w:r>
      <w:r>
        <w:rPr>
          <w:rFonts w:hint="eastAsia" w:hAnsi="宋体" w:cs="宋体"/>
          <w:snapToGrid/>
          <w:color w:val="auto"/>
          <w:kern w:val="2"/>
          <w:sz w:val="24"/>
          <w:szCs w:val="24"/>
          <w:lang w:val="en-US" w:eastAsia="zh-CN" w:bidi="ar-SA"/>
        </w:rPr>
        <w:t>甲方</w:t>
      </w:r>
      <w:r>
        <w:rPr>
          <w:rFonts w:hint="eastAsia" w:ascii="宋体" w:hAnsi="宋体" w:cs="宋体"/>
          <w:snapToGrid/>
          <w:color w:val="auto"/>
          <w:kern w:val="2"/>
          <w:sz w:val="24"/>
          <w:szCs w:val="24"/>
          <w:lang w:val="en-US" w:eastAsia="zh-CN" w:bidi="ar-SA"/>
        </w:rPr>
        <w:t>指定，动力电缆长度约200米</w:t>
      </w:r>
      <w:r>
        <w:rPr>
          <w:rFonts w:hint="eastAsia" w:hAnsi="宋体" w:cs="宋体"/>
          <w:snapToGrid/>
          <w:color w:val="auto"/>
          <w:kern w:val="2"/>
          <w:sz w:val="24"/>
          <w:szCs w:val="24"/>
          <w:lang w:val="en-US" w:eastAsia="zh-CN" w:bidi="ar-SA"/>
        </w:rPr>
        <w:t>（</w:t>
      </w:r>
      <w:r>
        <w:rPr>
          <w:rFonts w:hint="eastAsia" w:ascii="宋体" w:hAnsi="宋体" w:cs="宋体"/>
          <w:snapToGrid/>
          <w:color w:val="auto"/>
          <w:kern w:val="2"/>
          <w:sz w:val="24"/>
          <w:szCs w:val="24"/>
          <w:lang w:val="en-US" w:eastAsia="zh-CN" w:bidi="ar-SA"/>
        </w:rPr>
        <w:t>以现场实际情况为准</w:t>
      </w:r>
      <w:r>
        <w:rPr>
          <w:rFonts w:hint="eastAsia" w:hAnsi="宋体" w:cs="宋体"/>
          <w:snapToGrid/>
          <w:color w:val="auto"/>
          <w:kern w:val="2"/>
          <w:sz w:val="24"/>
          <w:szCs w:val="24"/>
          <w:lang w:val="en-US" w:eastAsia="zh-CN" w:bidi="ar-SA"/>
        </w:rPr>
        <w:t>）由乙方负责提供，含在本次采购范围内</w:t>
      </w:r>
      <w:r>
        <w:rPr>
          <w:rFonts w:hint="eastAsia" w:ascii="宋体" w:hAnsi="宋体" w:cs="宋体"/>
          <w:snapToGrid/>
          <w:color w:val="auto"/>
          <w:kern w:val="2"/>
          <w:sz w:val="24"/>
          <w:szCs w:val="24"/>
          <w:lang w:val="en-US" w:eastAsia="zh-CN" w:bidi="ar-SA"/>
        </w:rPr>
        <w:t>。</w:t>
      </w:r>
    </w:p>
    <w:p>
      <w:pPr>
        <w:pStyle w:val="7"/>
        <w:numPr>
          <w:ilvl w:val="0"/>
          <w:numId w:val="0"/>
        </w:numPr>
        <w:ind w:firstLine="480" w:firstLineChars="200"/>
        <w:rPr>
          <w:rFonts w:hint="default" w:ascii="宋体" w:hAnsi="宋体" w:cs="宋体" w:eastAsiaTheme="minorEastAsia"/>
          <w:snapToGrid/>
          <w:color w:val="auto"/>
          <w:kern w:val="2"/>
          <w:sz w:val="24"/>
          <w:szCs w:val="24"/>
          <w:lang w:val="en-US" w:eastAsia="zh-CN" w:bidi="ar-SA"/>
        </w:rPr>
      </w:pPr>
      <w:r>
        <w:rPr>
          <w:rFonts w:hint="default" w:ascii="宋体" w:hAnsi="宋体" w:cs="宋体" w:eastAsiaTheme="minorEastAsia"/>
          <w:snapToGrid/>
          <w:color w:val="auto"/>
          <w:kern w:val="2"/>
          <w:sz w:val="24"/>
          <w:szCs w:val="24"/>
          <w:lang w:val="en-US" w:eastAsia="zh-CN" w:bidi="ar-SA"/>
        </w:rPr>
        <w:t>3.垃圾仓水箅子自动疏通系统装置安装位置为</w:t>
      </w:r>
      <w:r>
        <w:rPr>
          <w:rFonts w:hint="eastAsia" w:hAnsi="宋体" w:cs="宋体"/>
          <w:snapToGrid/>
          <w:color w:val="auto"/>
          <w:kern w:val="2"/>
          <w:sz w:val="24"/>
          <w:szCs w:val="24"/>
          <w:lang w:val="en-US" w:eastAsia="zh-CN" w:bidi="ar-SA"/>
        </w:rPr>
        <w:t>甲方的</w:t>
      </w:r>
      <w:r>
        <w:rPr>
          <w:rFonts w:hint="default" w:ascii="宋体" w:hAnsi="宋体" w:cs="宋体" w:eastAsiaTheme="minorEastAsia"/>
          <w:snapToGrid/>
          <w:color w:val="auto"/>
          <w:kern w:val="2"/>
          <w:sz w:val="24"/>
          <w:szCs w:val="24"/>
          <w:lang w:val="en-US" w:eastAsia="zh-CN" w:bidi="ar-SA"/>
        </w:rPr>
        <w:t>-6米渗滤液沟道间，其中动力输出机构（如液压站）安装在</w:t>
      </w:r>
      <w:r>
        <w:rPr>
          <w:rFonts w:hint="eastAsia" w:hAnsi="宋体" w:cs="宋体"/>
          <w:snapToGrid/>
          <w:color w:val="auto"/>
          <w:kern w:val="2"/>
          <w:sz w:val="24"/>
          <w:szCs w:val="24"/>
          <w:lang w:val="en-US" w:eastAsia="zh-CN" w:bidi="ar-SA"/>
        </w:rPr>
        <w:t>甲方的</w:t>
      </w:r>
      <w:r>
        <w:rPr>
          <w:rFonts w:hint="default" w:ascii="宋体" w:hAnsi="宋体" w:cs="宋体" w:eastAsiaTheme="minorEastAsia"/>
          <w:snapToGrid/>
          <w:color w:val="auto"/>
          <w:kern w:val="2"/>
          <w:sz w:val="24"/>
          <w:szCs w:val="24"/>
          <w:lang w:val="en-US" w:eastAsia="zh-CN" w:bidi="ar-SA"/>
        </w:rPr>
        <w:t>渗滤液沟道间</w:t>
      </w:r>
      <w:r>
        <w:rPr>
          <w:rFonts w:hint="eastAsia" w:ascii="宋体" w:hAnsi="宋体" w:cs="宋体"/>
          <w:snapToGrid/>
          <w:color w:val="auto"/>
          <w:kern w:val="2"/>
          <w:sz w:val="24"/>
          <w:szCs w:val="24"/>
          <w:lang w:val="en-US" w:eastAsia="zh-CN" w:bidi="ar-SA"/>
        </w:rPr>
        <w:t>0</w:t>
      </w:r>
      <w:r>
        <w:rPr>
          <w:rFonts w:hint="default" w:ascii="宋体" w:hAnsi="宋体" w:cs="宋体" w:eastAsiaTheme="minorEastAsia"/>
          <w:snapToGrid/>
          <w:color w:val="auto"/>
          <w:kern w:val="2"/>
          <w:sz w:val="24"/>
          <w:szCs w:val="24"/>
          <w:lang w:val="en-US" w:eastAsia="zh-CN" w:bidi="ar-SA"/>
        </w:rPr>
        <w:t>米层；视频监控线缆引至疏通系统后台位置，自动疏通装置控制系统通讯信号及视频监控系统通讯信号</w:t>
      </w:r>
      <w:r>
        <w:rPr>
          <w:rFonts w:hint="eastAsia" w:hAnsi="宋体" w:cs="宋体"/>
          <w:snapToGrid/>
          <w:color w:val="auto"/>
          <w:kern w:val="2"/>
          <w:sz w:val="24"/>
          <w:szCs w:val="24"/>
          <w:lang w:val="en-US" w:eastAsia="zh-CN" w:bidi="ar-SA"/>
        </w:rPr>
        <w:t>光缆</w:t>
      </w:r>
      <w:r>
        <w:rPr>
          <w:rFonts w:hint="default" w:ascii="宋体" w:hAnsi="宋体" w:cs="宋体" w:eastAsiaTheme="minorEastAsia"/>
          <w:snapToGrid/>
          <w:color w:val="auto"/>
          <w:kern w:val="2"/>
          <w:sz w:val="24"/>
          <w:szCs w:val="24"/>
          <w:lang w:val="en-US" w:eastAsia="zh-CN" w:bidi="ar-SA"/>
        </w:rPr>
        <w:t>由</w:t>
      </w:r>
      <w:r>
        <w:rPr>
          <w:rFonts w:hint="eastAsia" w:hAnsi="宋体" w:cs="宋体"/>
          <w:snapToGrid/>
          <w:color w:val="auto"/>
          <w:kern w:val="2"/>
          <w:sz w:val="24"/>
          <w:szCs w:val="24"/>
          <w:lang w:val="en-US" w:eastAsia="zh-CN" w:bidi="ar-SA"/>
        </w:rPr>
        <w:t>乙方</w:t>
      </w:r>
      <w:r>
        <w:rPr>
          <w:rFonts w:hint="default" w:ascii="宋体" w:hAnsi="宋体" w:cs="宋体" w:eastAsiaTheme="minorEastAsia"/>
          <w:snapToGrid/>
          <w:color w:val="auto"/>
          <w:kern w:val="2"/>
          <w:sz w:val="24"/>
          <w:szCs w:val="24"/>
          <w:lang w:val="en-US" w:eastAsia="zh-CN" w:bidi="ar-SA"/>
        </w:rPr>
        <w:t>负责敷设至</w:t>
      </w:r>
      <w:r>
        <w:rPr>
          <w:rFonts w:hint="eastAsia" w:hAnsi="宋体" w:cs="宋体"/>
          <w:snapToGrid/>
          <w:color w:val="auto"/>
          <w:kern w:val="2"/>
          <w:sz w:val="24"/>
          <w:szCs w:val="24"/>
          <w:lang w:val="en-US" w:eastAsia="zh-CN" w:bidi="ar-SA"/>
        </w:rPr>
        <w:t>甲方</w:t>
      </w:r>
      <w:r>
        <w:rPr>
          <w:rFonts w:hint="default" w:ascii="宋体" w:hAnsi="宋体" w:cs="宋体" w:eastAsiaTheme="minorEastAsia"/>
          <w:snapToGrid/>
          <w:color w:val="auto"/>
          <w:kern w:val="2"/>
          <w:sz w:val="24"/>
          <w:szCs w:val="24"/>
          <w:lang w:val="en-US" w:eastAsia="zh-CN" w:bidi="ar-SA"/>
        </w:rPr>
        <w:t>指定</w:t>
      </w:r>
      <w:r>
        <w:rPr>
          <w:rFonts w:hint="eastAsia" w:ascii="宋体" w:hAnsi="宋体" w:cs="宋体"/>
          <w:snapToGrid/>
          <w:color w:val="auto"/>
          <w:kern w:val="2"/>
          <w:sz w:val="24"/>
          <w:szCs w:val="24"/>
          <w:lang w:val="en-US" w:eastAsia="zh-CN" w:bidi="ar-SA"/>
        </w:rPr>
        <w:t>垃圾吊控制室的指定位置</w:t>
      </w:r>
      <w:r>
        <w:rPr>
          <w:rFonts w:hint="default" w:ascii="宋体" w:hAnsi="宋体" w:cs="宋体" w:eastAsiaTheme="minorEastAsia"/>
          <w:snapToGrid/>
          <w:color w:val="auto"/>
          <w:kern w:val="2"/>
          <w:sz w:val="24"/>
          <w:szCs w:val="24"/>
          <w:lang w:val="en-US" w:eastAsia="zh-CN" w:bidi="ar-SA"/>
        </w:rPr>
        <w:t>，</w:t>
      </w:r>
      <w:r>
        <w:rPr>
          <w:rFonts w:hint="eastAsia" w:hAnsi="宋体" w:cs="宋体"/>
          <w:snapToGrid/>
          <w:color w:val="auto"/>
          <w:kern w:val="2"/>
          <w:sz w:val="24"/>
          <w:szCs w:val="24"/>
          <w:lang w:val="en-US" w:eastAsia="zh-CN" w:bidi="ar-SA"/>
        </w:rPr>
        <w:t>光缆</w:t>
      </w:r>
      <w:r>
        <w:rPr>
          <w:rFonts w:hint="default" w:ascii="宋体" w:hAnsi="宋体" w:cs="宋体" w:eastAsiaTheme="minorEastAsia"/>
          <w:snapToGrid/>
          <w:color w:val="auto"/>
          <w:kern w:val="2"/>
          <w:sz w:val="24"/>
          <w:szCs w:val="24"/>
          <w:lang w:val="en-US" w:eastAsia="zh-CN" w:bidi="ar-SA"/>
        </w:rPr>
        <w:t>长度150米</w:t>
      </w:r>
      <w:r>
        <w:rPr>
          <w:rFonts w:hint="eastAsia" w:ascii="宋体" w:hAnsi="宋体" w:cs="宋体"/>
          <w:snapToGrid/>
          <w:color w:val="auto"/>
          <w:kern w:val="2"/>
          <w:sz w:val="24"/>
          <w:szCs w:val="24"/>
          <w:lang w:val="en-US" w:eastAsia="zh-CN" w:bidi="ar-SA"/>
        </w:rPr>
        <w:t>左右（以现场实际情况为准）</w:t>
      </w:r>
      <w:r>
        <w:rPr>
          <w:rFonts w:hint="eastAsia" w:hAnsi="宋体" w:cs="宋体"/>
          <w:snapToGrid/>
          <w:color w:val="auto"/>
          <w:kern w:val="2"/>
          <w:sz w:val="24"/>
          <w:szCs w:val="24"/>
          <w:lang w:val="en-US" w:eastAsia="zh-CN" w:bidi="ar-SA"/>
        </w:rPr>
        <w:t>，由乙方负责提供，含在本次采购范围内</w:t>
      </w:r>
      <w:r>
        <w:rPr>
          <w:rFonts w:hint="eastAsia" w:ascii="宋体" w:hAnsi="宋体" w:cs="宋体"/>
          <w:snapToGrid/>
          <w:color w:val="auto"/>
          <w:kern w:val="2"/>
          <w:sz w:val="24"/>
          <w:szCs w:val="24"/>
          <w:lang w:val="en-US" w:eastAsia="zh-CN" w:bidi="ar-SA"/>
        </w:rPr>
        <w:t>。</w:t>
      </w:r>
    </w:p>
    <w:p>
      <w:pPr>
        <w:pStyle w:val="28"/>
        <w:spacing w:before="0" w:beforeAutospacing="0" w:after="0" w:afterAutospacing="0" w:line="360" w:lineRule="auto"/>
        <w:ind w:firstLine="480"/>
        <w:rPr>
          <w:b/>
        </w:rPr>
      </w:pPr>
      <w:r>
        <w:rPr>
          <w:rFonts w:hint="eastAsia"/>
          <w:b/>
          <w:lang w:val="en-US" w:eastAsia="zh-CN"/>
        </w:rPr>
        <w:t>五、</w:t>
      </w:r>
      <w:r>
        <w:rPr>
          <w:rFonts w:hint="eastAsia"/>
          <w:b/>
        </w:rPr>
        <w:t>技术和质量要求</w:t>
      </w:r>
    </w:p>
    <w:p>
      <w:pPr>
        <w:spacing w:line="360" w:lineRule="auto"/>
        <w:ind w:firstLine="480" w:firstLineChars="200"/>
        <w:outlineLvl w:val="0"/>
        <w:rPr>
          <w:rFonts w:hint="eastAsia" w:ascii="宋体" w:hAnsi="宋体" w:cs="宋体"/>
          <w:sz w:val="24"/>
          <w:highlight w:val="none"/>
          <w:lang w:val="en-US" w:eastAsia="zh-CN"/>
        </w:rPr>
      </w:pPr>
      <w:bookmarkStart w:id="392" w:name="_Toc6596"/>
      <w:bookmarkStart w:id="393" w:name="_Toc14563"/>
      <w:bookmarkStart w:id="394" w:name="_Toc1125"/>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乙方</w:t>
      </w:r>
      <w:r>
        <w:rPr>
          <w:rFonts w:hint="eastAsia" w:ascii="宋体" w:hAnsi="宋体" w:cs="宋体"/>
          <w:sz w:val="24"/>
          <w:highlight w:val="none"/>
        </w:rPr>
        <w:t>所供货物</w:t>
      </w:r>
      <w:r>
        <w:rPr>
          <w:rFonts w:hint="eastAsia" w:ascii="宋体" w:hAnsi="宋体" w:cs="宋体"/>
          <w:sz w:val="24"/>
          <w:highlight w:val="none"/>
          <w:lang w:val="en-US" w:eastAsia="zh-CN"/>
        </w:rPr>
        <w:t>或者服务</w:t>
      </w:r>
      <w:r>
        <w:rPr>
          <w:rFonts w:hint="eastAsia" w:ascii="宋体" w:hAnsi="宋体" w:cs="宋体"/>
          <w:sz w:val="24"/>
          <w:highlight w:val="none"/>
        </w:rPr>
        <w:t>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eastAsia="zh-CN"/>
        </w:rPr>
        <w:t>，</w:t>
      </w:r>
      <w:r>
        <w:rPr>
          <w:rFonts w:hint="eastAsia" w:ascii="宋体" w:hAnsi="宋体" w:cs="宋体"/>
          <w:sz w:val="24"/>
          <w:highlight w:val="none"/>
          <w:lang w:val="en-US" w:eastAsia="zh-CN"/>
        </w:rPr>
        <w:t>包括但不限于以下标准：</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《生活垃圾焚烧处理工程技术规范》 CJJ 90-2009</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《输送设备安装工程施工及验收规范》 GB 50270-2010</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w:t>
      </w:r>
      <w:r>
        <w:rPr>
          <w:rFonts w:hint="default" w:ascii="宋体" w:hAnsi="宋体" w:cs="宋体" w:eastAsiaTheme="minorEastAsia"/>
          <w:snapToGrid/>
          <w:kern w:val="2"/>
          <w:sz w:val="24"/>
          <w:szCs w:val="24"/>
          <w:lang w:val="en-US" w:eastAsia="zh-CN" w:bidi="ar-SA"/>
        </w:rPr>
        <w:t>冶金设备制造通用技术条件</w:t>
      </w:r>
      <w:r>
        <w:rPr>
          <w:rFonts w:hint="eastAsia" w:ascii="宋体" w:hAnsi="宋体" w:cs="宋体" w:eastAsiaTheme="minorEastAsia"/>
          <w:snapToGrid/>
          <w:kern w:val="2"/>
          <w:sz w:val="24"/>
          <w:szCs w:val="24"/>
          <w:lang w:val="en-US" w:eastAsia="zh-CN" w:bidi="ar-SA"/>
        </w:rPr>
        <w:t>焊接件》 YB/T 036.11-1992</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w:t>
      </w:r>
      <w:r>
        <w:rPr>
          <w:rFonts w:hint="default" w:ascii="宋体" w:hAnsi="宋体" w:cs="宋体" w:eastAsiaTheme="minorEastAsia"/>
          <w:snapToGrid/>
          <w:kern w:val="2"/>
          <w:sz w:val="24"/>
          <w:szCs w:val="24"/>
          <w:lang w:val="en-US" w:eastAsia="zh-CN" w:bidi="ar-SA"/>
        </w:rPr>
        <w:t>冶金设备制造通用技术条件</w:t>
      </w:r>
      <w:r>
        <w:rPr>
          <w:rFonts w:hint="eastAsia" w:ascii="宋体" w:hAnsi="宋体" w:cs="宋体" w:eastAsiaTheme="minorEastAsia"/>
          <w:snapToGrid/>
          <w:kern w:val="2"/>
          <w:sz w:val="24"/>
          <w:szCs w:val="24"/>
          <w:lang w:val="en-US" w:eastAsia="zh-CN" w:bidi="ar-SA"/>
        </w:rPr>
        <w:t xml:space="preserve"> 热处理件》 YB/T 036.16-1992</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w:t>
      </w:r>
      <w:r>
        <w:rPr>
          <w:rFonts w:hint="default" w:ascii="宋体" w:hAnsi="宋体" w:cs="宋体" w:eastAsiaTheme="minorEastAsia"/>
          <w:snapToGrid/>
          <w:kern w:val="2"/>
          <w:sz w:val="24"/>
          <w:szCs w:val="24"/>
          <w:lang w:val="en-US" w:eastAsia="zh-CN" w:bidi="ar-SA"/>
        </w:rPr>
        <w:t>冶金设备制造通用技术条件</w:t>
      </w:r>
      <w:r>
        <w:rPr>
          <w:rFonts w:hint="eastAsia" w:ascii="宋体" w:hAnsi="宋体" w:cs="宋体" w:eastAsiaTheme="minorEastAsia"/>
          <w:snapToGrid/>
          <w:kern w:val="2"/>
          <w:sz w:val="24"/>
          <w:szCs w:val="24"/>
          <w:lang w:val="en-US" w:eastAsia="zh-CN" w:bidi="ar-SA"/>
        </w:rPr>
        <w:t xml:space="preserve"> 机械加工件》 YB/T 036.17-1992</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w:t>
      </w:r>
      <w:r>
        <w:rPr>
          <w:rFonts w:hint="default" w:ascii="宋体" w:hAnsi="宋体" w:cs="宋体" w:eastAsiaTheme="minorEastAsia"/>
          <w:snapToGrid/>
          <w:kern w:val="2"/>
          <w:sz w:val="24"/>
          <w:szCs w:val="24"/>
          <w:lang w:val="en-US" w:eastAsia="zh-CN" w:bidi="ar-SA"/>
        </w:rPr>
        <w:t>冶金设备制造通用技术条件</w:t>
      </w:r>
      <w:r>
        <w:rPr>
          <w:rFonts w:hint="eastAsia" w:ascii="宋体" w:hAnsi="宋体" w:cs="宋体" w:eastAsiaTheme="minorEastAsia"/>
          <w:snapToGrid/>
          <w:kern w:val="2"/>
          <w:sz w:val="24"/>
          <w:szCs w:val="24"/>
          <w:lang w:val="en-US" w:eastAsia="zh-CN" w:bidi="ar-SA"/>
        </w:rPr>
        <w:t>涂装》 YB/T 036.19-92</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《自动化仪表工程施工及质量验收规范》 GB 50093-2013</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《电力装置电测量仪表装置设计规范》 GB/T 50063-2017</w:t>
      </w:r>
    </w:p>
    <w:p>
      <w:pPr>
        <w:pStyle w:val="7"/>
        <w:numPr>
          <w:ilvl w:val="0"/>
          <w:numId w:val="0"/>
        </w:numPr>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《电力装置的继电保护和自动装置设计规范》 GB/T 50062-2008</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2.乙方提供的整套疏通装置应保证在任何工况下都必须满足安全运行和环保要求。设备系统应密封良好，完全防腐蚀、防磨损和防堵塞，部件应具有耐久性、防腐性和抗老化性，满足使用要求，易于检查和检修。</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3.疏通装置必须在设计上和制造上保证在设计寿命内安全、连续和有效地运行，且在运行中应保证运转平稳，无刮、卡、碰等现象，不产生电火花。不发生任何异常变形、异常振动，若出现质量问题乙方应在48h内响应并到现场提出解决方案。</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4.疏通装置</w:t>
      </w:r>
      <w:r>
        <w:rPr>
          <w:rFonts w:hint="default" w:ascii="宋体" w:hAnsi="宋体" w:cs="宋体"/>
          <w:sz w:val="24"/>
          <w:highlight w:val="none"/>
          <w:lang w:val="en-US" w:eastAsia="zh-CN"/>
        </w:rPr>
        <w:t>应有良好的防腐措施。钢板箅子与疏通装置为自定位一体式结构，疏通轨道采用316L不锈钢材质，滑枕整体具备水平垂直调节功能，不得使用线轴承结构。</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5.疏通装置液压油缸缸内径为100mm，杆径50mm；缸活塞杆要求采用不锈钢316L材质，应对比较恶劣的腐蚀环境，油缸单缸推力≥10吨。</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6.疏通装置采用框架结构，自定位形式，不需要基建预埋件等工作。疏通装置要求疏通行程≥410mm，伸出钢板箅子内壁面≥150mm（具体行程可根据现场实际情况协商调整）。</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7.疏通装置系统应结合原工程竣工图纸建筑结构尺寸，布置方案设计应确保维护人员进入渗滤液沟道间进行疏通系统维护、清理地面沉积的垃圾等不受阻挡。</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8.疏通装置原则上应利用原有钢板箅子，如出现原钢板箅子局部变形，钢板箅子孔加工精度偏差大等情况，乙方可以采用水切割原钢板箅子的方式进行安装；安装时应确保疏通柱的同轴心对准度，防止运行时通柱对钢板箅子产生过大的推力而影响疏通效果。</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9.每套疏通装置的通柱配置数量约12个（根据现场格栅口大小设计），通柱采用优质耐腐蚀材质，通柱直径≤48mm（具体以现场实际为准），疏通装置构造应充分根据渗滤液沟道间尺寸等因素进行设计制造，保证系统的运行可靠性和流畅性。</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10.疏通装置的液压系统部件具有防爆功能。液压油经只有2根主管路由地面引至沟道间，置于渗滤液沟道间通道中的疏通装置只有液压缸、控制阀组（包含气体及液压）、分流阀和截止阀、管路系统，渗沥液沟道间严禁使用电器元件，源头上杜绝爆炸安全风险，关键件应采用316L不锈钢材质，分流阀应采用大流量阀。</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11.疏通装置要求采用</w:t>
      </w:r>
      <w:r>
        <w:rPr>
          <w:rFonts w:hint="default" w:ascii="宋体" w:hAnsi="宋体" w:cs="宋体"/>
          <w:sz w:val="24"/>
          <w:highlight w:val="none"/>
          <w:lang w:val="en-US" w:eastAsia="zh-CN"/>
        </w:rPr>
        <w:t>气液动力系统驱动</w:t>
      </w:r>
      <w:r>
        <w:rPr>
          <w:rFonts w:hint="eastAsia" w:ascii="宋体" w:hAnsi="宋体" w:cs="宋体"/>
          <w:sz w:val="24"/>
          <w:highlight w:val="none"/>
          <w:lang w:val="en-US" w:eastAsia="zh-CN"/>
        </w:rPr>
        <w:t>（不允许电动驱动）</w:t>
      </w:r>
      <w:r>
        <w:rPr>
          <w:rFonts w:hint="default" w:ascii="宋体" w:hAnsi="宋体" w:cs="宋体"/>
          <w:sz w:val="24"/>
          <w:highlight w:val="none"/>
          <w:lang w:val="en-US" w:eastAsia="zh-CN"/>
        </w:rPr>
        <w:t>，疏通</w:t>
      </w:r>
      <w:r>
        <w:rPr>
          <w:rFonts w:hint="eastAsia" w:ascii="宋体" w:hAnsi="宋体" w:cs="宋体"/>
          <w:sz w:val="24"/>
          <w:highlight w:val="none"/>
          <w:lang w:val="en-US" w:eastAsia="zh-CN"/>
        </w:rPr>
        <w:t>装置的</w:t>
      </w:r>
      <w:r>
        <w:rPr>
          <w:rFonts w:hint="default" w:ascii="宋体" w:hAnsi="宋体" w:cs="宋体"/>
          <w:sz w:val="24"/>
          <w:highlight w:val="none"/>
          <w:lang w:val="en-US" w:eastAsia="zh-CN"/>
        </w:rPr>
        <w:t>控制液压阀</w:t>
      </w:r>
      <w:r>
        <w:rPr>
          <w:rFonts w:hint="eastAsia" w:ascii="宋体" w:hAnsi="宋体" w:cs="宋体"/>
          <w:sz w:val="24"/>
          <w:highlight w:val="none"/>
          <w:lang w:val="en-US" w:eastAsia="zh-CN"/>
        </w:rPr>
        <w:t>的</w:t>
      </w:r>
      <w:r>
        <w:rPr>
          <w:rFonts w:hint="default" w:ascii="宋体" w:hAnsi="宋体" w:cs="宋体"/>
          <w:sz w:val="24"/>
          <w:highlight w:val="none"/>
          <w:lang w:val="en-US" w:eastAsia="zh-CN"/>
        </w:rPr>
        <w:t>阀芯</w:t>
      </w:r>
      <w:r>
        <w:rPr>
          <w:rFonts w:hint="eastAsia" w:ascii="宋体" w:hAnsi="宋体" w:cs="宋体"/>
          <w:sz w:val="24"/>
          <w:highlight w:val="none"/>
          <w:lang w:val="en-US" w:eastAsia="zh-CN"/>
        </w:rPr>
        <w:t>采用不锈钢材质。</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12.疏通装置配置</w:t>
      </w:r>
      <w:r>
        <w:rPr>
          <w:rFonts w:hint="default" w:ascii="宋体" w:hAnsi="宋体" w:cs="宋体"/>
          <w:sz w:val="24"/>
          <w:highlight w:val="none"/>
          <w:lang w:val="en-US" w:eastAsia="zh-CN"/>
        </w:rPr>
        <w:t>现场控制柜，控制柜内</w:t>
      </w:r>
      <w:r>
        <w:rPr>
          <w:rFonts w:hint="eastAsia" w:ascii="宋体" w:hAnsi="宋体" w:cs="宋体"/>
          <w:sz w:val="24"/>
          <w:highlight w:val="none"/>
          <w:lang w:val="en-US" w:eastAsia="zh-CN"/>
        </w:rPr>
        <w:t>配置</w:t>
      </w:r>
      <w:r>
        <w:rPr>
          <w:rFonts w:hint="default" w:ascii="宋体" w:hAnsi="宋体" w:cs="宋体"/>
          <w:sz w:val="24"/>
          <w:highlight w:val="none"/>
          <w:lang w:val="en-US" w:eastAsia="zh-CN"/>
        </w:rPr>
        <w:t>自动疏通</w:t>
      </w:r>
      <w:r>
        <w:rPr>
          <w:rFonts w:hint="eastAsia" w:ascii="宋体" w:hAnsi="宋体" w:cs="宋体"/>
          <w:sz w:val="24"/>
          <w:highlight w:val="none"/>
          <w:lang w:val="en-US" w:eastAsia="zh-CN"/>
        </w:rPr>
        <w:t>系统</w:t>
      </w:r>
      <w:r>
        <w:rPr>
          <w:rFonts w:hint="default" w:ascii="宋体" w:hAnsi="宋体" w:cs="宋体"/>
          <w:sz w:val="24"/>
          <w:highlight w:val="none"/>
          <w:lang w:val="en-US" w:eastAsia="zh-CN"/>
        </w:rPr>
        <w:t>的PLC 控制系统。</w:t>
      </w:r>
      <w:r>
        <w:rPr>
          <w:rFonts w:hint="eastAsia" w:ascii="宋体" w:hAnsi="宋体" w:cs="宋体"/>
          <w:sz w:val="24"/>
          <w:highlight w:val="none"/>
          <w:lang w:val="en-US" w:eastAsia="zh-CN"/>
        </w:rPr>
        <w:t>可实现就地和远程切换</w:t>
      </w:r>
      <w:r>
        <w:rPr>
          <w:rFonts w:hint="default" w:ascii="宋体" w:hAnsi="宋体" w:cs="宋体"/>
          <w:sz w:val="24"/>
          <w:highlight w:val="none"/>
          <w:lang w:val="en-US" w:eastAsia="zh-CN"/>
        </w:rPr>
        <w:t>。垃圾吊控室内</w:t>
      </w:r>
      <w:r>
        <w:rPr>
          <w:rFonts w:hint="eastAsia" w:ascii="宋体" w:hAnsi="宋体" w:cs="宋体"/>
          <w:sz w:val="24"/>
          <w:highlight w:val="none"/>
          <w:lang w:val="en-US" w:eastAsia="zh-CN"/>
        </w:rPr>
        <w:t>设置</w:t>
      </w:r>
      <w:r>
        <w:rPr>
          <w:rFonts w:hint="default" w:ascii="宋体" w:hAnsi="宋体" w:cs="宋体"/>
          <w:sz w:val="24"/>
          <w:highlight w:val="none"/>
          <w:lang w:val="en-US" w:eastAsia="zh-CN"/>
        </w:rPr>
        <w:t>10寸疏通系统远程控制触摸屏，疏通系统应能够在“自动\手动 ”模式下运行</w:t>
      </w:r>
      <w:r>
        <w:rPr>
          <w:rFonts w:hint="eastAsia" w:ascii="宋体" w:hAnsi="宋体" w:cs="宋体"/>
          <w:sz w:val="24"/>
          <w:highlight w:val="none"/>
          <w:lang w:val="en-US" w:eastAsia="zh-CN"/>
        </w:rPr>
        <w:t>（具体位置由甲方确定）</w:t>
      </w:r>
      <w:r>
        <w:rPr>
          <w:rFonts w:hint="default" w:ascii="宋体" w:hAnsi="宋体" w:cs="宋体"/>
          <w:sz w:val="24"/>
          <w:highlight w:val="none"/>
          <w:lang w:val="en-US" w:eastAsia="zh-CN"/>
        </w:rPr>
        <w:t>。</w:t>
      </w:r>
      <w:r>
        <w:rPr>
          <w:rFonts w:hint="eastAsia" w:ascii="宋体" w:hAnsi="宋体" w:cs="宋体"/>
          <w:sz w:val="24"/>
          <w:highlight w:val="none"/>
          <w:lang w:val="en-US" w:eastAsia="zh-CN"/>
        </w:rPr>
        <w:t>就地控制柜设置</w:t>
      </w:r>
      <w:r>
        <w:rPr>
          <w:rFonts w:hint="default" w:ascii="宋体" w:hAnsi="宋体" w:cs="宋体"/>
          <w:sz w:val="24"/>
          <w:highlight w:val="none"/>
          <w:lang w:val="en-US" w:eastAsia="zh-CN"/>
        </w:rPr>
        <w:t>急停按钮</w:t>
      </w:r>
      <w:r>
        <w:rPr>
          <w:rFonts w:hint="eastAsia" w:ascii="宋体" w:hAnsi="宋体" w:cs="宋体"/>
          <w:sz w:val="24"/>
          <w:highlight w:val="none"/>
          <w:lang w:val="en-US" w:eastAsia="zh-CN"/>
        </w:rPr>
        <w:t>、</w:t>
      </w:r>
      <w:r>
        <w:rPr>
          <w:rFonts w:hint="default" w:ascii="宋体" w:hAnsi="宋体" w:cs="宋体"/>
          <w:sz w:val="24"/>
          <w:highlight w:val="none"/>
          <w:lang w:val="en-US" w:eastAsia="zh-CN"/>
        </w:rPr>
        <w:t>启停按钮，</w:t>
      </w:r>
      <w:r>
        <w:rPr>
          <w:rFonts w:hint="eastAsia" w:ascii="宋体" w:hAnsi="宋体" w:cs="宋体"/>
          <w:sz w:val="24"/>
          <w:highlight w:val="none"/>
          <w:lang w:val="en-US" w:eastAsia="zh-CN"/>
        </w:rPr>
        <w:t>并</w:t>
      </w:r>
      <w:r>
        <w:rPr>
          <w:rFonts w:hint="default" w:ascii="宋体" w:hAnsi="宋体" w:cs="宋体"/>
          <w:sz w:val="24"/>
          <w:highlight w:val="none"/>
          <w:lang w:val="en-US" w:eastAsia="zh-CN"/>
        </w:rPr>
        <w:t>通过HMI</w:t>
      </w:r>
      <w:r>
        <w:rPr>
          <w:rFonts w:hint="eastAsia" w:ascii="宋体" w:hAnsi="宋体" w:cs="宋体"/>
          <w:sz w:val="24"/>
          <w:highlight w:val="none"/>
          <w:lang w:val="en-US" w:eastAsia="zh-CN"/>
        </w:rPr>
        <w:t>（人机界面）</w:t>
      </w:r>
      <w:r>
        <w:rPr>
          <w:rFonts w:hint="default" w:ascii="宋体" w:hAnsi="宋体" w:cs="宋体"/>
          <w:sz w:val="24"/>
          <w:highlight w:val="none"/>
          <w:lang w:val="en-US" w:eastAsia="zh-CN"/>
        </w:rPr>
        <w:t>设置水箅子疏通装置工作参数。</w:t>
      </w:r>
      <w:r>
        <w:rPr>
          <w:rFonts w:hint="eastAsia" w:ascii="宋体" w:hAnsi="宋体" w:cs="宋体"/>
          <w:sz w:val="24"/>
          <w:highlight w:val="none"/>
          <w:lang w:val="en-US" w:eastAsia="zh-CN"/>
        </w:rPr>
        <w:t>控制柜</w:t>
      </w:r>
      <w:r>
        <w:rPr>
          <w:rFonts w:hint="default" w:ascii="宋体" w:hAnsi="宋体" w:cs="宋体"/>
          <w:sz w:val="24"/>
          <w:highlight w:val="none"/>
          <w:lang w:val="en-US" w:eastAsia="zh-CN"/>
        </w:rPr>
        <w:t>防护等级为IP54。</w:t>
      </w:r>
      <w:r>
        <w:rPr>
          <w:rFonts w:hint="eastAsia" w:ascii="宋体" w:hAnsi="宋体" w:cs="宋体"/>
          <w:sz w:val="24"/>
          <w:highlight w:val="none"/>
          <w:lang w:val="en-US" w:eastAsia="zh-CN"/>
        </w:rPr>
        <w:t>疏通装置应具备以下功能：</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w:t>
      </w:r>
      <w:r>
        <w:rPr>
          <w:rFonts w:hint="default" w:ascii="宋体" w:hAnsi="宋体" w:cs="宋体"/>
          <w:sz w:val="24"/>
          <w:highlight w:val="none"/>
          <w:lang w:val="en-US" w:eastAsia="zh-CN"/>
        </w:rPr>
        <w:t>开机自检，能够实现一键启动、系统自检、自动执行疏通工作、疏通完</w:t>
      </w:r>
      <w:r>
        <w:rPr>
          <w:rFonts w:hint="eastAsia" w:ascii="宋体" w:hAnsi="宋体" w:cs="宋体"/>
          <w:sz w:val="24"/>
          <w:highlight w:val="none"/>
          <w:lang w:val="en-US" w:eastAsia="zh-CN"/>
        </w:rPr>
        <w:t>成后</w:t>
      </w:r>
      <w:r>
        <w:rPr>
          <w:rFonts w:hint="default" w:ascii="宋体" w:hAnsi="宋体" w:cs="宋体"/>
          <w:sz w:val="24"/>
          <w:highlight w:val="none"/>
          <w:lang w:val="en-US" w:eastAsia="zh-CN"/>
        </w:rPr>
        <w:t>恢复初始状态；</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default" w:ascii="宋体" w:hAnsi="宋体" w:cs="宋体"/>
          <w:sz w:val="24"/>
          <w:highlight w:val="none"/>
          <w:lang w:val="en-US" w:eastAsia="zh-CN"/>
        </w:rPr>
        <w:t>疏通过程状态检测，自动疏通模式时，可通过疏通系统远程控制平台实现疏通窗口的任意选择；</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（3）</w:t>
      </w:r>
      <w:r>
        <w:rPr>
          <w:rFonts w:hint="default" w:ascii="宋体" w:hAnsi="宋体" w:cs="宋体"/>
          <w:sz w:val="24"/>
          <w:highlight w:val="none"/>
          <w:lang w:val="en-US" w:eastAsia="zh-CN"/>
        </w:rPr>
        <w:t>自动疏通系统设备运行状态参数监控及故障诊断；</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（4）</w:t>
      </w:r>
      <w:r>
        <w:rPr>
          <w:rFonts w:hint="default" w:ascii="宋体" w:hAnsi="宋体" w:cs="宋体"/>
          <w:sz w:val="24"/>
          <w:highlight w:val="none"/>
          <w:lang w:val="en-US" w:eastAsia="zh-CN"/>
        </w:rPr>
        <w:t>可提供钢板箅子疏通的次数或时</w:t>
      </w:r>
      <w:r>
        <w:rPr>
          <w:rFonts w:hint="eastAsia" w:ascii="宋体" w:hAnsi="宋体" w:cs="宋体"/>
          <w:sz w:val="24"/>
          <w:highlight w:val="none"/>
          <w:lang w:val="en-US" w:eastAsia="zh-CN"/>
        </w:rPr>
        <w:t>间</w:t>
      </w:r>
      <w:r>
        <w:rPr>
          <w:rFonts w:hint="default" w:ascii="宋体" w:hAnsi="宋体" w:cs="宋体"/>
          <w:sz w:val="24"/>
          <w:highlight w:val="none"/>
          <w:lang w:val="en-US" w:eastAsia="zh-CN"/>
        </w:rPr>
        <w:t>两种运行</w:t>
      </w:r>
      <w:r>
        <w:rPr>
          <w:rFonts w:hint="eastAsia" w:ascii="宋体" w:hAnsi="宋体" w:cs="宋体"/>
          <w:sz w:val="24"/>
          <w:highlight w:val="none"/>
          <w:lang w:val="en-US" w:eastAsia="zh-CN"/>
        </w:rPr>
        <w:t>控制</w:t>
      </w:r>
      <w:r>
        <w:rPr>
          <w:rFonts w:hint="default" w:ascii="宋体" w:hAnsi="宋体" w:cs="宋体"/>
          <w:sz w:val="24"/>
          <w:highlight w:val="none"/>
          <w:lang w:val="en-US" w:eastAsia="zh-CN"/>
        </w:rPr>
        <w:t>模式选择；</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（5）</w:t>
      </w:r>
      <w:r>
        <w:rPr>
          <w:rFonts w:hint="default" w:ascii="宋体" w:hAnsi="宋体" w:cs="宋体"/>
          <w:sz w:val="24"/>
          <w:highlight w:val="none"/>
          <w:lang w:val="en-US" w:eastAsia="zh-CN"/>
        </w:rPr>
        <w:t>液压缸行程可</w:t>
      </w:r>
      <w:r>
        <w:rPr>
          <w:rFonts w:hint="eastAsia" w:ascii="宋体" w:hAnsi="宋体" w:cs="宋体"/>
          <w:sz w:val="24"/>
          <w:highlight w:val="none"/>
          <w:lang w:val="en-US" w:eastAsia="zh-CN"/>
        </w:rPr>
        <w:t>通过</w:t>
      </w:r>
      <w:r>
        <w:rPr>
          <w:rFonts w:hint="default" w:ascii="宋体" w:hAnsi="宋体" w:cs="宋体"/>
          <w:sz w:val="24"/>
          <w:highlight w:val="none"/>
          <w:lang w:val="en-US" w:eastAsia="zh-CN"/>
        </w:rPr>
        <w:t>油缸上方的装置</w:t>
      </w:r>
      <w:r>
        <w:rPr>
          <w:rFonts w:hint="eastAsia" w:ascii="宋体" w:hAnsi="宋体" w:cs="宋体"/>
          <w:sz w:val="24"/>
          <w:highlight w:val="none"/>
          <w:lang w:val="en-US" w:eastAsia="zh-CN"/>
        </w:rPr>
        <w:t>显示</w:t>
      </w:r>
      <w:r>
        <w:rPr>
          <w:rFonts w:hint="default" w:ascii="宋体" w:hAnsi="宋体" w:cs="宋体"/>
          <w:sz w:val="24"/>
          <w:highlight w:val="none"/>
          <w:lang w:val="en-US" w:eastAsia="zh-CN"/>
        </w:rPr>
        <w:t>液压缸进、退动作；</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（6）</w:t>
      </w:r>
      <w:r>
        <w:rPr>
          <w:rFonts w:hint="default" w:ascii="宋体" w:hAnsi="宋体" w:cs="宋体"/>
          <w:sz w:val="24"/>
          <w:highlight w:val="none"/>
          <w:lang w:val="en-US" w:eastAsia="zh-CN"/>
        </w:rPr>
        <w:t>疏通系统远程控制平台，可实现启动、停运单个钢板箅子，并可查看系统相关参数；当其中一个疏通装置出现故障时，不影响其余疏通装置的自动运行。</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（7）PLC屏幕</w:t>
      </w:r>
      <w:r>
        <w:rPr>
          <w:rFonts w:hint="default" w:ascii="宋体" w:hAnsi="宋体" w:cs="宋体"/>
          <w:sz w:val="24"/>
          <w:highlight w:val="none"/>
          <w:lang w:val="en-US" w:eastAsia="zh-CN"/>
        </w:rPr>
        <w:t>显示方面：运行时显示工作电流及“运行</w:t>
      </w:r>
      <w:r>
        <w:rPr>
          <w:rFonts w:hint="eastAsia" w:ascii="宋体" w:hAnsi="宋体" w:cs="宋体"/>
          <w:sz w:val="24"/>
          <w:highlight w:val="none"/>
          <w:lang w:val="en-US" w:eastAsia="zh-CN"/>
        </w:rPr>
        <w:t>”“</w:t>
      </w:r>
      <w:r>
        <w:rPr>
          <w:rFonts w:hint="default" w:ascii="宋体" w:hAnsi="宋体" w:cs="宋体"/>
          <w:sz w:val="24"/>
          <w:highlight w:val="none"/>
          <w:lang w:val="en-US" w:eastAsia="zh-CN"/>
        </w:rPr>
        <w:t>停止</w:t>
      </w:r>
      <w:r>
        <w:rPr>
          <w:rFonts w:hint="eastAsia" w:ascii="宋体" w:hAnsi="宋体" w:cs="宋体"/>
          <w:sz w:val="24"/>
          <w:highlight w:val="none"/>
          <w:lang w:val="en-US" w:eastAsia="zh-CN"/>
        </w:rPr>
        <w:t>”“</w:t>
      </w:r>
      <w:r>
        <w:rPr>
          <w:rFonts w:hint="default" w:ascii="宋体" w:hAnsi="宋体" w:cs="宋体"/>
          <w:sz w:val="24"/>
          <w:highlight w:val="none"/>
          <w:lang w:val="en-US" w:eastAsia="zh-CN"/>
        </w:rPr>
        <w:t>过载</w:t>
      </w:r>
      <w:r>
        <w:rPr>
          <w:rFonts w:hint="eastAsia" w:ascii="宋体" w:hAnsi="宋体" w:cs="宋体"/>
          <w:sz w:val="24"/>
          <w:highlight w:val="none"/>
          <w:lang w:val="en-US" w:eastAsia="zh-CN"/>
        </w:rPr>
        <w:t>”“</w:t>
      </w:r>
      <w:r>
        <w:rPr>
          <w:rFonts w:hint="default" w:ascii="宋体" w:hAnsi="宋体" w:cs="宋体"/>
          <w:sz w:val="24"/>
          <w:highlight w:val="none"/>
          <w:lang w:val="en-US" w:eastAsia="zh-CN"/>
        </w:rPr>
        <w:t>故障”状态指示灯。</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13.</w:t>
      </w:r>
      <w:r>
        <w:rPr>
          <w:rFonts w:hint="default" w:ascii="宋体" w:hAnsi="宋体" w:cs="宋体"/>
          <w:sz w:val="24"/>
          <w:highlight w:val="none"/>
          <w:lang w:val="en-US" w:eastAsia="zh-CN"/>
        </w:rPr>
        <w:t>控制柜内部要求</w:t>
      </w:r>
      <w:r>
        <w:rPr>
          <w:rFonts w:hint="eastAsia" w:ascii="宋体" w:hAnsi="宋体" w:cs="宋体"/>
          <w:sz w:val="24"/>
          <w:highlight w:val="none"/>
          <w:lang w:val="en-US" w:eastAsia="zh-CN"/>
        </w:rPr>
        <w:t>：</w:t>
      </w:r>
      <w:r>
        <w:rPr>
          <w:rFonts w:hint="default" w:ascii="宋体" w:hAnsi="宋体" w:cs="宋体"/>
          <w:sz w:val="24"/>
          <w:highlight w:val="none"/>
          <w:lang w:val="en-US" w:eastAsia="zh-CN"/>
        </w:rPr>
        <w:t>最少包含一个二级电源空开，一个二次控制回路空开，空气开关要求质量可靠、最大额定电流选择恰当；内部线要求接线整齐，线号明确、端子排固定牢固，距离适当，布置合理，便于引入外部进线；柜内安装过流保护装置，报警点输出至控制箱面板的过载指示灯以及通过干接点输出至端子排上，定值设定与设备相符。</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14.疏通系统所有电气设备外壳、开关柜和控制柜接地母线、金属构架、电缆管道、电缆的屏蔽层、其他可能会偶然带电的金属物件、管道等，均应牢固可靠地连接到主接地网上。铜接地体与扁钢接地体连接时应使用过渡接头。</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15.</w:t>
      </w:r>
      <w:r>
        <w:rPr>
          <w:rFonts w:hint="default" w:ascii="宋体" w:hAnsi="宋体" w:cs="宋体"/>
          <w:sz w:val="24"/>
          <w:highlight w:val="none"/>
          <w:lang w:val="en-US" w:eastAsia="zh-CN"/>
        </w:rPr>
        <w:t>电缆敷设主要采用电缆桥架架空敷设，材质采用热镀锌，厚度不小于 1.5mm ，注意防爆、 防火、防振动。当电缆根数较少或无管架，可采用电缆穿钢管明配或直埋敷设。0.4KV低压系统电力电缆选用ZB-YJV 交联聚乙烯绝缘铜芯电缆。</w:t>
      </w:r>
    </w:p>
    <w:p>
      <w:pPr>
        <w:spacing w:line="360" w:lineRule="auto"/>
        <w:ind w:firstLine="480" w:firstLineChars="200"/>
        <w:outlineLvl w:val="0"/>
        <w:rPr>
          <w:rFonts w:hint="default" w:ascii="宋体" w:hAnsi="宋体" w:cs="宋体"/>
          <w:sz w:val="24"/>
          <w:highlight w:val="none"/>
          <w:lang w:val="en-US" w:eastAsia="zh-CN"/>
        </w:rPr>
      </w:pPr>
      <w:r>
        <w:rPr>
          <w:rFonts w:hint="eastAsia" w:ascii="宋体" w:hAnsi="宋体" w:cs="宋体"/>
          <w:sz w:val="24"/>
          <w:highlight w:val="none"/>
          <w:lang w:val="en-US" w:eastAsia="zh-CN"/>
        </w:rPr>
        <w:t>16.</w:t>
      </w:r>
      <w:r>
        <w:rPr>
          <w:rFonts w:hint="default" w:ascii="宋体" w:hAnsi="宋体" w:cs="宋体"/>
          <w:sz w:val="24"/>
          <w:highlight w:val="none"/>
          <w:lang w:val="en-US" w:eastAsia="zh-CN"/>
        </w:rPr>
        <w:t>压力仪表应按需要完整地配备</w:t>
      </w:r>
      <w:r>
        <w:rPr>
          <w:rFonts w:hint="eastAsia" w:ascii="宋体" w:hAnsi="宋体" w:cs="宋体"/>
          <w:sz w:val="24"/>
          <w:highlight w:val="none"/>
          <w:lang w:val="en-US" w:eastAsia="zh-CN"/>
        </w:rPr>
        <w:t>一二次</w:t>
      </w:r>
      <w:r>
        <w:rPr>
          <w:rFonts w:hint="default" w:ascii="宋体" w:hAnsi="宋体" w:cs="宋体"/>
          <w:sz w:val="24"/>
          <w:highlight w:val="none"/>
          <w:lang w:val="en-US" w:eastAsia="zh-CN"/>
        </w:rPr>
        <w:t>仪表阀等。配供的压力表选用不锈钢压力表，所有仪表管路应是不锈钢材质；温度元件选用三线制PT100的铠装热电阻。</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17.乙方所供必须为合格全新产品，不得为假冒伪劣和质保期之外的产品。</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18.</w:t>
      </w:r>
      <w:r>
        <w:rPr>
          <w:rFonts w:hint="eastAsia" w:ascii="宋体" w:hAnsi="宋体" w:cs="宋体"/>
          <w:sz w:val="24"/>
          <w:lang w:val="en-US" w:eastAsia="zh-CN"/>
        </w:rPr>
        <w:t>本合同质保期限为至验收合格后</w:t>
      </w:r>
      <w:r>
        <w:rPr>
          <w:rFonts w:hint="eastAsia" w:ascii="宋体" w:hAnsi="宋体" w:cs="宋体"/>
          <w:sz w:val="24"/>
          <w:u w:val="single"/>
          <w:lang w:val="en-US" w:eastAsia="zh-CN"/>
        </w:rPr>
        <w:t xml:space="preserve"> 12 </w:t>
      </w:r>
      <w:r>
        <w:rPr>
          <w:rFonts w:hint="eastAsia" w:ascii="宋体" w:hAnsi="宋体" w:cs="宋体"/>
          <w:sz w:val="24"/>
          <w:lang w:val="en-US" w:eastAsia="zh-CN"/>
        </w:rPr>
        <w:t>个月，若质保期限内出现问题（非质量问题除外），乙方必须在接到甲方通知后48小时内无条件赶到现场，免费维修或更换。在质保期限内未出现任何质量问题，视为质保合格。</w:t>
      </w:r>
    </w:p>
    <w:p>
      <w:pPr>
        <w:pStyle w:val="28"/>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（2）</w:t>
      </w:r>
      <w:r>
        <w:rPr>
          <w:rFonts w:hint="eastAsia" w:eastAsia="宋体" w:cs="宋体"/>
          <w:color w:val="auto"/>
          <w:highlight w:val="none"/>
          <w:lang w:val="en-US" w:eastAsia="zh-CN"/>
        </w:rPr>
        <w:t>形式执行：</w:t>
      </w:r>
    </w:p>
    <w:p>
      <w:pPr>
        <w:pStyle w:val="7"/>
        <w:ind w:firstLine="480" w:firstLineChars="200"/>
        <w:rPr>
          <w:rFonts w:hint="default" w:ascii="宋体" w:hAnsi="宋体" w:eastAsia="宋体" w:cs="宋体"/>
          <w:color w:val="auto"/>
          <w:u w:val="none"/>
          <w:lang w:val="en-US" w:eastAsia="zh-CN"/>
        </w:rPr>
      </w:pPr>
      <w:r>
        <w:rPr>
          <w:rFonts w:hint="eastAsia" w:eastAsia="宋体" w:cs="宋体"/>
          <w:color w:val="auto"/>
          <w:lang w:val="en-US" w:eastAsia="zh-CN"/>
        </w:rPr>
        <w:t>第（2）形式：合同履约保证金不包含质保金，甲方在结算付款时需扣除质保金，具体要求如下：</w:t>
      </w:r>
    </w:p>
    <w:p>
      <w:pPr>
        <w:pStyle w:val="7"/>
        <w:ind w:firstLine="480" w:firstLineChars="200"/>
        <w:rPr>
          <w:rFonts w:hint="eastAsia" w:ascii="宋体" w:hAnsi="宋体" w:eastAsia="宋体" w:cs="宋体"/>
          <w:color w:val="auto"/>
          <w:u w:val="none"/>
          <w:lang w:val="en-US" w:eastAsia="zh-CN"/>
        </w:rPr>
      </w:pPr>
      <w:r>
        <w:rPr>
          <w:rFonts w:hint="eastAsia" w:hAnsi="宋体" w:eastAsia="宋体" w:cs="宋体"/>
          <w:color w:val="auto"/>
          <w:u w:val="none"/>
          <w:lang w:val="en-US" w:eastAsia="zh-CN"/>
        </w:rPr>
        <w:t>①</w:t>
      </w:r>
      <w:r>
        <w:rPr>
          <w:rFonts w:hint="eastAsia" w:ascii="宋体" w:hAnsi="宋体" w:eastAsia="宋体" w:cs="宋体"/>
          <w:color w:val="auto"/>
          <w:u w:val="none"/>
          <w:lang w:val="en-US" w:eastAsia="zh-CN"/>
        </w:rPr>
        <w:t>质保金的比例为</w:t>
      </w:r>
      <w:r>
        <w:rPr>
          <w:rFonts w:hint="eastAsia" w:hAnsi="宋体" w:eastAsia="宋体" w:cs="宋体"/>
          <w:color w:val="auto"/>
          <w:u w:val="none"/>
          <w:lang w:val="en-US" w:eastAsia="zh-CN"/>
        </w:rPr>
        <w:t>乙方本次</w:t>
      </w:r>
      <w:r>
        <w:rPr>
          <w:rFonts w:hint="eastAsia" w:ascii="宋体" w:hAnsi="宋体" w:eastAsia="宋体" w:cs="宋体"/>
          <w:color w:val="auto"/>
          <w:u w:val="none"/>
          <w:lang w:val="en-US" w:eastAsia="zh-CN"/>
        </w:rPr>
        <w:t>应结算总金额的</w:t>
      </w:r>
      <w:r>
        <w:rPr>
          <w:rFonts w:hint="eastAsia" w:ascii="宋体" w:hAnsi="宋体" w:eastAsia="宋体" w:cs="宋体"/>
          <w:color w:val="auto"/>
          <w:u w:val="single"/>
          <w:lang w:val="en-US" w:eastAsia="zh-CN"/>
        </w:rPr>
        <w:t xml:space="preserve"> </w:t>
      </w:r>
      <w:r>
        <w:rPr>
          <w:rFonts w:hint="eastAsia" w:hAnsi="宋体" w:eastAsia="宋体" w:cs="宋体"/>
          <w:color w:val="auto"/>
          <w:u w:val="single"/>
          <w:lang w:val="en-US" w:eastAsia="zh-CN"/>
        </w:rPr>
        <w:t xml:space="preserve">10  </w:t>
      </w:r>
      <w:r>
        <w:rPr>
          <w:rFonts w:hint="eastAsia" w:ascii="宋体" w:hAnsi="宋体" w:eastAsia="宋体" w:cs="宋体"/>
          <w:color w:val="auto"/>
          <w:u w:val="none"/>
          <w:lang w:val="en-US" w:eastAsia="zh-CN"/>
        </w:rPr>
        <w:t>%</w:t>
      </w:r>
      <w:r>
        <w:rPr>
          <w:rFonts w:hint="eastAsia" w:hAnsi="宋体" w:eastAsia="宋体" w:cs="宋体"/>
          <w:color w:val="auto"/>
          <w:u w:val="none"/>
          <w:lang w:val="en-US" w:eastAsia="zh-CN"/>
        </w:rPr>
        <w:t>，本次</w:t>
      </w:r>
      <w:r>
        <w:rPr>
          <w:rFonts w:hint="eastAsia" w:ascii="宋体" w:hAnsi="宋体" w:eastAsia="宋体" w:cs="宋体"/>
          <w:color w:val="auto"/>
          <w:u w:val="none"/>
          <w:lang w:val="en-US" w:eastAsia="zh-CN"/>
        </w:rPr>
        <w:t>应结算总金额</w:t>
      </w:r>
      <w:r>
        <w:rPr>
          <w:rFonts w:hint="eastAsia" w:hAnsi="宋体" w:eastAsia="宋体" w:cs="宋体"/>
          <w:color w:val="auto"/>
          <w:u w:val="none"/>
          <w:lang w:val="en-US" w:eastAsia="zh-CN"/>
        </w:rPr>
        <w:t>是指本次若有价格折让之后的总金额，但包含了违约金或行为考核扣款</w:t>
      </w:r>
      <w:r>
        <w:rPr>
          <w:rFonts w:hint="eastAsia" w:ascii="宋体" w:hAnsi="宋体" w:eastAsia="宋体" w:cs="宋体"/>
          <w:color w:val="auto"/>
          <w:u w:val="none"/>
          <w:lang w:val="en-US" w:eastAsia="zh-CN"/>
        </w:rPr>
        <w:t>；</w:t>
      </w:r>
    </w:p>
    <w:p>
      <w:pPr>
        <w:pStyle w:val="7"/>
        <w:numPr>
          <w:ilvl w:val="0"/>
          <w:numId w:val="0"/>
        </w:numPr>
        <w:ind w:firstLine="480" w:firstLineChars="200"/>
        <w:rPr>
          <w:rFonts w:hint="default" w:eastAsia="宋体" w:cs="宋体"/>
          <w:color w:val="auto"/>
          <w:highlight w:val="none"/>
          <w:lang w:val="en-US" w:eastAsia="zh-CN"/>
        </w:rPr>
      </w:pPr>
      <w:r>
        <w:rPr>
          <w:rFonts w:hint="eastAsia" w:hAnsi="宋体" w:eastAsia="宋体" w:cs="宋体"/>
          <w:color w:val="auto"/>
          <w:u w:val="none"/>
          <w:lang w:val="en-US" w:eastAsia="zh-CN"/>
        </w:rPr>
        <w:t>②</w:t>
      </w:r>
      <w:r>
        <w:rPr>
          <w:rFonts w:hint="eastAsia" w:ascii="宋体" w:hAnsi="宋体" w:eastAsia="宋体" w:cs="宋体"/>
          <w:color w:val="auto"/>
          <w:u w:val="none"/>
          <w:lang w:val="en-US" w:eastAsia="zh-CN"/>
        </w:rPr>
        <w:t>质保金支付条件：质保</w:t>
      </w:r>
      <w:r>
        <w:rPr>
          <w:rFonts w:hint="eastAsia" w:hAnsi="宋体" w:eastAsia="宋体" w:cs="宋体"/>
          <w:color w:val="auto"/>
          <w:u w:val="none"/>
          <w:lang w:val="en-US" w:eastAsia="zh-CN"/>
        </w:rPr>
        <w:t>期限</w:t>
      </w:r>
      <w:r>
        <w:rPr>
          <w:rFonts w:hint="eastAsia" w:ascii="宋体" w:hAnsi="宋体" w:eastAsia="宋体" w:cs="宋体"/>
          <w:color w:val="auto"/>
          <w:u w:val="none"/>
          <w:lang w:val="en-US" w:eastAsia="zh-CN"/>
        </w:rPr>
        <w:t>内无任何质量问题，双方无任何遗留问题 ，质保</w:t>
      </w:r>
      <w:r>
        <w:rPr>
          <w:rFonts w:hint="eastAsia" w:hAnsi="宋体" w:eastAsia="宋体" w:cs="宋体"/>
          <w:color w:val="auto"/>
          <w:u w:val="none"/>
          <w:lang w:val="en-US" w:eastAsia="zh-CN"/>
        </w:rPr>
        <w:t>期限</w:t>
      </w:r>
      <w:r>
        <w:rPr>
          <w:rFonts w:hint="eastAsia" w:ascii="宋体" w:hAnsi="宋体" w:eastAsia="宋体" w:cs="宋体"/>
          <w:color w:val="auto"/>
          <w:u w:val="none"/>
          <w:lang w:val="en-US" w:eastAsia="zh-CN"/>
        </w:rPr>
        <w:t>结束后30天内</w:t>
      </w:r>
      <w:r>
        <w:rPr>
          <w:rFonts w:hint="eastAsia" w:hAnsi="宋体" w:eastAsia="宋体" w:cs="宋体"/>
          <w:color w:val="auto"/>
          <w:u w:val="none"/>
          <w:lang w:val="en-US" w:eastAsia="zh-CN"/>
        </w:rPr>
        <w:t>甲方</w:t>
      </w:r>
      <w:r>
        <w:rPr>
          <w:rFonts w:hint="eastAsia" w:ascii="宋体" w:hAnsi="宋体" w:eastAsia="宋体" w:cs="宋体"/>
          <w:color w:val="auto"/>
          <w:u w:val="none"/>
          <w:lang w:val="en-US" w:eastAsia="zh-CN"/>
        </w:rPr>
        <w:t>无息支付。</w:t>
      </w:r>
    </w:p>
    <w:p>
      <w:pPr>
        <w:spacing w:line="360" w:lineRule="auto"/>
        <w:ind w:firstLine="480" w:firstLineChars="200"/>
        <w:outlineLvl w:val="0"/>
        <w:rPr>
          <w:rFonts w:hint="eastAsia"/>
          <w:lang w:val="en-US" w:eastAsia="zh-CN"/>
        </w:rPr>
      </w:pPr>
      <w:r>
        <w:rPr>
          <w:rFonts w:hint="eastAsia" w:ascii="宋体" w:hAnsi="宋体" w:cs="宋体"/>
          <w:b w:val="0"/>
          <w:bCs/>
          <w:color w:val="auto"/>
          <w:sz w:val="24"/>
          <w:highlight w:val="none"/>
          <w:lang w:val="en-US" w:eastAsia="zh-CN"/>
        </w:rPr>
        <w:t>19.甲方对本合同项下合同成果的验收合格，仅为对货物数量、外观、型号及初步功能、服务要求的符合性确认，并非对货物或者服务内在质量、性能、长期稳定性及所有潜在瑕疵的最终认可，不能豁免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乙方</w:t>
      </w:r>
      <w:r>
        <w:rPr>
          <w:rFonts w:hint="eastAsia" w:ascii="宋体" w:hAnsi="宋体" w:cs="宋体"/>
          <w:b w:val="0"/>
          <w:bCs/>
          <w:color w:val="auto"/>
          <w:sz w:val="24"/>
          <w:highlight w:val="none"/>
          <w:lang w:val="en-US" w:eastAsia="zh-CN"/>
        </w:rPr>
        <w:t>的质量责任。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六</w:t>
      </w:r>
      <w:r>
        <w:rPr>
          <w:rFonts w:hint="eastAsia" w:ascii="宋体" w:hAnsi="宋体" w:cs="宋体"/>
          <w:b/>
          <w:sz w:val="24"/>
        </w:rPr>
        <w:t>、服务要求</w:t>
      </w:r>
    </w:p>
    <w:p>
      <w:pPr>
        <w:spacing w:line="360" w:lineRule="auto"/>
        <w:ind w:firstLine="480" w:firstLineChars="200"/>
        <w:outlineLvl w:val="0"/>
        <w:rPr>
          <w:rFonts w:hint="default" w:ascii="宋体" w:hAnsi="宋体" w:cs="宋体" w:eastAsiaTheme="minorEastAsia"/>
          <w:b/>
          <w:bCs/>
          <w:sz w:val="24"/>
          <w:u w:val="single"/>
          <w:lang w:val="en-US" w:eastAsia="zh-CN"/>
        </w:rPr>
      </w:pPr>
      <w:r>
        <w:rPr>
          <w:rFonts w:hint="eastAsia" w:ascii="宋体" w:hAnsi="宋体" w:cs="宋体"/>
          <w:sz w:val="24"/>
          <w:lang w:val="en-US" w:eastAsia="zh-CN"/>
        </w:rPr>
        <w:t>1.乙方需对本次采购需求充分了解，对工作内容、计量单位、验收标准与方式、结算方式充分理解且无歧义，乙方需仔细核对甲方提供的技术资料，对不确定的需要充分与甲方对接核实，必要时前往甲方现场核实。</w:t>
      </w:r>
      <w:r>
        <w:rPr>
          <w:rFonts w:hint="eastAsia" w:ascii="宋体" w:hAnsi="宋体" w:cs="宋体"/>
          <w:b/>
          <w:bCs/>
          <w:sz w:val="24"/>
          <w:u w:val="single"/>
          <w:lang w:val="en-US" w:eastAsia="zh-CN"/>
        </w:rPr>
        <w:t>乙方需要充分了解甲方现场安装环境，有恶臭、有毒有害气体存在，乙方需要遵守甲方的安全作业要求，自行准备劳动防护用品。</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乙方和甲方双方需要遵守合同约定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供货批次：一次性供货及安装和调试。乙方在收到甲方采购订单后45天内完成供货，在收到甲方通知后15天内安装和调试。</w:t>
      </w:r>
    </w:p>
    <w:p>
      <w:pPr>
        <w:pStyle w:val="7"/>
        <w:ind w:firstLine="480" w:firstLineChars="200"/>
        <w:rPr>
          <w:rFonts w:hint="eastAsia"/>
          <w:highlight w:val="none"/>
          <w:lang w:val="en-US" w:eastAsia="zh-CN"/>
        </w:rPr>
      </w:pPr>
      <w:r>
        <w:rPr>
          <w:rFonts w:hint="eastAsia"/>
          <w:highlight w:val="none"/>
          <w:lang w:val="en-US" w:eastAsia="zh-CN"/>
        </w:rPr>
        <w:t>4.乙方应及时提供与设备有关的设计、设备监造、检验、调试、验收、性能验收试验、运行、检修等相应的技术指导、技术配合、技术培训等全过程的服务。</w:t>
      </w:r>
    </w:p>
    <w:p>
      <w:pPr>
        <w:pStyle w:val="7"/>
        <w:ind w:firstLine="480" w:firstLineChars="200"/>
        <w:rPr>
          <w:rFonts w:hint="eastAsia"/>
          <w:highlight w:val="none"/>
          <w:lang w:val="en-US" w:eastAsia="zh-CN"/>
        </w:rPr>
      </w:pPr>
      <w:r>
        <w:rPr>
          <w:rFonts w:hint="eastAsia"/>
          <w:highlight w:val="none"/>
          <w:lang w:val="en-US" w:eastAsia="zh-CN"/>
        </w:rPr>
        <w:t>5.本项目安装调试期内乙方应派专业技术人员常驻现场，根据技术资料进行安装、调试和启动，并负责解决所供设备在安装、调试、试运行中发现的与制造质量及性能有关的问题。</w:t>
      </w:r>
    </w:p>
    <w:p>
      <w:pPr>
        <w:pStyle w:val="7"/>
        <w:ind w:firstLine="480" w:firstLineChars="200"/>
        <w:rPr>
          <w:rFonts w:hint="eastAsia"/>
          <w:highlight w:val="none"/>
          <w:lang w:val="en-US" w:eastAsia="zh-CN"/>
        </w:rPr>
      </w:pPr>
      <w:r>
        <w:rPr>
          <w:rFonts w:hint="eastAsia"/>
          <w:highlight w:val="none"/>
          <w:lang w:val="en-US" w:eastAsia="zh-CN"/>
        </w:rPr>
        <w:t>6.乙方派到现场服务的技术人员应是具有实践经验、可胜任此项工作的人员。甲方有权提出更换不符合要求的技术服务人员，供货方可根据现场需要重新选派符合要求的服务人员。</w:t>
      </w:r>
    </w:p>
    <w:p>
      <w:pPr>
        <w:pStyle w:val="7"/>
        <w:ind w:firstLine="480" w:firstLineChars="200"/>
        <w:rPr>
          <w:rFonts w:hint="eastAsia"/>
          <w:highlight w:val="none"/>
          <w:lang w:val="en-US" w:eastAsia="zh-CN"/>
        </w:rPr>
      </w:pPr>
      <w:r>
        <w:rPr>
          <w:rFonts w:hint="eastAsia"/>
          <w:highlight w:val="none"/>
          <w:lang w:val="en-US" w:eastAsia="zh-CN"/>
        </w:rPr>
        <w:t>7.如遇有重大问题需要双方立即研究协商时，任何一方均可建议召开会议，双方协商解决方案。</w:t>
      </w:r>
    </w:p>
    <w:p>
      <w:pPr>
        <w:pStyle w:val="7"/>
        <w:ind w:firstLine="480" w:firstLineChars="200"/>
        <w:rPr>
          <w:rFonts w:hint="eastAsia"/>
          <w:highlight w:val="none"/>
          <w:lang w:val="en-US" w:eastAsia="zh-CN"/>
        </w:rPr>
      </w:pPr>
      <w:r>
        <w:rPr>
          <w:rFonts w:hint="eastAsia"/>
          <w:highlight w:val="none"/>
          <w:lang w:val="en-US" w:eastAsia="zh-CN"/>
        </w:rPr>
        <w:t>8.乙方须对本项目相关的供货、设备及技术接口、技术服务等问题负全部责任。凡与本次供货设备相连接的其他设备装置，乙方有义务提供接口和技术配合。</w:t>
      </w:r>
    </w:p>
    <w:p>
      <w:pPr>
        <w:pStyle w:val="7"/>
        <w:ind w:firstLine="480" w:firstLineChars="200"/>
        <w:rPr>
          <w:rFonts w:hint="eastAsia"/>
          <w:highlight w:val="none"/>
          <w:lang w:val="en-US" w:eastAsia="zh-CN"/>
        </w:rPr>
      </w:pPr>
      <w:r>
        <w:rPr>
          <w:rFonts w:hint="eastAsia" w:ascii="宋体"/>
          <w:lang w:val="en-US" w:eastAsia="zh-CN"/>
        </w:rPr>
        <w:t>9.乙方须保证本项目技术方案、设备选型、施工工艺等全部内容均为自主研发、合法授权或已进入公知领域，不存在侵犯任何第三方专利、商标、著作权等知识产权的行为。如因报价方行为导致本项目涉及专利侵权纠纷（包括但不限于诉讼、索赔、行政调查等），由乙方全权承担所有法律责任及经济赔偿（包括因此产生的律师费、诉讼费、赔偿金等全部损失）。</w:t>
      </w:r>
    </w:p>
    <w:p>
      <w:pPr>
        <w:pStyle w:val="7"/>
        <w:ind w:firstLine="480" w:firstLineChars="200"/>
        <w:rPr>
          <w:rFonts w:hint="eastAsia" w:ascii="宋体"/>
          <w:highlight w:val="none"/>
          <w:lang w:val="en-US"/>
        </w:rPr>
      </w:pPr>
      <w:r>
        <w:rPr>
          <w:rFonts w:hint="eastAsia"/>
          <w:highlight w:val="none"/>
          <w:lang w:val="en-US" w:eastAsia="zh-CN"/>
        </w:rPr>
        <w:t>10</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w:t>
      </w:r>
      <w:r>
        <w:rPr>
          <w:rFonts w:hint="eastAsia"/>
          <w:highlight w:val="none"/>
          <w:lang w:val="en-US" w:eastAsia="zh-CN"/>
        </w:rPr>
        <w:t>程中</w:t>
      </w:r>
      <w:r>
        <w:rPr>
          <w:rFonts w:hint="eastAsia"/>
          <w:highlight w:val="none"/>
          <w:lang w:val="en-US"/>
        </w:rPr>
        <w:t>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乙方</w:t>
      </w:r>
      <w:r>
        <w:rPr>
          <w:rFonts w:hint="eastAsia"/>
          <w:highlight w:val="none"/>
          <w:lang w:val="en-US"/>
        </w:rPr>
        <w:t>须在接到</w:t>
      </w:r>
      <w:r>
        <w:rPr>
          <w:rFonts w:hint="eastAsia"/>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highlight w:val="none"/>
          <w:lang w:val="en-US" w:eastAsia="zh-CN"/>
        </w:rPr>
        <w:t>充分</w:t>
      </w:r>
      <w:r>
        <w:rPr>
          <w:rFonts w:hint="eastAsia" w:ascii="宋体"/>
          <w:highlight w:val="none"/>
          <w:lang w:val="en-US"/>
        </w:rPr>
        <w:t>通知后</w:t>
      </w:r>
      <w:r>
        <w:rPr>
          <w:rFonts w:hint="eastAsia" w:ascii="宋体"/>
          <w:highlight w:val="none"/>
          <w:lang w:val="en-US" w:eastAsia="zh-CN"/>
        </w:rPr>
        <w:t>，</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11</w:t>
      </w:r>
      <w:r>
        <w:rPr>
          <w:rFonts w:hint="eastAsia" w:ascii="宋体" w:hAnsi="宋体" w:cs="宋体"/>
          <w:sz w:val="24"/>
        </w:rPr>
        <w:t>.</w:t>
      </w:r>
      <w:r>
        <w:rPr>
          <w:rFonts w:hint="eastAsia" w:ascii="宋体" w:hAnsi="宋体" w:cs="宋体"/>
          <w:sz w:val="24"/>
          <w:lang w:val="en-US" w:eastAsia="zh-CN"/>
        </w:rPr>
        <w:t>甲方</w:t>
      </w:r>
      <w:r>
        <w:rPr>
          <w:rFonts w:hint="eastAsia" w:ascii="宋体" w:hAnsi="宋体" w:cs="宋体"/>
          <w:sz w:val="24"/>
        </w:rPr>
        <w:t>不再对任何售后服务进行付费，</w:t>
      </w:r>
      <w:r>
        <w:rPr>
          <w:rFonts w:hint="eastAsia" w:ascii="宋体" w:hAnsi="宋体" w:cs="宋体"/>
          <w:sz w:val="24"/>
          <w:lang w:eastAsia="zh-CN"/>
        </w:rPr>
        <w:t>乙方</w:t>
      </w:r>
      <w:r>
        <w:rPr>
          <w:rFonts w:hint="eastAsia" w:ascii="宋体" w:hAnsi="宋体" w:cs="宋体"/>
          <w:sz w:val="24"/>
        </w:rPr>
        <w:t>派遣人员产生的一切费用由</w:t>
      </w:r>
      <w:r>
        <w:rPr>
          <w:rFonts w:hint="eastAsia" w:ascii="宋体" w:hAnsi="宋体" w:cs="宋体"/>
          <w:sz w:val="24"/>
          <w:lang w:val="en-US" w:eastAsia="zh-CN"/>
        </w:rPr>
        <w:t>乙方</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12</w:t>
      </w:r>
      <w:r>
        <w:rPr>
          <w:rFonts w:hint="eastAsia" w:ascii="宋体"/>
          <w:lang w:val="en-US" w:eastAsia="zh-CN"/>
        </w:rPr>
        <w:t>.乙方</w:t>
      </w:r>
      <w:r>
        <w:rPr>
          <w:rFonts w:hint="eastAsia" w:ascii="宋体"/>
          <w:lang w:val="en-US"/>
        </w:rPr>
        <w:t>应遵守</w:t>
      </w:r>
      <w:r>
        <w:rPr>
          <w:rFonts w:hint="eastAsia"/>
          <w:lang w:val="en-US" w:eastAsia="zh-CN"/>
        </w:rPr>
        <w:t>甲方</w:t>
      </w:r>
      <w:r>
        <w:rPr>
          <w:rFonts w:hint="eastAsia" w:ascii="宋体"/>
          <w:lang w:val="en-US"/>
        </w:rPr>
        <w:t>的现场管理制度要求，遵守国家、行业、地方法律法规，不得违章作业，接受</w:t>
      </w:r>
      <w:r>
        <w:rPr>
          <w:rFonts w:hint="eastAsia"/>
          <w:lang w:val="en-US" w:eastAsia="zh-CN"/>
        </w:rPr>
        <w:t>甲方</w:t>
      </w:r>
      <w:r>
        <w:rPr>
          <w:rFonts w:hint="eastAsia" w:ascii="宋体"/>
          <w:lang w:val="en-US"/>
        </w:rPr>
        <w:t>的安全教育，</w:t>
      </w:r>
      <w:r>
        <w:rPr>
          <w:rFonts w:hint="eastAsia" w:ascii="宋体"/>
          <w:lang w:val="en-US" w:eastAsia="zh-CN"/>
        </w:rPr>
        <w:t>乙方需切实履行安全管理职责，杜绝出现安全事故，若出现安全事故乙方应承担相应安全责任。若乙方原因导致</w:t>
      </w:r>
      <w:r>
        <w:rPr>
          <w:rFonts w:hint="eastAsia"/>
          <w:lang w:val="en-US" w:eastAsia="zh-CN"/>
        </w:rPr>
        <w:t>甲方</w:t>
      </w:r>
      <w:r>
        <w:rPr>
          <w:rFonts w:hint="eastAsia" w:ascii="宋体"/>
          <w:lang w:val="en-US" w:eastAsia="zh-CN"/>
        </w:rPr>
        <w:t>被政府主管部门罚款或损失的，乙方应向</w:t>
      </w:r>
      <w:r>
        <w:rPr>
          <w:rFonts w:hint="eastAsia"/>
          <w:lang w:val="en-US" w:eastAsia="zh-CN"/>
        </w:rPr>
        <w:t>甲方</w:t>
      </w:r>
      <w:r>
        <w:rPr>
          <w:rFonts w:hint="eastAsia" w:ascii="宋体"/>
          <w:lang w:val="en-US" w:eastAsia="zh-CN"/>
        </w:rPr>
        <w:t>赔偿罚款或损失金额。</w:t>
      </w:r>
    </w:p>
    <w:p>
      <w:pPr>
        <w:pStyle w:val="7"/>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七</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w:t>
      </w:r>
      <w:r>
        <w:rPr>
          <w:rFonts w:hint="eastAsia" w:ascii="宋体" w:hAnsi="宋体" w:eastAsia="宋体" w:cs="宋体"/>
          <w:color w:val="auto"/>
          <w:sz w:val="24"/>
          <w:lang w:eastAsia="zh-CN"/>
        </w:rPr>
        <w:t>，或者</w:t>
      </w:r>
      <w:r>
        <w:rPr>
          <w:rFonts w:hint="eastAsia" w:ascii="宋体" w:hAnsi="宋体" w:eastAsia="宋体" w:cs="宋体"/>
          <w:color w:val="auto"/>
          <w:sz w:val="24"/>
        </w:rPr>
        <w:t>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w:t>
      </w:r>
      <w:r>
        <w:rPr>
          <w:rFonts w:hint="eastAsia" w:ascii="宋体" w:hAnsi="宋体" w:eastAsia="宋体" w:cs="宋体"/>
          <w:color w:val="auto"/>
          <w:sz w:val="24"/>
          <w:lang w:eastAsia="zh-CN"/>
        </w:rPr>
        <w:t>乙方</w:t>
      </w:r>
      <w:r>
        <w:rPr>
          <w:rFonts w:hint="eastAsia" w:ascii="宋体" w:hAnsi="宋体" w:eastAsia="宋体" w:cs="宋体"/>
          <w:color w:val="auto"/>
          <w:sz w:val="24"/>
        </w:rPr>
        <w:t>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w:t>
      </w:r>
      <w:r>
        <w:rPr>
          <w:rFonts w:hint="eastAsia" w:ascii="宋体" w:hAnsi="宋体" w:eastAsia="宋体" w:cs="宋体"/>
          <w:b/>
          <w:bCs/>
          <w:color w:val="auto"/>
          <w:sz w:val="24"/>
          <w:u w:val="single"/>
          <w:lang w:eastAsia="zh-CN"/>
        </w:rPr>
        <w:t>主要成分</w:t>
      </w:r>
      <w:r>
        <w:rPr>
          <w:rFonts w:hint="eastAsia" w:ascii="宋体" w:hAnsi="宋体" w:eastAsia="宋体" w:cs="宋体"/>
          <w:b/>
          <w:bCs/>
          <w:color w:val="auto"/>
          <w:sz w:val="24"/>
          <w:u w:val="single"/>
        </w:rPr>
        <w:t>的名称和含量的，用中文相应予以标明</w:t>
      </w:r>
      <w:r>
        <w:rPr>
          <w:rFonts w:hint="eastAsia" w:ascii="宋体" w:hAnsi="宋体" w:eastAsia="宋体" w:cs="宋体"/>
          <w:b/>
          <w:bCs/>
          <w:color w:val="auto"/>
          <w:sz w:val="24"/>
          <w:u w:val="single"/>
          <w:lang w:eastAsia="zh-CN"/>
        </w:rPr>
        <w:t>。</w:t>
      </w:r>
    </w:p>
    <w:p>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spacing w:line="360" w:lineRule="auto"/>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八</w:t>
      </w:r>
      <w:r>
        <w:rPr>
          <w:rFonts w:hint="eastAsia" w:ascii="宋体" w:hAnsi="宋体" w:cs="宋体"/>
          <w:b/>
          <w:sz w:val="24"/>
        </w:rPr>
        <w:t>、</w:t>
      </w:r>
      <w:bookmarkEnd w:id="392"/>
      <w:bookmarkEnd w:id="393"/>
      <w:bookmarkEnd w:id="394"/>
      <w:r>
        <w:rPr>
          <w:rFonts w:hint="eastAsia" w:ascii="宋体" w:hAnsi="宋体" w:cs="宋体"/>
          <w:b/>
          <w:sz w:val="24"/>
          <w:lang w:val="en-US" w:eastAsia="zh-CN"/>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highlight w:val="none"/>
          <w:lang w:val="en-US" w:eastAsia="zh-CN"/>
        </w:rPr>
        <w:t>2.合同成果</w:t>
      </w:r>
      <w:r>
        <w:rPr>
          <w:rFonts w:hint="eastAsia" w:ascii="宋体" w:hAnsi="宋体" w:cs="宋体"/>
          <w:color w:val="auto"/>
          <w:sz w:val="24"/>
          <w:highlight w:val="none"/>
        </w:rPr>
        <w:t>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甲方</w:t>
      </w:r>
      <w:r>
        <w:rPr>
          <w:rFonts w:hint="eastAsia" w:ascii="宋体" w:hAnsi="宋体" w:cs="宋体"/>
          <w:b/>
          <w:bCs/>
          <w:color w:val="auto"/>
          <w:sz w:val="24"/>
          <w:highlight w:val="none"/>
        </w:rPr>
        <w:t>有权使用光谱分析仪对材质成份进行检测，检测结果应满足合同约定要求，否则视为验收不合格，</w:t>
      </w:r>
      <w:r>
        <w:rPr>
          <w:rFonts w:hint="eastAsia" w:ascii="宋体" w:hAnsi="宋体" w:cs="宋体"/>
          <w:b/>
          <w:bCs/>
          <w:color w:val="auto"/>
          <w:sz w:val="24"/>
          <w:highlight w:val="none"/>
          <w:lang w:val="en-US" w:eastAsia="zh-CN"/>
        </w:rPr>
        <w:t>方轶</w:t>
      </w:r>
      <w:r>
        <w:rPr>
          <w:rFonts w:hint="eastAsia" w:ascii="宋体" w:hAnsi="宋体" w:cs="宋体"/>
          <w:b/>
          <w:bCs/>
          <w:color w:val="auto"/>
          <w:sz w:val="24"/>
          <w:highlight w:val="none"/>
        </w:rPr>
        <w:t>负责调换货。</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4.经验收不满足合同要求的，视为验收不合格，乙方须及时完成整改，整体装置试运行72+24小时，试运行期间视频数据传输顺畅、视频效果清晰、排水通畅视为验收合格。  </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r>
        <w:rPr>
          <w:rFonts w:hint="eastAsia" w:ascii="宋体" w:hAnsi="宋体" w:cs="宋体"/>
          <w:color w:val="auto"/>
          <w:sz w:val="24"/>
          <w:lang w:val="en-US" w:eastAsia="zh-CN"/>
        </w:rPr>
        <w:t>或原品牌的产品。</w:t>
      </w:r>
    </w:p>
    <w:p>
      <w:pPr>
        <w:pStyle w:val="7"/>
        <w:ind w:firstLine="482" w:firstLineChars="200"/>
        <w:rPr>
          <w:rFonts w:eastAsia="宋体"/>
          <w:b/>
        </w:rPr>
      </w:pPr>
      <w:r>
        <w:rPr>
          <w:rFonts w:hint="eastAsia" w:hAnsi="宋体"/>
          <w:b/>
          <w:lang w:val="en-US" w:eastAsia="zh-CN"/>
        </w:rPr>
        <w:t>九</w:t>
      </w:r>
      <w:r>
        <w:rPr>
          <w:rFonts w:hint="eastAsia" w:hAnsi="宋体"/>
          <w:b/>
          <w:lang w:val="en-US"/>
        </w:rPr>
        <w:t>、</w:t>
      </w:r>
      <w:r>
        <w:rPr>
          <w:rFonts w:hint="eastAsia"/>
          <w:b/>
        </w:rPr>
        <w:t>履约保证金</w:t>
      </w:r>
    </w:p>
    <w:p>
      <w:pPr>
        <w:pStyle w:val="28"/>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highlight w:val="none"/>
          <w:u w:val="none"/>
        </w:rPr>
      </w:pPr>
      <w:r>
        <w:rPr>
          <w:rFonts w:hint="eastAsia" w:ascii="宋体" w:hAnsi="宋体" w:cs="宋体"/>
          <w:kern w:val="0"/>
          <w:sz w:val="24"/>
          <w:highlight w:val="none"/>
          <w:u w:val="none"/>
          <w:lang w:val="en-US" w:eastAsia="zh-CN"/>
        </w:rPr>
        <w:t>5.本合同</w:t>
      </w:r>
      <w:r>
        <w:rPr>
          <w:rFonts w:hint="eastAsia" w:ascii="宋体" w:hAnsi="宋体" w:cs="宋体"/>
          <w:kern w:val="0"/>
          <w:sz w:val="24"/>
          <w:highlight w:val="none"/>
          <w:u w:val="single"/>
          <w:lang w:val="en-US" w:eastAsia="zh-CN"/>
        </w:rPr>
        <w:t>验收合格且无遗留问题，</w:t>
      </w:r>
      <w:r>
        <w:rPr>
          <w:rFonts w:hint="eastAsia" w:ascii="宋体" w:hAnsi="宋体" w:cs="宋体"/>
          <w:kern w:val="0"/>
          <w:sz w:val="24"/>
          <w:highlight w:val="none"/>
          <w:u w:val="none"/>
        </w:rPr>
        <w:t>甲方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bookmarkEnd w:id="389"/>
    <w:bookmarkEnd w:id="390"/>
    <w:bookmarkEnd w:id="391"/>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十</w:t>
      </w:r>
      <w:r>
        <w:rPr>
          <w:rFonts w:hint="eastAsia" w:ascii="宋体" w:hAnsi="宋体" w:cs="宋体"/>
          <w:b/>
          <w:sz w:val="24"/>
        </w:rPr>
        <w:t>、预付款</w:t>
      </w:r>
    </w:p>
    <w:p>
      <w:pPr>
        <w:pStyle w:val="28"/>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8"/>
        <w:spacing w:before="0" w:beforeAutospacing="0" w:after="0" w:afterAutospacing="0" w:line="360" w:lineRule="auto"/>
        <w:ind w:firstLine="480"/>
        <w:rPr>
          <w:b/>
          <w:bCs/>
        </w:rPr>
      </w:pPr>
      <w:r>
        <w:rPr>
          <w:rFonts w:hint="eastAsia"/>
          <w:b/>
          <w:bCs/>
        </w:rPr>
        <w:t>十</w:t>
      </w:r>
      <w:r>
        <w:rPr>
          <w:rFonts w:hint="eastAsia"/>
          <w:b/>
          <w:bCs/>
          <w:lang w:val="en-US" w:eastAsia="zh-CN"/>
        </w:rPr>
        <w:t>一</w:t>
      </w:r>
      <w:r>
        <w:rPr>
          <w:rFonts w:hint="eastAsia"/>
          <w:b/>
          <w:bCs/>
        </w:rPr>
        <w:t>、资金支付</w:t>
      </w:r>
    </w:p>
    <w:p>
      <w:pPr>
        <w:pStyle w:val="28"/>
        <w:spacing w:before="0" w:beforeAutospacing="0" w:after="0" w:afterAutospacing="0" w:line="360" w:lineRule="auto"/>
        <w:ind w:firstLine="480"/>
        <w:rPr>
          <w:rFonts w:hint="eastAsia" w:ascii="宋体" w:hAnsi="宋体" w:eastAsia="宋体" w:cs="宋体"/>
          <w:color w:val="auto"/>
          <w:lang w:val="en-US" w:eastAsia="zh-CN"/>
        </w:rPr>
      </w:pPr>
      <w:bookmarkStart w:id="395" w:name="_Toc32071"/>
      <w:bookmarkStart w:id="396" w:name="_Toc2846"/>
      <w:bookmarkStart w:id="397" w:name="_Toc19304"/>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甲乙双方对合同的结算金额核对，核对数量、单价、金额等信息。</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8"/>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pPr>
        <w:pStyle w:val="28"/>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3</w:t>
      </w:r>
      <w:r>
        <w:rPr>
          <w:rFonts w:hint="eastAsia"/>
          <w:color w:val="auto"/>
          <w:highlight w:val="none"/>
          <w:u w:val="single"/>
          <w:lang w:eastAsia="zh-CN"/>
        </w:rPr>
        <w:t>）</w:t>
      </w:r>
      <w:r>
        <w:rPr>
          <w:rFonts w:hint="eastAsia"/>
          <w:color w:val="auto"/>
          <w:highlight w:val="none"/>
        </w:rPr>
        <w:t>条款规定：</w:t>
      </w:r>
    </w:p>
    <w:bookmarkEnd w:id="395"/>
    <w:bookmarkEnd w:id="396"/>
    <w:bookmarkEnd w:id="397"/>
    <w:p>
      <w:pPr>
        <w:spacing w:line="360" w:lineRule="auto"/>
        <w:ind w:firstLine="480" w:firstLineChars="200"/>
        <w:outlineLvl w:val="0"/>
        <w:rPr>
          <w:rFonts w:hint="eastAsia" w:ascii="宋体" w:hAnsi="宋体" w:eastAsia="宋体" w:cs="宋体"/>
          <w:color w:val="000000" w:themeColor="text1"/>
          <w:sz w:val="24"/>
          <w:u w:val="single"/>
          <w:lang w:val="en-US" w:eastAsia="zh-CN"/>
          <w14:textFill>
            <w14:solidFill>
              <w14:schemeClr w14:val="tx1"/>
            </w14:solidFill>
          </w14:textFill>
        </w:rPr>
      </w:pPr>
      <w:bookmarkStart w:id="398" w:name="_Toc21423"/>
      <w:bookmarkStart w:id="399" w:name="_Toc27250"/>
      <w:bookmarkStart w:id="400" w:name="_Toc19554"/>
      <w:r>
        <w:rPr>
          <w:rFonts w:hint="eastAsia" w:ascii="宋体" w:hAnsi="宋体" w:eastAsia="宋体" w:cs="宋体"/>
          <w:color w:val="000000" w:themeColor="text1"/>
          <w:sz w:val="24"/>
          <w:u w:val="single"/>
          <w:lang w:val="en-US" w:eastAsia="zh-CN"/>
          <w14:textFill>
            <w14:solidFill>
              <w14:schemeClr w14:val="tx1"/>
            </w14:solidFill>
          </w14:textFill>
        </w:rPr>
        <w:t>（3）分两次付款，甲方根据乙方交付合同成果、验收结果进行结算和支付，经甲方验收合格且甲方收到乙方提供应结算总金额的全额增值税专用发票后，甲方在本合同约定时间内完成支付应结算总金额的 90 %，余下10%为质保金。</w:t>
      </w:r>
    </w:p>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、违约责任</w:t>
      </w:r>
      <w:bookmarkEnd w:id="398"/>
      <w:bookmarkEnd w:id="399"/>
      <w:bookmarkEnd w:id="400"/>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1.违约金支付方式：若乙方在合同履行中有违约行为或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，乙方应向甲方账户电汇或者转账相应金额的违约金或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扣款金额，甲方向乙方开具财务收据，若乙方未按要求缴纳违约金或</w:t>
      </w:r>
      <w:r>
        <w:rPr>
          <w:rFonts w:hint="eastAsia" w:ascii="宋体" w:hAnsi="宋体" w:eastAsia="宋体" w:cs="宋体"/>
          <w:color w:val="000000" w:themeColor="text1"/>
          <w:sz w:val="24"/>
          <w:lang w:eastAsia="zh-CN"/>
          <w14:textFill>
            <w14:solidFill>
              <w14:schemeClr w14:val="tx1"/>
            </w14:solidFill>
          </w14:textFill>
        </w:rPr>
        <w:t>行为考核扣款</w:t>
      </w:r>
      <w:r>
        <w:rPr>
          <w:rFonts w:hint="eastAsia" w:ascii="宋体" w:hAnsi="宋体" w:eastAsia="宋体" w:cs="宋体"/>
          <w:color w:val="000000" w:themeColor="text1"/>
          <w:sz w:val="24"/>
          <w14:textFill>
            <w14:solidFill>
              <w14:schemeClr w14:val="tx1"/>
            </w14:solidFill>
          </w14:textFill>
        </w:rPr>
        <w:t>金额的，甲方无责暂停支付乙方应结算金额款项直至乙方全额缴纳。中止或解除合同的，乙方未按要求缴纳的违约金</w:t>
      </w:r>
      <w:r>
        <w:rPr>
          <w:rFonts w:hint="eastAsia" w:ascii="宋体" w:hAnsi="宋体" w:eastAsia="宋体" w:cs="宋体"/>
          <w:color w:val="000000" w:themeColor="text1"/>
          <w:sz w:val="24"/>
          <w:lang w:eastAsia="zh-CN"/>
          <w14:textFill>
            <w14:solidFill>
              <w14:schemeClr w14:val="tx1"/>
            </w14:solidFill>
          </w14:textFill>
        </w:rPr>
        <w:t>或行为考核扣款</w:t>
      </w:r>
      <w:r>
        <w:rPr>
          <w:rFonts w:hint="eastAsia" w:ascii="宋体" w:hAnsi="宋体" w:eastAsia="宋体" w:cs="宋体"/>
          <w:color w:val="000000" w:themeColor="text1"/>
          <w:sz w:val="24"/>
          <w14:textFill>
            <w14:solidFill>
              <w14:schemeClr w14:val="tx1"/>
            </w14:solidFill>
          </w14:textFill>
        </w:rPr>
        <w:t>金额，甲方有权优先从履约保证</w:t>
      </w:r>
      <w:r>
        <w:rPr>
          <w:rFonts w:hint="eastAsia" w:ascii="宋体" w:hAnsi="宋体" w:eastAsia="宋体" w:cs="宋体"/>
          <w:color w:val="000000" w:themeColor="text1"/>
          <w:sz w:val="24"/>
          <w:lang w:eastAsia="zh-CN"/>
          <w14:textFill>
            <w14:solidFill>
              <w14:schemeClr w14:val="tx1"/>
            </w14:solidFill>
          </w14:textFill>
        </w:rPr>
        <w:t>金中</w:t>
      </w:r>
      <w:r>
        <w:rPr>
          <w:rFonts w:hint="eastAsia" w:ascii="宋体" w:hAnsi="宋体" w:eastAsia="宋体" w:cs="宋体"/>
          <w:color w:val="000000" w:themeColor="text1"/>
          <w:sz w:val="24"/>
          <w14:textFill>
            <w14:solidFill>
              <w14:schemeClr w14:val="tx1"/>
            </w14:solidFill>
          </w14:textFill>
        </w:rPr>
        <w:t>扣除，不足部分从乙方应结算金额款项中扣除；若无履约保证金的，甲方有权直接从乙方应结算</w:t>
      </w:r>
      <w:r>
        <w:rPr>
          <w:rFonts w:hint="eastAsia" w:ascii="宋体" w:hAnsi="宋体" w:eastAsia="宋体" w:cs="宋体"/>
          <w:color w:val="000000" w:themeColor="text1"/>
          <w:sz w:val="24"/>
          <w:lang w:eastAsia="zh-CN"/>
          <w14:textFill>
            <w14:solidFill>
              <w14:schemeClr w14:val="tx1"/>
            </w14:solidFill>
          </w14:textFill>
        </w:rPr>
        <w:t>金额</w:t>
      </w:r>
      <w:r>
        <w:rPr>
          <w:rFonts w:hint="eastAsia" w:ascii="宋体" w:hAnsi="宋体" w:eastAsia="宋体" w:cs="宋体"/>
          <w:color w:val="000000" w:themeColor="text1"/>
          <w:sz w:val="24"/>
          <w14:textFill>
            <w14:solidFill>
              <w14:schemeClr w14:val="tx1"/>
            </w14:solidFill>
          </w14:textFill>
        </w:rPr>
        <w:t>中扣除。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w:t>
      </w:r>
      <w:r>
        <w:rPr>
          <w:rFonts w:hint="eastAsia" w:ascii="宋体" w:hAnsi="宋体" w:cs="宋体"/>
          <w:sz w:val="24"/>
          <w:u w:val="single"/>
        </w:rPr>
        <w:t>1000元的违约金，且仍应履行售后服务义务；</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1" w:name="_Toc16021"/>
      <w:bookmarkStart w:id="402" w:name="_Toc15583"/>
      <w:bookmarkStart w:id="403"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rFonts w:hint="eastAsia" w:ascii="宋体" w:hAnsi="宋体" w:eastAsia="宋体" w:cs="宋体"/>
          <w:b/>
          <w:bCs/>
          <w:color w:val="auto"/>
          <w:sz w:val="24"/>
        </w:rPr>
      </w:pPr>
      <w:r>
        <w:rPr>
          <w:rFonts w:hint="eastAsia" w:cs="仿宋" w:asciiTheme="minorEastAsia" w:hAnsiTheme="minorEastAsia"/>
          <w:color w:val="auto"/>
          <w:kern w:val="0"/>
          <w:lang w:val="en-US" w:eastAsia="zh-CN"/>
        </w:rPr>
        <w:t>4</w:t>
      </w:r>
      <w:r>
        <w:rPr>
          <w:rFonts w:hint="eastAsia" w:cs="仿宋" w:asciiTheme="minorEastAsia" w:hAnsiTheme="minorEastAsia"/>
          <w:color w:val="auto"/>
          <w:kern w:val="0"/>
        </w:rPr>
        <w:t>.</w:t>
      </w:r>
      <w:r>
        <w:rPr>
          <w:rFonts w:hint="eastAsia" w:cs="仿宋" w:asciiTheme="minorEastAsia" w:hAnsiTheme="minorEastAsia"/>
          <w:color w:val="auto"/>
          <w:kern w:val="0"/>
          <w:lang w:val="en-US" w:eastAsia="zh-CN"/>
        </w:rPr>
        <w:t>乙方需</w:t>
      </w:r>
      <w:r>
        <w:rPr>
          <w:rFonts w:hint="eastAsia" w:cs="仿宋" w:asciiTheme="minorEastAsia" w:hAnsiTheme="minorEastAsia"/>
          <w:color w:val="auto"/>
          <w:kern w:val="0"/>
        </w:rPr>
        <w:t>提供完整详细的控制说明书、原理接线图、仪表清单、电缆清册及全部设备安装、调试、运行、维修所需要的详细的技术说明、手册及设备安装图等</w:t>
      </w:r>
      <w:r>
        <w:rPr>
          <w:rFonts w:hint="eastAsia" w:cs="仿宋" w:asciiTheme="minorEastAsia" w:hAnsiTheme="minorEastAsia"/>
          <w:color w:val="auto"/>
          <w:kern w:val="0"/>
          <w:lang w:val="en-US" w:eastAsia="zh-CN"/>
        </w:rPr>
        <w:t>资料</w:t>
      </w:r>
      <w:r>
        <w:rPr>
          <w:rFonts w:hint="eastAsia" w:cs="仿宋" w:asciiTheme="minorEastAsia" w:hAnsiTheme="minorEastAsia"/>
          <w:color w:val="auto"/>
          <w:kern w:val="0"/>
        </w:rPr>
        <w:t>。</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九</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二十</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三</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pPr>
        <w:spacing w:line="400" w:lineRule="exact"/>
        <w:jc w:val="both"/>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27"/>
        <w:spacing w:line="400" w:lineRule="exact"/>
        <w:ind w:left="0" w:leftChars="0" w:firstLine="0" w:firstLineChars="0"/>
        <w:jc w:val="both"/>
        <w:rPr>
          <w:rFonts w:hint="eastAsia" w:ascii="宋体" w:hAnsi="宋体" w:cs="宋体"/>
          <w:b/>
          <w:szCs w:val="24"/>
        </w:rPr>
      </w:pPr>
    </w:p>
    <w:p>
      <w:pPr>
        <w:pStyle w:val="8"/>
        <w:ind w:firstLine="0"/>
        <w:rPr>
          <w:rFonts w:cs="宋体"/>
          <w:b/>
          <w:szCs w:val="24"/>
        </w:rPr>
      </w:pPr>
      <w:r>
        <w:rPr>
          <w:rFonts w:cs="宋体"/>
          <w:b/>
          <w:szCs w:val="24"/>
        </w:rPr>
        <w:br w:type="page"/>
      </w:r>
    </w:p>
    <w:p>
      <w:pPr>
        <w:pStyle w:val="27"/>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7"/>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临江环境2026年垃圾仓水箅子疏通装置采购项目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w:t>
      </w:r>
      <w:r>
        <w:rPr>
          <w:rFonts w:hint="eastAsia" w:ascii="宋体" w:hAnsi="宋体" w:eastAsia="宋体" w:cs="宋体"/>
          <w:sz w:val="24"/>
          <w:lang w:eastAsia="zh-CN"/>
        </w:rPr>
        <w:t>须</w:t>
      </w:r>
      <w:r>
        <w:rPr>
          <w:rFonts w:hint="eastAsia" w:ascii="宋体" w:hAnsi="宋体" w:eastAsia="宋体" w:cs="宋体"/>
          <w:sz w:val="24"/>
        </w:rPr>
        <w:t>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7"/>
        <w:spacing w:line="400" w:lineRule="exact"/>
        <w:ind w:left="0" w:leftChars="0" w:firstLine="0" w:firstLineChars="0"/>
        <w:jc w:val="center"/>
        <w:rPr>
          <w:rFonts w:hint="eastAsia" w:ascii="宋体" w:hAnsi="宋体" w:cs="宋体"/>
          <w:b/>
          <w:szCs w:val="24"/>
        </w:rPr>
      </w:pPr>
    </w:p>
    <w:p>
      <w:pPr>
        <w:pStyle w:val="27"/>
        <w:spacing w:line="400" w:lineRule="exact"/>
        <w:ind w:left="0" w:leftChars="0" w:firstLine="0" w:firstLineChars="0"/>
        <w:rPr>
          <w:rFonts w:hint="eastAsia" w:ascii="宋体" w:hAnsi="宋体" w:cs="宋体"/>
          <w:b/>
          <w:szCs w:val="24"/>
        </w:rPr>
      </w:pPr>
    </w:p>
    <w:p>
      <w:pPr>
        <w:pStyle w:val="27"/>
        <w:spacing w:line="400" w:lineRule="exact"/>
        <w:ind w:left="0" w:leftChars="0" w:firstLine="0" w:firstLineChars="0"/>
        <w:jc w:val="center"/>
        <w:rPr>
          <w:rFonts w:hint="eastAsia" w:ascii="宋体" w:hAnsi="宋体" w:cs="宋体"/>
          <w:b/>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27"/>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8"/>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w:t>
      </w:r>
      <w:r>
        <w:rPr>
          <w:rFonts w:hint="eastAsia" w:ascii="宋体" w:hAnsi="宋体" w:eastAsia="宋体" w:cs="宋体"/>
          <w:sz w:val="24"/>
          <w:lang w:eastAsia="zh-CN"/>
        </w:rPr>
        <w:t>甲方</w:t>
      </w:r>
      <w:r>
        <w:rPr>
          <w:rFonts w:hint="eastAsia" w:ascii="宋体" w:hAnsi="宋体" w:eastAsia="宋体" w:cs="宋体"/>
          <w:sz w:val="24"/>
        </w:rPr>
        <w:t>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bookmarkEnd w:id="401"/>
    <w:bookmarkEnd w:id="402"/>
    <w:bookmarkEnd w:id="403"/>
    <w:p/>
    <w:p>
      <w:pPr>
        <w:pStyle w:val="15"/>
        <w:jc w:val="center"/>
        <w:rPr>
          <w:rFonts w:hint="default" w:cs="仿宋" w:asciiTheme="minorEastAsia" w:hAnsiTheme="minorEastAsia"/>
          <w:b/>
          <w:kern w:val="0"/>
          <w:sz w:val="36"/>
          <w:szCs w:val="36"/>
          <w:lang w:val="en-US" w:eastAsia="zh-CN"/>
        </w:rPr>
      </w:pPr>
      <w:r>
        <w:rPr>
          <w:rFonts w:hint="eastAsia" w:cs="仿宋" w:asciiTheme="minorEastAsia" w:hAnsiTheme="minorEastAsia"/>
          <w:b/>
          <w:sz w:val="36"/>
          <w:szCs w:val="36"/>
        </w:rPr>
        <w:t>第六部分</w:t>
      </w:r>
      <w:r>
        <w:rPr>
          <w:rFonts w:hint="eastAsia" w:cs="仿宋" w:asciiTheme="minorEastAsia" w:hAnsiTheme="minorEastAsia"/>
          <w:b/>
          <w:sz w:val="36"/>
          <w:szCs w:val="36"/>
          <w:lang w:val="en-US" w:eastAsia="zh-CN"/>
        </w:rPr>
        <w:t xml:space="preserve">  </w:t>
      </w:r>
      <w:r>
        <w:rPr>
          <w:rFonts w:hint="eastAsia" w:cs="仿宋" w:asciiTheme="minorEastAsia" w:hAnsiTheme="minorEastAsia"/>
          <w:b/>
          <w:kern w:val="0"/>
          <w:sz w:val="36"/>
          <w:szCs w:val="36"/>
          <w:lang w:val="en-US" w:eastAsia="zh-CN"/>
        </w:rPr>
        <w:t>电子投标步骤</w:t>
      </w:r>
    </w:p>
    <w:p>
      <w:pPr>
        <w:rPr>
          <w:rFonts w:hint="eastAsia" w:eastAsia="宋体" w:cs="Times New Roman"/>
          <w:sz w:val="32"/>
        </w:rPr>
      </w:pPr>
      <w:r>
        <w:rPr>
          <w:rFonts w:hint="eastAsia" w:eastAsia="宋体" w:cs="Times New Roman"/>
          <w:sz w:val="32"/>
        </w:rPr>
        <w:t>第一步：根据供应链系统管理平台填报各项资料及报价清单。</w:t>
      </w:r>
    </w:p>
    <w:p>
      <w:pPr>
        <w:rPr>
          <w:rFonts w:hint="eastAsia" w:eastAsia="宋体" w:cs="Times New Roman"/>
          <w:sz w:val="32"/>
        </w:rPr>
      </w:pPr>
      <w:r>
        <w:rPr>
          <w:rFonts w:hint="eastAsia" w:eastAsia="宋体" w:cs="Times New Roman"/>
          <w:sz w:val="32"/>
        </w:rPr>
        <w:t>第二步：从供应链系统管理平台导出并打印响应文件PDF版。</w:t>
      </w:r>
    </w:p>
    <w:p>
      <w:pPr>
        <w:rPr>
          <w:rFonts w:hint="eastAsia" w:eastAsia="宋体" w:cs="Times New Roman"/>
          <w:sz w:val="32"/>
        </w:rPr>
      </w:pPr>
      <w:r>
        <w:rPr>
          <w:rFonts w:hint="eastAsia" w:eastAsia="宋体" w:cs="Times New Roman"/>
          <w:sz w:val="32"/>
        </w:rPr>
        <w:t>第三步：按要求对相应文件签字并盖章。</w:t>
      </w:r>
    </w:p>
    <w:p>
      <w:pPr>
        <w:rPr>
          <w:rFonts w:hint="eastAsia" w:eastAsia="宋体" w:cs="Times New Roman"/>
          <w:sz w:val="32"/>
        </w:rPr>
      </w:pPr>
      <w:r>
        <w:rPr>
          <w:rFonts w:hint="eastAsia" w:eastAsia="宋体" w:cs="Times New Roman"/>
          <w:sz w:val="32"/>
        </w:rPr>
        <w:t>第四步：扫描签字盖章后的响应文件成PDF格式并上传供应链系统管理平台。</w:t>
      </w:r>
    </w:p>
    <w:p>
      <w:pPr>
        <w:rPr>
          <w:rFonts w:hint="eastAsia" w:eastAsia="宋体" w:cs="Times New Roman"/>
          <w:sz w:val="32"/>
        </w:rPr>
      </w:pPr>
      <w:r>
        <w:rPr>
          <w:rFonts w:hint="eastAsia" w:eastAsia="宋体" w:cs="Times New Roman"/>
          <w:sz w:val="32"/>
        </w:rPr>
        <w:t>第五步：提交响应文件。</w:t>
      </w: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5"/>
        <w:jc w:val="both"/>
      </w:pPr>
    </w:p>
    <w:sectPr>
      <w:footerReference r:id="rId16"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A06EC"/>
    <w:multiLevelType w:val="singleLevel"/>
    <w:tmpl w:val="B50A06EC"/>
    <w:lvl w:ilvl="0" w:tentative="0">
      <w:start w:val="4"/>
      <w:numFmt w:val="chineseCounting"/>
      <w:suff w:val="nothing"/>
      <w:lvlText w:val="%1、"/>
      <w:lvlJc w:val="left"/>
      <w:rPr>
        <w:rFonts w:hint="eastAsia"/>
      </w:r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3DC985CD"/>
    <w:multiLevelType w:val="singleLevel"/>
    <w:tmpl w:val="3DC985CD"/>
    <w:lvl w:ilvl="0" w:tentative="0">
      <w:start w:val="5"/>
      <w:numFmt w:val="chineseCounting"/>
      <w:suff w:val="nothing"/>
      <w:lvlText w:val="%1、"/>
      <w:lvlJc w:val="left"/>
      <w:rPr>
        <w:rFonts w:hint="eastAsia"/>
      </w:rPr>
    </w:lvl>
  </w:abstractNum>
  <w:abstractNum w:abstractNumId="3">
    <w:nsid w:val="525C8DB6"/>
    <w:multiLevelType w:val="singleLevel"/>
    <w:tmpl w:val="525C8DB6"/>
    <w:lvl w:ilvl="0" w:tentative="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32D5A"/>
    <w:rsid w:val="00E81C9E"/>
    <w:rsid w:val="013853AC"/>
    <w:rsid w:val="01603505"/>
    <w:rsid w:val="01F16209"/>
    <w:rsid w:val="023E1286"/>
    <w:rsid w:val="029C7664"/>
    <w:rsid w:val="02C122C8"/>
    <w:rsid w:val="030669ED"/>
    <w:rsid w:val="032B7E17"/>
    <w:rsid w:val="034B5FC8"/>
    <w:rsid w:val="03C319A1"/>
    <w:rsid w:val="03C74493"/>
    <w:rsid w:val="03CA5C6D"/>
    <w:rsid w:val="043C2E65"/>
    <w:rsid w:val="04A70542"/>
    <w:rsid w:val="04E634F4"/>
    <w:rsid w:val="057311F3"/>
    <w:rsid w:val="057B22C7"/>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5F2145"/>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8E4551E"/>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D96658"/>
    <w:rsid w:val="1DFA0457"/>
    <w:rsid w:val="1E0F5E35"/>
    <w:rsid w:val="1E135488"/>
    <w:rsid w:val="1E5F5CBE"/>
    <w:rsid w:val="1E8307F5"/>
    <w:rsid w:val="1F457921"/>
    <w:rsid w:val="1F6A303A"/>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ACD6128"/>
    <w:rsid w:val="2B3A586C"/>
    <w:rsid w:val="2B3D5BF4"/>
    <w:rsid w:val="2C4141D8"/>
    <w:rsid w:val="2C932FD6"/>
    <w:rsid w:val="2C950AFD"/>
    <w:rsid w:val="2CBF127D"/>
    <w:rsid w:val="2D210C4A"/>
    <w:rsid w:val="2D2F064E"/>
    <w:rsid w:val="2E7A56DC"/>
    <w:rsid w:val="2E9F315C"/>
    <w:rsid w:val="2EBA484A"/>
    <w:rsid w:val="2EF515AB"/>
    <w:rsid w:val="2F4D3609"/>
    <w:rsid w:val="2F4F1871"/>
    <w:rsid w:val="2F5836E9"/>
    <w:rsid w:val="300206D5"/>
    <w:rsid w:val="30062480"/>
    <w:rsid w:val="30556F21"/>
    <w:rsid w:val="308C5F1F"/>
    <w:rsid w:val="30CE282F"/>
    <w:rsid w:val="31111553"/>
    <w:rsid w:val="31191AA6"/>
    <w:rsid w:val="314B6E80"/>
    <w:rsid w:val="31A05328"/>
    <w:rsid w:val="32843E96"/>
    <w:rsid w:val="328D13E8"/>
    <w:rsid w:val="32B92460"/>
    <w:rsid w:val="32C410E7"/>
    <w:rsid w:val="32EC2577"/>
    <w:rsid w:val="334341C1"/>
    <w:rsid w:val="33F2545E"/>
    <w:rsid w:val="3404140B"/>
    <w:rsid w:val="34155E66"/>
    <w:rsid w:val="34454474"/>
    <w:rsid w:val="34A043A8"/>
    <w:rsid w:val="34AF40BC"/>
    <w:rsid w:val="34CD768A"/>
    <w:rsid w:val="34D90264"/>
    <w:rsid w:val="350E5845"/>
    <w:rsid w:val="35356888"/>
    <w:rsid w:val="36043E6C"/>
    <w:rsid w:val="36162BCB"/>
    <w:rsid w:val="364530C9"/>
    <w:rsid w:val="36A71B58"/>
    <w:rsid w:val="37103BA1"/>
    <w:rsid w:val="37514AF4"/>
    <w:rsid w:val="377C0298"/>
    <w:rsid w:val="37B04D36"/>
    <w:rsid w:val="37C65D75"/>
    <w:rsid w:val="37D2523E"/>
    <w:rsid w:val="38C93F41"/>
    <w:rsid w:val="38DB0C51"/>
    <w:rsid w:val="39C31C6C"/>
    <w:rsid w:val="39EA755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D7804A8"/>
    <w:rsid w:val="3D9C2487"/>
    <w:rsid w:val="3E0C6463"/>
    <w:rsid w:val="3E32264F"/>
    <w:rsid w:val="3EE43BF5"/>
    <w:rsid w:val="403E57B7"/>
    <w:rsid w:val="405363C6"/>
    <w:rsid w:val="409D01CF"/>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57347D"/>
    <w:rsid w:val="4559568A"/>
    <w:rsid w:val="45A47533"/>
    <w:rsid w:val="45D81BAB"/>
    <w:rsid w:val="45F97EF6"/>
    <w:rsid w:val="46707438"/>
    <w:rsid w:val="46BC402D"/>
    <w:rsid w:val="472961BF"/>
    <w:rsid w:val="47512BC3"/>
    <w:rsid w:val="475528CD"/>
    <w:rsid w:val="47B265AF"/>
    <w:rsid w:val="48455061"/>
    <w:rsid w:val="48D033E2"/>
    <w:rsid w:val="4916491B"/>
    <w:rsid w:val="496717C4"/>
    <w:rsid w:val="497349A0"/>
    <w:rsid w:val="4A063A4F"/>
    <w:rsid w:val="4A2E67F8"/>
    <w:rsid w:val="4A875AD1"/>
    <w:rsid w:val="4AE27CAC"/>
    <w:rsid w:val="4B1B2ECF"/>
    <w:rsid w:val="4B27651E"/>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7621B2"/>
    <w:rsid w:val="50A13664"/>
    <w:rsid w:val="50EE1EB6"/>
    <w:rsid w:val="50F33EC0"/>
    <w:rsid w:val="51093060"/>
    <w:rsid w:val="516D42D4"/>
    <w:rsid w:val="51937E4D"/>
    <w:rsid w:val="519C5D75"/>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89510A"/>
    <w:rsid w:val="59121C77"/>
    <w:rsid w:val="59954284"/>
    <w:rsid w:val="59DE0E09"/>
    <w:rsid w:val="59DF6851"/>
    <w:rsid w:val="5A283DD0"/>
    <w:rsid w:val="5AC14754"/>
    <w:rsid w:val="5ACD76EE"/>
    <w:rsid w:val="5AD36B10"/>
    <w:rsid w:val="5B091590"/>
    <w:rsid w:val="5B0E7B48"/>
    <w:rsid w:val="5B366E46"/>
    <w:rsid w:val="5B3D7F5F"/>
    <w:rsid w:val="5B460326"/>
    <w:rsid w:val="5B7C5158"/>
    <w:rsid w:val="5C7B276E"/>
    <w:rsid w:val="5C9A592C"/>
    <w:rsid w:val="5CF8561A"/>
    <w:rsid w:val="5D1066F9"/>
    <w:rsid w:val="5D9E638A"/>
    <w:rsid w:val="5DF85390"/>
    <w:rsid w:val="5E8E347A"/>
    <w:rsid w:val="5E925B32"/>
    <w:rsid w:val="5E9D760A"/>
    <w:rsid w:val="5F0279C4"/>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416A92"/>
    <w:rsid w:val="677A6041"/>
    <w:rsid w:val="6796410E"/>
    <w:rsid w:val="67BC07C3"/>
    <w:rsid w:val="67D6317A"/>
    <w:rsid w:val="67D649B5"/>
    <w:rsid w:val="68C401D4"/>
    <w:rsid w:val="68ED6365"/>
    <w:rsid w:val="6A4B215B"/>
    <w:rsid w:val="6A4E3ABD"/>
    <w:rsid w:val="6AE63D7E"/>
    <w:rsid w:val="6B1FB0C7"/>
    <w:rsid w:val="6B462C2B"/>
    <w:rsid w:val="6B8359E9"/>
    <w:rsid w:val="6B8C5108"/>
    <w:rsid w:val="6BD169E3"/>
    <w:rsid w:val="6BD277B9"/>
    <w:rsid w:val="6C321620"/>
    <w:rsid w:val="6C5C4BB7"/>
    <w:rsid w:val="6CE30E35"/>
    <w:rsid w:val="6DA02882"/>
    <w:rsid w:val="6DA12E69"/>
    <w:rsid w:val="6DBB3B60"/>
    <w:rsid w:val="6DD2319A"/>
    <w:rsid w:val="6E2C6F5B"/>
    <w:rsid w:val="6EC10CED"/>
    <w:rsid w:val="6F0B4673"/>
    <w:rsid w:val="6F4831D1"/>
    <w:rsid w:val="6F8F0459"/>
    <w:rsid w:val="700E4F44"/>
    <w:rsid w:val="70124E0E"/>
    <w:rsid w:val="70173239"/>
    <w:rsid w:val="711D3FA5"/>
    <w:rsid w:val="71C9107F"/>
    <w:rsid w:val="721A5B23"/>
    <w:rsid w:val="722717C4"/>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BA82ABD"/>
    <w:rsid w:val="7C3F637A"/>
    <w:rsid w:val="7C757EAB"/>
    <w:rsid w:val="7D0A41BC"/>
    <w:rsid w:val="7D0A4B32"/>
    <w:rsid w:val="7D797C2B"/>
    <w:rsid w:val="7D823D52"/>
    <w:rsid w:val="7DA9320D"/>
    <w:rsid w:val="7DAC6A56"/>
    <w:rsid w:val="7DFD17FE"/>
    <w:rsid w:val="7E381ACE"/>
    <w:rsid w:val="7ED56104"/>
    <w:rsid w:val="7EF742CC"/>
    <w:rsid w:val="7F897323"/>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Default"/>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2"/>
    <w:autoRedefine/>
    <w:qFormat/>
    <w:uiPriority w:val="0"/>
  </w:style>
  <w:style w:type="character" w:customStyle="1" w:styleId="37">
    <w:name w:val="font21"/>
    <w:basedOn w:val="19"/>
    <w:autoRedefine/>
    <w:qFormat/>
    <w:uiPriority w:val="0"/>
    <w:rPr>
      <w:rFonts w:hint="eastAsia" w:ascii="仿宋_GB2312" w:eastAsia="仿宋_GB2312" w:cs="仿宋_GB2312"/>
      <w:color w:val="000000"/>
      <w:sz w:val="20"/>
      <w:szCs w:val="20"/>
      <w:u w:val="none"/>
    </w:rPr>
  </w:style>
  <w:style w:type="paragraph" w:customStyle="1" w:styleId="38">
    <w:name w:val="A正文"/>
    <w:basedOn w:val="1"/>
    <w:autoRedefine/>
    <w:qFormat/>
    <w:uiPriority w:val="0"/>
    <w:pPr>
      <w:tabs>
        <w:tab w:val="left" w:pos="426"/>
      </w:tabs>
      <w:spacing w:line="360" w:lineRule="auto"/>
      <w:ind w:firstLine="200" w:firstLineChars="200"/>
    </w:pPr>
  </w:style>
  <w:style w:type="character" w:customStyle="1" w:styleId="39">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29904</Words>
  <Characters>31811</Characters>
  <Lines>224</Lines>
  <Paragraphs>63</Paragraphs>
  <TotalTime>60</TotalTime>
  <ScaleCrop>false</ScaleCrop>
  <LinksUpToDate>false</LinksUpToDate>
  <CharactersWithSpaces>32541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2026-03-24T08:36:58Z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