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0198A">
      <w:pPr>
        <w:ind w:firstLine="720"/>
        <w:jc w:val="center"/>
        <w:rPr>
          <w:rFonts w:ascii="Times New Roman" w:hAnsi="Times New Roman" w:eastAsia="宋体" w:cs="Times New Roman"/>
          <w:b/>
          <w:sz w:val="44"/>
          <w:szCs w:val="44"/>
        </w:rPr>
      </w:pPr>
    </w:p>
    <w:p w14:paraId="689130B1">
      <w:pPr>
        <w:pStyle w:val="8"/>
        <w:tabs>
          <w:tab w:val="left" w:pos="9360"/>
        </w:tabs>
        <w:ind w:firstLine="240"/>
        <w:rPr>
          <w:rFonts w:eastAsia="宋体" w:cs="Times New Roman"/>
        </w:rPr>
      </w:pPr>
    </w:p>
    <w:p w14:paraId="591466E4">
      <w:pPr>
        <w:jc w:val="center"/>
        <w:rPr>
          <w:rFonts w:ascii="Times New Roman" w:hAnsi="Times New Roman" w:eastAsia="宋体" w:cs="Times New Roman"/>
          <w:b/>
          <w:sz w:val="44"/>
          <w:szCs w:val="44"/>
        </w:rPr>
      </w:pPr>
    </w:p>
    <w:p w14:paraId="543AF49E">
      <w:pPr>
        <w:jc w:val="center"/>
        <w:rPr>
          <w:rFonts w:ascii="Times New Roman" w:hAnsi="Times New Roman" w:eastAsia="宋体" w:cs="Times New Roman"/>
          <w:b/>
          <w:sz w:val="44"/>
          <w:szCs w:val="44"/>
        </w:rPr>
      </w:pPr>
    </w:p>
    <w:p w14:paraId="76B62FE6">
      <w:pPr>
        <w:jc w:val="center"/>
        <w:rPr>
          <w:rFonts w:ascii="Times New Roman" w:hAnsi="Times New Roman" w:eastAsia="宋体" w:cs="Times New Roman"/>
          <w:b/>
          <w:sz w:val="48"/>
          <w:szCs w:val="48"/>
        </w:rPr>
      </w:pPr>
      <w:r>
        <w:rPr>
          <w:rFonts w:ascii="Times New Roman" w:hAnsi="Times New Roman" w:eastAsia="宋体" w:cs="Times New Roman"/>
          <w:b/>
          <w:sz w:val="48"/>
          <w:szCs w:val="48"/>
        </w:rPr>
        <w:t>杭州市城市建设投资集团有限公司</w:t>
      </w:r>
    </w:p>
    <w:p w14:paraId="382FC70A">
      <w:pPr>
        <w:jc w:val="center"/>
        <w:rPr>
          <w:rFonts w:ascii="Times New Roman" w:hAnsi="Times New Roman" w:eastAsia="宋体" w:cs="Times New Roman"/>
          <w:b/>
          <w:sz w:val="48"/>
          <w:szCs w:val="48"/>
        </w:rPr>
      </w:pPr>
      <w:r>
        <w:rPr>
          <w:rFonts w:ascii="Times New Roman" w:hAnsi="Times New Roman" w:eastAsia="宋体" w:cs="Times New Roman"/>
          <w:b/>
          <w:sz w:val="48"/>
          <w:szCs w:val="48"/>
        </w:rPr>
        <w:t>小额工程施工交易文件示范文本</w:t>
      </w:r>
    </w:p>
    <w:p w14:paraId="5766FBFC">
      <w:pPr>
        <w:pStyle w:val="13"/>
        <w:rPr>
          <w:rFonts w:ascii="Times New Roman" w:hAnsi="Times New Roman" w:eastAsia="宋体" w:cs="Times New Roman"/>
        </w:rPr>
      </w:pPr>
    </w:p>
    <w:p w14:paraId="4F5D6208">
      <w:pPr>
        <w:jc w:val="center"/>
        <w:rPr>
          <w:rFonts w:ascii="Times New Roman" w:hAnsi="Times New Roman" w:eastAsia="宋体" w:cs="Times New Roman"/>
          <w:b/>
          <w:sz w:val="36"/>
          <w:szCs w:val="36"/>
        </w:rPr>
      </w:pPr>
      <w:r>
        <w:rPr>
          <w:rFonts w:ascii="Times New Roman" w:hAnsi="Times New Roman" w:eastAsia="宋体" w:cs="Times New Roman"/>
          <w:b/>
          <w:sz w:val="36"/>
          <w:szCs w:val="36"/>
        </w:rPr>
        <w:t>（2025版）</w:t>
      </w:r>
    </w:p>
    <w:p w14:paraId="395108DE">
      <w:pPr>
        <w:jc w:val="center"/>
        <w:rPr>
          <w:rFonts w:ascii="Times New Roman" w:hAnsi="Times New Roman" w:eastAsia="宋体" w:cs="Times New Roman"/>
          <w:b/>
          <w:sz w:val="48"/>
          <w:szCs w:val="48"/>
        </w:rPr>
      </w:pPr>
    </w:p>
    <w:p w14:paraId="279B7D21">
      <w:pPr>
        <w:jc w:val="center"/>
        <w:rPr>
          <w:rFonts w:ascii="Times New Roman" w:hAnsi="Times New Roman" w:eastAsia="宋体" w:cs="Times New Roman"/>
          <w:b/>
          <w:sz w:val="48"/>
          <w:szCs w:val="48"/>
        </w:rPr>
      </w:pPr>
    </w:p>
    <w:p w14:paraId="65401A21">
      <w:pPr>
        <w:jc w:val="center"/>
        <w:rPr>
          <w:rFonts w:ascii="Times New Roman" w:hAnsi="Times New Roman" w:eastAsia="宋体" w:cs="Times New Roman"/>
          <w:b/>
          <w:sz w:val="48"/>
          <w:szCs w:val="48"/>
        </w:rPr>
      </w:pPr>
    </w:p>
    <w:p w14:paraId="493C174F">
      <w:pPr>
        <w:jc w:val="center"/>
        <w:rPr>
          <w:rFonts w:ascii="Times New Roman" w:hAnsi="Times New Roman" w:eastAsia="宋体" w:cs="Times New Roman"/>
          <w:b/>
          <w:sz w:val="48"/>
          <w:szCs w:val="48"/>
        </w:rPr>
      </w:pPr>
    </w:p>
    <w:p w14:paraId="74FF7ECF">
      <w:pPr>
        <w:jc w:val="center"/>
        <w:rPr>
          <w:rFonts w:ascii="Times New Roman" w:hAnsi="Times New Roman" w:eastAsia="宋体" w:cs="Times New Roman"/>
          <w:b/>
          <w:sz w:val="48"/>
          <w:szCs w:val="48"/>
        </w:rPr>
      </w:pPr>
    </w:p>
    <w:p w14:paraId="35C5DDF7">
      <w:pPr>
        <w:pStyle w:val="13"/>
        <w:rPr>
          <w:rFonts w:ascii="Times New Roman" w:hAnsi="Times New Roman" w:eastAsia="宋体" w:cs="Times New Roman"/>
          <w:b/>
          <w:sz w:val="48"/>
          <w:szCs w:val="48"/>
        </w:rPr>
      </w:pPr>
    </w:p>
    <w:p w14:paraId="728AF07F">
      <w:pPr>
        <w:rPr>
          <w:rFonts w:ascii="Times New Roman" w:hAnsi="Times New Roman" w:eastAsia="宋体" w:cs="Times New Roman"/>
        </w:rPr>
      </w:pPr>
    </w:p>
    <w:p w14:paraId="74D641A6">
      <w:pPr>
        <w:jc w:val="center"/>
        <w:rPr>
          <w:rFonts w:ascii="Times New Roman" w:hAnsi="Times New Roman" w:eastAsia="宋体" w:cs="Times New Roman"/>
          <w:b/>
          <w:sz w:val="48"/>
          <w:szCs w:val="48"/>
        </w:rPr>
      </w:pPr>
    </w:p>
    <w:p w14:paraId="0A5602F9">
      <w:pPr>
        <w:jc w:val="center"/>
        <w:rPr>
          <w:rFonts w:ascii="Times New Roman" w:hAnsi="Times New Roman" w:eastAsia="宋体" w:cs="Times New Roman"/>
          <w:b/>
          <w:sz w:val="48"/>
          <w:szCs w:val="48"/>
        </w:rPr>
      </w:pPr>
    </w:p>
    <w:p w14:paraId="794C7C95">
      <w:pPr>
        <w:jc w:val="center"/>
        <w:rPr>
          <w:rFonts w:ascii="Times New Roman" w:hAnsi="Times New Roman" w:eastAsia="宋体" w:cs="Times New Roman"/>
          <w:b/>
          <w:sz w:val="36"/>
          <w:szCs w:val="36"/>
        </w:rPr>
      </w:pPr>
    </w:p>
    <w:p w14:paraId="644713FC">
      <w:pPr>
        <w:jc w:val="center"/>
        <w:rPr>
          <w:rFonts w:ascii="Times New Roman" w:hAnsi="Times New Roman" w:eastAsia="宋体" w:cs="Times New Roman"/>
          <w:b/>
          <w:sz w:val="36"/>
          <w:szCs w:val="36"/>
        </w:rPr>
      </w:pPr>
    </w:p>
    <w:p w14:paraId="5DE97237">
      <w:pPr>
        <w:jc w:val="center"/>
        <w:rPr>
          <w:rFonts w:ascii="Times New Roman" w:hAnsi="Times New Roman" w:eastAsia="宋体" w:cs="Times New Roman"/>
          <w:b/>
          <w:sz w:val="36"/>
          <w:szCs w:val="36"/>
        </w:rPr>
      </w:pPr>
    </w:p>
    <w:p w14:paraId="08AAE66A">
      <w:pPr>
        <w:jc w:val="center"/>
        <w:rPr>
          <w:rFonts w:ascii="Times New Roman" w:hAnsi="Times New Roman" w:eastAsia="宋体" w:cs="Times New Roman"/>
          <w:b/>
          <w:sz w:val="36"/>
          <w:szCs w:val="36"/>
        </w:rPr>
      </w:pPr>
    </w:p>
    <w:p w14:paraId="415B2D88">
      <w:pPr>
        <w:jc w:val="center"/>
        <w:rPr>
          <w:rFonts w:ascii="Times New Roman" w:hAnsi="Times New Roman" w:eastAsia="宋体" w:cs="Times New Roman"/>
          <w:b/>
          <w:sz w:val="36"/>
          <w:szCs w:val="36"/>
        </w:rPr>
      </w:pPr>
    </w:p>
    <w:p w14:paraId="6EE9AA8C">
      <w:pPr>
        <w:jc w:val="center"/>
        <w:rPr>
          <w:rFonts w:ascii="Times New Roman" w:hAnsi="Times New Roman" w:eastAsia="宋体" w:cs="Times New Roman"/>
          <w:b/>
          <w:sz w:val="36"/>
          <w:szCs w:val="36"/>
        </w:rPr>
      </w:pPr>
      <w:r>
        <w:rPr>
          <w:rFonts w:hint="eastAsia" w:ascii="Times New Roman" w:hAnsi="Times New Roman" w:eastAsia="宋体" w:cs="Times New Roman"/>
          <w:b/>
          <w:sz w:val="36"/>
          <w:szCs w:val="36"/>
        </w:rPr>
        <w:t>杭州市城市建设投资集团有限公司</w:t>
      </w:r>
    </w:p>
    <w:p w14:paraId="0C024A32">
      <w:pPr>
        <w:jc w:val="center"/>
        <w:rPr>
          <w:rFonts w:ascii="Times New Roman" w:hAnsi="Times New Roman" w:eastAsia="宋体" w:cs="Times New Roman"/>
          <w:b/>
          <w:sz w:val="36"/>
          <w:szCs w:val="36"/>
        </w:rPr>
      </w:pPr>
      <w:r>
        <w:rPr>
          <w:rFonts w:hint="eastAsia" w:ascii="Times New Roman" w:hAnsi="Times New Roman" w:eastAsia="宋体" w:cs="Times New Roman"/>
          <w:b/>
          <w:sz w:val="36"/>
          <w:szCs w:val="36"/>
        </w:rPr>
        <w:t>杭州市安居集团有限公司</w:t>
      </w:r>
    </w:p>
    <w:p w14:paraId="68E92B43">
      <w:pPr>
        <w:pStyle w:val="13"/>
        <w:rPr>
          <w:rFonts w:ascii="Times New Roman" w:hAnsi="Times New Roman" w:eastAsia="宋体" w:cs="Times New Roman"/>
        </w:rPr>
      </w:pPr>
    </w:p>
    <w:p w14:paraId="71440018"/>
    <w:p w14:paraId="7816B837">
      <w:pPr>
        <w:jc w:val="center"/>
        <w:rPr>
          <w:rFonts w:ascii="Times New Roman" w:hAnsi="Times New Roman" w:eastAsia="宋体" w:cs="Times New Roman"/>
          <w:b/>
          <w:sz w:val="36"/>
          <w:szCs w:val="36"/>
        </w:rPr>
      </w:pPr>
      <w:r>
        <w:rPr>
          <w:rFonts w:hint="eastAsia" w:ascii="Times New Roman" w:hAnsi="Times New Roman" w:eastAsia="宋体" w:cs="Times New Roman"/>
          <w:b/>
          <w:sz w:val="36"/>
          <w:szCs w:val="36"/>
        </w:rPr>
        <w:t>二〇二五</w:t>
      </w:r>
      <w:r>
        <w:rPr>
          <w:rFonts w:ascii="Times New Roman" w:hAnsi="Times New Roman" w:eastAsia="宋体" w:cs="Times New Roman"/>
          <w:b/>
          <w:sz w:val="36"/>
          <w:szCs w:val="36"/>
        </w:rPr>
        <w:t>年</w:t>
      </w:r>
      <w:r>
        <w:rPr>
          <w:rFonts w:hint="eastAsia" w:ascii="Times New Roman" w:hAnsi="Times New Roman" w:eastAsia="宋体" w:cs="Times New Roman"/>
          <w:b/>
          <w:sz w:val="36"/>
          <w:szCs w:val="36"/>
        </w:rPr>
        <w:t>八</w:t>
      </w:r>
      <w:r>
        <w:rPr>
          <w:rFonts w:ascii="Times New Roman" w:hAnsi="Times New Roman" w:eastAsia="宋体" w:cs="Times New Roman"/>
          <w:b/>
          <w:sz w:val="36"/>
          <w:szCs w:val="36"/>
        </w:rPr>
        <w:t>月</w:t>
      </w:r>
    </w:p>
    <w:p w14:paraId="4888E998">
      <w:pPr>
        <w:jc w:val="center"/>
        <w:rPr>
          <w:rFonts w:ascii="Times New Roman" w:hAnsi="Times New Roman" w:eastAsia="宋体" w:cs="Times New Roman"/>
        </w:rPr>
        <w:sectPr>
          <w:headerReference r:id="rId4" w:type="first"/>
          <w:headerReference r:id="rId3" w:type="default"/>
          <w:footerReference r:id="rId5" w:type="default"/>
          <w:pgSz w:w="11906" w:h="16838"/>
          <w:pgMar w:top="1440" w:right="1083" w:bottom="1440" w:left="1083" w:header="850" w:footer="850" w:gutter="0"/>
          <w:pgNumType w:fmt="numberInDash" w:start="1"/>
          <w:cols w:space="0" w:num="1"/>
        </w:sectPr>
      </w:pPr>
    </w:p>
    <w:p w14:paraId="3B23628C">
      <w:pPr>
        <w:jc w:val="center"/>
        <w:rPr>
          <w:rFonts w:ascii="Times New Roman" w:hAnsi="Times New Roman" w:eastAsia="宋体" w:cs="Times New Roman"/>
        </w:rPr>
      </w:pPr>
    </w:p>
    <w:p w14:paraId="5841A6D2">
      <w:pPr>
        <w:rPr>
          <w:rFonts w:ascii="Times New Roman" w:hAnsi="Times New Roman" w:eastAsia="宋体" w:cs="Times New Roman"/>
          <w:color w:val="auto"/>
          <w:spacing w:val="-6"/>
          <w:sz w:val="36"/>
          <w:szCs w:val="36"/>
        </w:rPr>
      </w:pPr>
    </w:p>
    <w:p w14:paraId="304E47DF">
      <w:pPr>
        <w:pStyle w:val="19"/>
        <w:tabs>
          <w:tab w:val="left" w:pos="3839"/>
        </w:tabs>
        <w:spacing w:before="174" w:line="360" w:lineRule="auto"/>
        <w:ind w:right="175"/>
        <w:jc w:val="center"/>
        <w:rPr>
          <w:rFonts w:ascii="Times New Roman" w:hAnsi="Times New Roman" w:eastAsia="宋体" w:cs="Times New Roman"/>
          <w:sz w:val="36"/>
          <w:szCs w:val="36"/>
        </w:rPr>
      </w:pPr>
      <w:r>
        <w:rPr>
          <w:rFonts w:ascii="Times New Roman" w:hAnsi="Times New Roman" w:eastAsia="宋体" w:cs="Times New Roman"/>
          <w:sz w:val="36"/>
          <w:szCs w:val="36"/>
          <w:u w:val="single"/>
        </w:rPr>
        <w:t>（</w:t>
      </w:r>
      <w:r>
        <w:rPr>
          <w:rFonts w:hint="eastAsia" w:ascii="宋体" w:hAnsi="宋体" w:eastAsia="宋体" w:cs="宋体"/>
          <w:bCs/>
          <w:sz w:val="36"/>
          <w:szCs w:val="36"/>
          <w:u w:val="single"/>
          <w:lang w:eastAsia="zh-CN"/>
        </w:rPr>
        <w:t>临江环境2026年垃圾吊轨道大修项目施工</w:t>
      </w:r>
      <w:r>
        <w:rPr>
          <w:rFonts w:ascii="Times New Roman" w:hAnsi="Times New Roman" w:eastAsia="宋体" w:cs="Times New Roman"/>
          <w:sz w:val="36"/>
          <w:szCs w:val="36"/>
          <w:u w:val="single"/>
        </w:rPr>
        <w:t>）</w:t>
      </w:r>
    </w:p>
    <w:p w14:paraId="5A95E1FE">
      <w:pPr>
        <w:pStyle w:val="7"/>
        <w:spacing w:before="2"/>
        <w:ind w:left="0"/>
        <w:rPr>
          <w:rFonts w:eastAsia="宋体" w:cs="Times New Roman"/>
          <w:sz w:val="23"/>
          <w:szCs w:val="23"/>
        </w:rPr>
      </w:pPr>
    </w:p>
    <w:p w14:paraId="68AC7DB4">
      <w:pPr>
        <w:kinsoku/>
        <w:topLinePunct/>
        <w:autoSpaceDE/>
        <w:autoSpaceDN/>
        <w:adjustRightInd/>
        <w:spacing w:line="480" w:lineRule="auto"/>
        <w:jc w:val="center"/>
        <w:rPr>
          <w:rFonts w:ascii="Times New Roman" w:hAnsi="Times New Roman" w:eastAsia="宋体" w:cs="Times New Roman"/>
          <w:color w:val="auto"/>
          <w:sz w:val="28"/>
          <w:szCs w:val="28"/>
        </w:rPr>
      </w:pPr>
      <w:r>
        <w:rPr>
          <w:rFonts w:ascii="Times New Roman" w:hAnsi="Times New Roman" w:eastAsia="宋体" w:cs="Times New Roman"/>
          <w:color w:val="auto"/>
          <w:spacing w:val="2"/>
          <w:sz w:val="28"/>
          <w:szCs w:val="28"/>
        </w:rPr>
        <w:t>(交易项目编号</w:t>
      </w:r>
      <w:r>
        <w:rPr>
          <w:rFonts w:ascii="Times New Roman" w:hAnsi="Times New Roman" w:eastAsia="宋体" w:cs="Times New Roman"/>
          <w:color w:val="auto"/>
          <w:spacing w:val="1"/>
          <w:sz w:val="28"/>
          <w:szCs w:val="28"/>
        </w:rPr>
        <w:t>：</w:t>
      </w:r>
      <w:r>
        <w:rPr>
          <w:rFonts w:hint="eastAsia" w:ascii="宋体" w:hAnsi="宋体" w:cs="宋体"/>
          <w:sz w:val="28"/>
          <w:szCs w:val="28"/>
          <w:u w:val="single"/>
          <w:lang w:val="zh-CN"/>
        </w:rPr>
        <w:t>NY-1gGJ2603009</w:t>
      </w:r>
      <w:r>
        <w:rPr>
          <w:rFonts w:ascii="Times New Roman" w:hAnsi="Times New Roman" w:eastAsia="宋体" w:cs="Times New Roman"/>
          <w:color w:val="auto"/>
          <w:spacing w:val="1"/>
          <w:sz w:val="28"/>
          <w:szCs w:val="28"/>
          <w:u w:val="single"/>
        </w:rPr>
        <w:t xml:space="preserve">  </w:t>
      </w:r>
      <w:r>
        <w:rPr>
          <w:rFonts w:ascii="Times New Roman" w:hAnsi="Times New Roman" w:eastAsia="宋体" w:cs="Times New Roman"/>
          <w:color w:val="auto"/>
          <w:spacing w:val="1"/>
          <w:sz w:val="28"/>
          <w:szCs w:val="28"/>
        </w:rPr>
        <w:t>)</w:t>
      </w:r>
    </w:p>
    <w:p w14:paraId="2200BDF0">
      <w:pPr>
        <w:kinsoku/>
        <w:topLinePunct/>
        <w:rPr>
          <w:rFonts w:ascii="Times New Roman" w:hAnsi="Times New Roman" w:cs="Times New Roman"/>
          <w:color w:val="auto"/>
        </w:rPr>
      </w:pPr>
    </w:p>
    <w:p w14:paraId="7542B593">
      <w:pPr>
        <w:kinsoku/>
        <w:topLinePunct/>
        <w:spacing w:before="234" w:line="220" w:lineRule="auto"/>
        <w:jc w:val="center"/>
        <w:rPr>
          <w:rFonts w:ascii="Times New Roman" w:hAnsi="Times New Roman" w:eastAsia="宋体" w:cs="Times New Roman"/>
          <w:color w:val="auto"/>
          <w:spacing w:val="-6"/>
          <w:sz w:val="72"/>
          <w:szCs w:val="72"/>
        </w:rPr>
      </w:pPr>
      <w:r>
        <w:rPr>
          <w:rFonts w:ascii="Times New Roman" w:hAnsi="Times New Roman" w:eastAsia="宋体" w:cs="Times New Roman"/>
          <w:color w:val="auto"/>
          <w:spacing w:val="-6"/>
          <w:sz w:val="72"/>
          <w:szCs w:val="72"/>
        </w:rPr>
        <w:t>交易文件</w:t>
      </w:r>
    </w:p>
    <w:p w14:paraId="44C022CD">
      <w:pPr>
        <w:pStyle w:val="7"/>
        <w:spacing w:before="106"/>
        <w:ind w:left="3" w:right="4"/>
        <w:jc w:val="center"/>
        <w:rPr>
          <w:rFonts w:eastAsia="宋体" w:cs="Times New Roman"/>
          <w:sz w:val="44"/>
          <w:szCs w:val="44"/>
        </w:rPr>
      </w:pPr>
      <w:r>
        <w:rPr>
          <w:rFonts w:eastAsia="宋体" w:cs="Times New Roman"/>
          <w:sz w:val="44"/>
          <w:szCs w:val="44"/>
        </w:rPr>
        <w:t>（</w:t>
      </w:r>
      <w:r>
        <w:rPr>
          <w:rFonts w:hint="eastAsia" w:asciiTheme="minorEastAsia" w:hAnsiTheme="minorEastAsia" w:eastAsiaTheme="minorEastAsia" w:cstheme="minorEastAsia"/>
          <w:color w:val="auto"/>
          <w:spacing w:val="-6"/>
          <w:sz w:val="44"/>
          <w:szCs w:val="44"/>
          <w:lang w:val="zh-CN"/>
        </w:rPr>
        <w:t>公开竞标</w:t>
      </w:r>
      <w:r>
        <w:rPr>
          <w:rFonts w:eastAsia="宋体" w:cs="Times New Roman"/>
          <w:sz w:val="44"/>
          <w:szCs w:val="44"/>
        </w:rPr>
        <w:t>）</w:t>
      </w:r>
    </w:p>
    <w:p w14:paraId="7D1204F0">
      <w:pPr>
        <w:pStyle w:val="6"/>
        <w:kinsoku/>
        <w:wordWrap w:val="0"/>
        <w:topLinePunct/>
        <w:autoSpaceDE/>
        <w:autoSpaceDN/>
        <w:adjustRightInd/>
        <w:ind w:firstLine="604"/>
        <w:jc w:val="center"/>
        <w:rPr>
          <w:rFonts w:ascii="Times New Roman" w:hAnsi="Times New Roman" w:eastAsia="仿宋" w:cs="Times New Roman"/>
          <w:color w:val="auto"/>
          <w:spacing w:val="2"/>
          <w:sz w:val="30"/>
          <w:szCs w:val="30"/>
        </w:rPr>
      </w:pPr>
    </w:p>
    <w:p w14:paraId="0CE18A83">
      <w:pPr>
        <w:kinsoku/>
        <w:wordWrap w:val="0"/>
        <w:topLinePunct/>
        <w:autoSpaceDE/>
        <w:autoSpaceDN/>
        <w:adjustRightInd/>
        <w:spacing w:line="331" w:lineRule="auto"/>
        <w:ind w:firstLine="420" w:firstLineChars="200"/>
        <w:rPr>
          <w:rFonts w:ascii="Times New Roman" w:hAnsi="Times New Roman" w:cs="Times New Roman"/>
          <w:color w:val="auto"/>
          <w:sz w:val="21"/>
        </w:rPr>
      </w:pPr>
    </w:p>
    <w:p w14:paraId="39C57A23">
      <w:pPr>
        <w:kinsoku/>
        <w:wordWrap w:val="0"/>
        <w:topLinePunct/>
        <w:autoSpaceDE/>
        <w:autoSpaceDN/>
        <w:adjustRightInd/>
        <w:spacing w:line="246" w:lineRule="auto"/>
        <w:ind w:firstLine="420" w:firstLineChars="200"/>
        <w:rPr>
          <w:rFonts w:ascii="Times New Roman" w:hAnsi="Times New Roman" w:cs="Times New Roman"/>
          <w:color w:val="auto"/>
          <w:sz w:val="21"/>
        </w:rPr>
      </w:pPr>
    </w:p>
    <w:p w14:paraId="3CFDFF4F">
      <w:pPr>
        <w:kinsoku/>
        <w:wordWrap w:val="0"/>
        <w:topLinePunct/>
        <w:autoSpaceDE/>
        <w:autoSpaceDN/>
        <w:adjustRightInd/>
        <w:spacing w:line="241" w:lineRule="auto"/>
        <w:ind w:firstLine="420" w:firstLineChars="200"/>
        <w:rPr>
          <w:rFonts w:ascii="Times New Roman" w:hAnsi="Times New Roman" w:cs="Times New Roman"/>
          <w:color w:val="auto"/>
          <w:sz w:val="21"/>
        </w:rPr>
      </w:pPr>
    </w:p>
    <w:p w14:paraId="41EEF4CD">
      <w:pPr>
        <w:kinsoku/>
        <w:wordWrap w:val="0"/>
        <w:topLinePunct/>
        <w:autoSpaceDE/>
        <w:autoSpaceDN/>
        <w:adjustRightInd/>
        <w:spacing w:line="241" w:lineRule="auto"/>
        <w:ind w:firstLine="420" w:firstLineChars="200"/>
        <w:rPr>
          <w:rFonts w:ascii="Times New Roman" w:hAnsi="Times New Roman" w:cs="Times New Roman"/>
          <w:color w:val="auto"/>
          <w:sz w:val="21"/>
        </w:rPr>
      </w:pPr>
    </w:p>
    <w:p w14:paraId="4FA777EA">
      <w:pPr>
        <w:kinsoku/>
        <w:wordWrap w:val="0"/>
        <w:topLinePunct/>
        <w:autoSpaceDE/>
        <w:autoSpaceDN/>
        <w:adjustRightInd/>
        <w:spacing w:line="241" w:lineRule="auto"/>
        <w:ind w:firstLine="420" w:firstLineChars="200"/>
        <w:rPr>
          <w:rFonts w:ascii="Times New Roman" w:hAnsi="Times New Roman" w:cs="Times New Roman"/>
          <w:color w:val="auto"/>
          <w:sz w:val="21"/>
        </w:rPr>
      </w:pPr>
    </w:p>
    <w:p w14:paraId="3A4BA093">
      <w:pPr>
        <w:kinsoku/>
        <w:wordWrap w:val="0"/>
        <w:topLinePunct/>
        <w:autoSpaceDE/>
        <w:autoSpaceDN/>
        <w:adjustRightInd/>
        <w:spacing w:line="241" w:lineRule="auto"/>
        <w:ind w:firstLine="420" w:firstLineChars="200"/>
        <w:rPr>
          <w:rFonts w:ascii="Times New Roman" w:hAnsi="Times New Roman" w:cs="Times New Roman"/>
          <w:color w:val="auto"/>
          <w:sz w:val="21"/>
        </w:rPr>
      </w:pPr>
    </w:p>
    <w:p w14:paraId="6115FDCF">
      <w:pPr>
        <w:kinsoku/>
        <w:wordWrap w:val="0"/>
        <w:topLinePunct/>
        <w:autoSpaceDE/>
        <w:autoSpaceDN/>
        <w:adjustRightInd/>
        <w:spacing w:line="241" w:lineRule="auto"/>
        <w:ind w:firstLine="420" w:firstLineChars="200"/>
        <w:rPr>
          <w:rFonts w:ascii="Times New Roman" w:hAnsi="Times New Roman" w:cs="Times New Roman"/>
          <w:color w:val="auto"/>
          <w:sz w:val="21"/>
        </w:rPr>
      </w:pPr>
    </w:p>
    <w:p w14:paraId="12C60B76">
      <w:pPr>
        <w:kinsoku/>
        <w:wordWrap w:val="0"/>
        <w:topLinePunct/>
        <w:autoSpaceDE/>
        <w:autoSpaceDN/>
        <w:adjustRightInd/>
        <w:spacing w:line="241" w:lineRule="auto"/>
        <w:ind w:firstLine="420" w:firstLineChars="200"/>
        <w:rPr>
          <w:rFonts w:ascii="Times New Roman" w:hAnsi="Times New Roman" w:cs="Times New Roman"/>
          <w:color w:val="auto"/>
          <w:sz w:val="21"/>
        </w:rPr>
      </w:pPr>
    </w:p>
    <w:p w14:paraId="08B96E54">
      <w:pPr>
        <w:kinsoku/>
        <w:wordWrap w:val="0"/>
        <w:topLinePunct/>
        <w:autoSpaceDE/>
        <w:autoSpaceDN/>
        <w:adjustRightInd/>
        <w:spacing w:line="241" w:lineRule="auto"/>
        <w:ind w:firstLine="420" w:firstLineChars="200"/>
        <w:rPr>
          <w:rFonts w:ascii="Times New Roman" w:hAnsi="Times New Roman" w:cs="Times New Roman"/>
          <w:color w:val="auto"/>
          <w:sz w:val="21"/>
        </w:rPr>
      </w:pPr>
    </w:p>
    <w:p w14:paraId="4B5A3E71">
      <w:pPr>
        <w:kinsoku/>
        <w:wordWrap w:val="0"/>
        <w:topLinePunct/>
        <w:autoSpaceDE/>
        <w:autoSpaceDN/>
        <w:adjustRightInd/>
        <w:spacing w:line="241" w:lineRule="auto"/>
        <w:ind w:firstLine="640" w:firstLineChars="200"/>
        <w:rPr>
          <w:rFonts w:ascii="Times New Roman" w:hAnsi="Times New Roman" w:cs="Times New Roman"/>
          <w:color w:val="auto"/>
          <w:sz w:val="32"/>
          <w:szCs w:val="32"/>
        </w:rPr>
      </w:pPr>
    </w:p>
    <w:p w14:paraId="7123C6A5">
      <w:pPr>
        <w:kinsoku/>
        <w:topLinePunct/>
        <w:rPr>
          <w:rFonts w:ascii="Times New Roman" w:hAnsi="Times New Roman" w:cs="Times New Roman"/>
          <w:color w:val="auto"/>
        </w:rPr>
      </w:pPr>
    </w:p>
    <w:p w14:paraId="1BC60404">
      <w:pPr>
        <w:kinsoku/>
        <w:wordWrap w:val="0"/>
        <w:topLinePunct/>
        <w:autoSpaceDE/>
        <w:autoSpaceDN/>
        <w:adjustRightInd/>
        <w:spacing w:before="98" w:line="221" w:lineRule="auto"/>
        <w:jc w:val="center"/>
        <w:rPr>
          <w:rFonts w:ascii="Times New Roman" w:hAnsi="Times New Roman" w:eastAsia="仿宋" w:cs="Times New Roman"/>
          <w:color w:val="auto"/>
          <w:spacing w:val="-10"/>
          <w:sz w:val="32"/>
          <w:szCs w:val="32"/>
        </w:rPr>
      </w:pPr>
    </w:p>
    <w:p w14:paraId="337B0D96">
      <w:pPr>
        <w:kinsoku/>
        <w:wordWrap w:val="0"/>
        <w:topLinePunct/>
        <w:autoSpaceDE/>
        <w:autoSpaceDN/>
        <w:adjustRightInd/>
        <w:spacing w:before="98" w:line="221" w:lineRule="auto"/>
        <w:jc w:val="center"/>
        <w:rPr>
          <w:rFonts w:ascii="Times New Roman" w:hAnsi="Times New Roman" w:eastAsia="宋体" w:cs="Times New Roman"/>
          <w:color w:val="auto"/>
          <w:sz w:val="32"/>
          <w:szCs w:val="32"/>
        </w:rPr>
      </w:pPr>
      <w:r>
        <w:rPr>
          <w:rFonts w:ascii="Times New Roman" w:hAnsi="Times New Roman" w:eastAsia="宋体" w:cs="Times New Roman"/>
          <w:color w:val="auto"/>
          <w:spacing w:val="-10"/>
          <w:sz w:val="32"/>
          <w:szCs w:val="32"/>
        </w:rPr>
        <w:t>发包人：</w:t>
      </w:r>
      <w:r>
        <w:rPr>
          <w:rFonts w:hint="eastAsia" w:ascii="宋体" w:hAnsi="宋体" w:eastAsia="宋体"/>
          <w:sz w:val="32"/>
          <w:szCs w:val="32"/>
          <w:u w:val="single"/>
          <w:lang w:eastAsia="zh-CN"/>
        </w:rPr>
        <w:t>杭州临江环境能源有限公司</w:t>
      </w:r>
      <w:r>
        <w:rPr>
          <w:rFonts w:ascii="Times New Roman" w:hAnsi="Times New Roman" w:eastAsia="宋体" w:cs="Times New Roman"/>
          <w:color w:val="auto"/>
          <w:spacing w:val="-5"/>
          <w:sz w:val="32"/>
          <w:szCs w:val="32"/>
          <w:u w:val="single"/>
        </w:rPr>
        <w:t xml:space="preserve">  </w:t>
      </w:r>
      <w:r>
        <w:rPr>
          <w:rFonts w:ascii="Times New Roman" w:hAnsi="Times New Roman" w:eastAsia="宋体" w:cs="Times New Roman"/>
          <w:color w:val="auto"/>
          <w:spacing w:val="-5"/>
          <w:sz w:val="32"/>
          <w:szCs w:val="32"/>
        </w:rPr>
        <w:t>(单位盖章)</w:t>
      </w:r>
    </w:p>
    <w:p w14:paraId="1703D78A">
      <w:pPr>
        <w:kinsoku/>
        <w:wordWrap w:val="0"/>
        <w:topLinePunct/>
        <w:autoSpaceDE/>
        <w:autoSpaceDN/>
        <w:adjustRightInd/>
        <w:spacing w:before="224" w:line="221" w:lineRule="auto"/>
        <w:jc w:val="center"/>
        <w:rPr>
          <w:rFonts w:ascii="Times New Roman" w:hAnsi="Times New Roman" w:eastAsia="宋体" w:cs="Times New Roman"/>
          <w:color w:val="auto"/>
          <w:sz w:val="32"/>
          <w:szCs w:val="32"/>
        </w:rPr>
      </w:pPr>
      <w:r>
        <w:rPr>
          <w:rFonts w:ascii="Times New Roman" w:hAnsi="Times New Roman" w:eastAsia="宋体" w:cs="Times New Roman"/>
          <w:color w:val="auto"/>
          <w:spacing w:val="-10"/>
          <w:sz w:val="32"/>
          <w:szCs w:val="32"/>
        </w:rPr>
        <w:t>代理机构</w:t>
      </w:r>
      <w:r>
        <w:rPr>
          <w:rFonts w:ascii="Times New Roman" w:hAnsi="Times New Roman" w:eastAsia="宋体" w:cs="Times New Roman"/>
          <w:color w:val="auto"/>
          <w:spacing w:val="-9"/>
          <w:sz w:val="32"/>
          <w:szCs w:val="32"/>
        </w:rPr>
        <w:t>：</w:t>
      </w:r>
      <w:r>
        <w:rPr>
          <w:rFonts w:ascii="Times New Roman" w:hAnsi="Times New Roman" w:eastAsia="宋体" w:cs="Times New Roman"/>
          <w:color w:val="auto"/>
          <w:spacing w:val="-5"/>
          <w:sz w:val="32"/>
          <w:szCs w:val="32"/>
          <w:u w:val="single"/>
        </w:rPr>
        <w:t xml:space="preserve">  </w:t>
      </w:r>
      <w:r>
        <w:rPr>
          <w:rFonts w:hint="eastAsia" w:ascii="宋体" w:hAnsi="宋体" w:eastAsia="宋体"/>
          <w:sz w:val="32"/>
          <w:szCs w:val="32"/>
          <w:u w:val="single"/>
          <w:lang w:eastAsia="zh-CN"/>
        </w:rPr>
        <w:t>浙江建友工程咨询有限公司</w:t>
      </w:r>
      <w:r>
        <w:rPr>
          <w:rFonts w:ascii="Times New Roman" w:hAnsi="Times New Roman" w:eastAsia="宋体" w:cs="Times New Roman"/>
          <w:color w:val="auto"/>
          <w:spacing w:val="-5"/>
          <w:sz w:val="32"/>
          <w:szCs w:val="32"/>
          <w:u w:val="single"/>
        </w:rPr>
        <w:t xml:space="preserve">  </w:t>
      </w:r>
      <w:r>
        <w:rPr>
          <w:rFonts w:ascii="Times New Roman" w:hAnsi="Times New Roman" w:eastAsia="宋体" w:cs="Times New Roman"/>
          <w:color w:val="auto"/>
          <w:spacing w:val="-5"/>
          <w:sz w:val="32"/>
          <w:szCs w:val="32"/>
        </w:rPr>
        <w:t>(单位盖章)</w:t>
      </w:r>
    </w:p>
    <w:p w14:paraId="407A4FA0">
      <w:pPr>
        <w:kinsoku/>
        <w:wordWrap w:val="0"/>
        <w:topLinePunct/>
        <w:autoSpaceDE/>
        <w:autoSpaceDN/>
        <w:adjustRightInd/>
        <w:spacing w:line="242" w:lineRule="auto"/>
        <w:rPr>
          <w:rFonts w:ascii="Times New Roman" w:hAnsi="Times New Roman" w:eastAsia="宋体" w:cs="Times New Roman"/>
          <w:color w:val="auto"/>
          <w:sz w:val="32"/>
          <w:szCs w:val="32"/>
        </w:rPr>
      </w:pPr>
    </w:p>
    <w:p w14:paraId="4EF860F2">
      <w:pPr>
        <w:pStyle w:val="7"/>
        <w:spacing w:before="14" w:line="360" w:lineRule="auto"/>
        <w:ind w:left="0" w:right="175"/>
        <w:jc w:val="center"/>
        <w:rPr>
          <w:rFonts w:eastAsia="宋体" w:cs="Times New Roman"/>
          <w:sz w:val="28"/>
          <w:szCs w:val="28"/>
          <w:u w:val="single"/>
        </w:rPr>
      </w:pPr>
    </w:p>
    <w:p w14:paraId="0ED8AF4C">
      <w:pPr>
        <w:pStyle w:val="7"/>
        <w:spacing w:before="14" w:line="360" w:lineRule="auto"/>
        <w:ind w:left="0" w:right="175"/>
        <w:jc w:val="center"/>
        <w:rPr>
          <w:rFonts w:hint="eastAsia" w:eastAsia="宋体" w:cs="Times New Roman"/>
          <w:sz w:val="28"/>
          <w:szCs w:val="28"/>
          <w:lang w:eastAsia="zh-CN"/>
        </w:rPr>
      </w:pPr>
      <w:r>
        <w:rPr>
          <w:rFonts w:hint="eastAsia" w:ascii="宋体" w:hAnsi="宋体" w:eastAsia="宋体"/>
          <w:sz w:val="28"/>
          <w:szCs w:val="28"/>
          <w:lang w:eastAsia="zh-CN"/>
        </w:rPr>
        <w:t>2026年04月</w:t>
      </w:r>
      <w:r>
        <w:rPr>
          <w:rFonts w:hint="eastAsia" w:ascii="宋体" w:hAnsi="宋体" w:eastAsia="宋体"/>
          <w:sz w:val="28"/>
          <w:szCs w:val="28"/>
          <w:lang w:val="en-US" w:eastAsia="zh-CN"/>
        </w:rPr>
        <w:t>8</w:t>
      </w:r>
      <w:r>
        <w:rPr>
          <w:rFonts w:hint="eastAsia" w:ascii="宋体" w:hAnsi="宋体" w:eastAsia="宋体"/>
          <w:sz w:val="28"/>
          <w:szCs w:val="28"/>
          <w:lang w:eastAsia="zh-CN"/>
        </w:rPr>
        <w:t>日</w:t>
      </w:r>
    </w:p>
    <w:p w14:paraId="0772B756">
      <w:pPr>
        <w:pStyle w:val="7"/>
        <w:spacing w:before="14" w:line="360" w:lineRule="auto"/>
        <w:ind w:left="0" w:right="175"/>
        <w:jc w:val="center"/>
        <w:rPr>
          <w:rFonts w:eastAsia="宋体" w:cs="Times New Roman"/>
          <w:sz w:val="28"/>
          <w:szCs w:val="28"/>
        </w:rPr>
      </w:pPr>
    </w:p>
    <w:p w14:paraId="0C6A92CA">
      <w:pPr>
        <w:kinsoku/>
        <w:wordWrap w:val="0"/>
        <w:topLinePunct/>
        <w:autoSpaceDE/>
        <w:autoSpaceDN/>
        <w:adjustRightInd/>
        <w:ind w:firstLine="480" w:firstLineChars="200"/>
        <w:rPr>
          <w:rFonts w:ascii="Times New Roman" w:hAnsi="Times New Roman" w:cs="Times New Roman"/>
          <w:color w:val="auto"/>
        </w:rPr>
        <w:sectPr>
          <w:footerReference r:id="rId6" w:type="default"/>
          <w:pgSz w:w="11906" w:h="16838"/>
          <w:pgMar w:top="1440" w:right="1083" w:bottom="1440" w:left="1083" w:header="850" w:footer="850" w:gutter="0"/>
          <w:pgNumType w:fmt="numberInDash" w:start="1"/>
          <w:cols w:space="0" w:num="1"/>
          <w:docGrid w:linePitch="326" w:charSpace="0"/>
        </w:sectPr>
      </w:pPr>
    </w:p>
    <w:p w14:paraId="5B558BDB">
      <w:pPr>
        <w:kinsoku/>
        <w:wordWrap w:val="0"/>
        <w:topLinePunct/>
        <w:autoSpaceDE/>
        <w:autoSpaceDN/>
        <w:adjustRightInd/>
        <w:spacing w:line="264" w:lineRule="auto"/>
        <w:ind w:firstLine="420" w:firstLineChars="200"/>
        <w:rPr>
          <w:rFonts w:ascii="Times New Roman" w:hAnsi="Times New Roman" w:cs="Times New Roman"/>
          <w:color w:val="auto"/>
          <w:sz w:val="21"/>
        </w:rPr>
      </w:pPr>
    </w:p>
    <w:p w14:paraId="11A45ACA">
      <w:pPr>
        <w:kinsoku/>
        <w:wordWrap w:val="0"/>
        <w:topLinePunct/>
        <w:autoSpaceDE/>
        <w:autoSpaceDN/>
        <w:adjustRightInd/>
        <w:spacing w:line="264" w:lineRule="auto"/>
        <w:ind w:firstLine="420" w:firstLineChars="200"/>
        <w:rPr>
          <w:rFonts w:ascii="Times New Roman" w:hAnsi="Times New Roman" w:cs="Times New Roman"/>
          <w:color w:val="auto"/>
          <w:sz w:val="21"/>
        </w:rPr>
      </w:pPr>
    </w:p>
    <w:p w14:paraId="6A707C44">
      <w:pPr>
        <w:pStyle w:val="2"/>
        <w:kinsoku/>
        <w:topLinePunct/>
        <w:rPr>
          <w:rFonts w:ascii="Times New Roman" w:hAnsi="Times New Roman" w:cs="Times New Roman"/>
          <w:color w:val="auto"/>
          <w:sz w:val="46"/>
          <w:szCs w:val="46"/>
        </w:rPr>
      </w:pPr>
      <w:r>
        <w:rPr>
          <w:rFonts w:ascii="Times New Roman" w:hAnsi="Times New Roman" w:cs="Times New Roman"/>
          <w:color w:val="auto"/>
          <w:spacing w:val="-15"/>
          <w:sz w:val="46"/>
          <w:szCs w:val="46"/>
          <w14:textOutline w14:w="8496" w14:cap="flat" w14:cmpd="sng" w14:algn="ctr">
            <w14:solidFill>
              <w14:srgbClr w14:val="000000"/>
            </w14:solidFill>
            <w14:prstDash w14:val="solid"/>
            <w14:miter w14:val="0"/>
          </w14:textOutline>
        </w:rPr>
        <w:t>目</w:t>
      </w:r>
      <w:r>
        <w:rPr>
          <w:rFonts w:ascii="Times New Roman" w:hAnsi="Times New Roman" w:cs="Times New Roman"/>
          <w:color w:val="auto"/>
          <w:spacing w:val="-11"/>
          <w:sz w:val="46"/>
          <w:szCs w:val="46"/>
        </w:rPr>
        <w:t xml:space="preserve">  </w:t>
      </w:r>
      <w:r>
        <w:rPr>
          <w:rFonts w:ascii="Times New Roman" w:hAnsi="Times New Roman" w:cs="Times New Roman"/>
          <w:color w:val="auto"/>
          <w:spacing w:val="-11"/>
          <w:sz w:val="46"/>
          <w:szCs w:val="46"/>
          <w14:textOutline w14:w="8496" w14:cap="flat" w14:cmpd="sng" w14:algn="ctr">
            <w14:solidFill>
              <w14:srgbClr w14:val="000000"/>
            </w14:solidFill>
            <w14:prstDash w14:val="solid"/>
            <w14:miter w14:val="0"/>
          </w14:textOutline>
        </w:rPr>
        <w:t>录</w:t>
      </w:r>
    </w:p>
    <w:p w14:paraId="278C9EE3">
      <w:pPr>
        <w:kinsoku/>
        <w:wordWrap w:val="0"/>
        <w:topLinePunct/>
        <w:autoSpaceDE/>
        <w:autoSpaceDN/>
        <w:adjustRightInd/>
        <w:spacing w:line="330" w:lineRule="auto"/>
        <w:ind w:firstLine="420" w:firstLineChars="200"/>
        <w:rPr>
          <w:rFonts w:ascii="Times New Roman" w:hAnsi="Times New Roman" w:cs="Times New Roman"/>
          <w:color w:val="auto"/>
          <w:sz w:val="21"/>
        </w:rPr>
      </w:pPr>
    </w:p>
    <w:p w14:paraId="5A387C75">
      <w:pPr>
        <w:kinsoku/>
        <w:wordWrap w:val="0"/>
        <w:topLinePunct/>
        <w:autoSpaceDE/>
        <w:autoSpaceDN/>
        <w:adjustRightInd/>
        <w:snapToGrid/>
        <w:spacing w:line="360" w:lineRule="auto"/>
        <w:ind w:firstLine="635" w:firstLineChars="200"/>
        <w:rPr>
          <w:rFonts w:ascii="Times New Roman" w:hAnsi="Times New Roman" w:eastAsia="仿宋_GB2312" w:cs="Times New Roman"/>
          <w:b/>
          <w:bCs/>
          <w:color w:val="auto"/>
          <w:spacing w:val="-2"/>
          <w:position w:val="15"/>
          <w:sz w:val="32"/>
          <w:szCs w:val="32"/>
        </w:rPr>
      </w:pPr>
    </w:p>
    <w:p w14:paraId="14B1C217">
      <w:pPr>
        <w:kinsoku/>
        <w:topLinePunct/>
        <w:spacing w:line="360" w:lineRule="auto"/>
        <w:ind w:firstLine="1280" w:firstLineChars="400"/>
        <w:rPr>
          <w:rFonts w:ascii="Times New Roman" w:hAnsi="Times New Roman" w:eastAsia="宋体" w:cs="Times New Roman"/>
          <w:color w:val="auto"/>
          <w:sz w:val="32"/>
          <w:szCs w:val="32"/>
        </w:rPr>
      </w:pPr>
      <w:r>
        <w:rPr>
          <w:rFonts w:ascii="Times New Roman" w:hAnsi="Times New Roman" w:cs="Times New Roman"/>
          <w:color w:val="auto"/>
          <w:sz w:val="32"/>
          <w:szCs w:val="32"/>
        </w:rPr>
        <w:t>第一</w:t>
      </w:r>
      <w:r>
        <w:rPr>
          <w:rFonts w:ascii="Times New Roman" w:hAnsi="Times New Roman" w:eastAsia="宋体" w:cs="Times New Roman"/>
          <w:color w:val="auto"/>
          <w:sz w:val="32"/>
          <w:szCs w:val="32"/>
        </w:rPr>
        <w:t>章</w:t>
      </w:r>
      <w:r>
        <w:rPr>
          <w:rFonts w:ascii="Times New Roman" w:hAnsi="Times New Roman" w:cs="Times New Roman"/>
          <w:color w:val="auto"/>
          <w:sz w:val="32"/>
          <w:szCs w:val="32"/>
        </w:rPr>
        <w:t xml:space="preserve">      </w:t>
      </w:r>
      <w:r>
        <w:rPr>
          <w:rFonts w:ascii="Times New Roman" w:hAnsi="Times New Roman" w:eastAsia="宋体" w:cs="Times New Roman"/>
          <w:color w:val="auto"/>
          <w:sz w:val="32"/>
          <w:szCs w:val="32"/>
        </w:rPr>
        <w:t>交易公告</w:t>
      </w:r>
    </w:p>
    <w:p w14:paraId="50CCC266">
      <w:pPr>
        <w:kinsoku/>
        <w:topLinePunct/>
        <w:spacing w:line="360" w:lineRule="auto"/>
        <w:ind w:firstLine="1280" w:firstLineChars="400"/>
        <w:rPr>
          <w:rFonts w:ascii="Times New Roman" w:hAnsi="Times New Roman" w:cs="Times New Roman"/>
          <w:color w:val="auto"/>
          <w:sz w:val="32"/>
          <w:szCs w:val="32"/>
        </w:rPr>
      </w:pPr>
      <w:r>
        <w:rPr>
          <w:rFonts w:ascii="Times New Roman" w:hAnsi="Times New Roman" w:cs="Times New Roman"/>
          <w:color w:val="auto"/>
          <w:sz w:val="32"/>
          <w:szCs w:val="32"/>
        </w:rPr>
        <w:t>第二</w:t>
      </w:r>
      <w:r>
        <w:rPr>
          <w:rFonts w:ascii="Times New Roman" w:hAnsi="Times New Roman" w:eastAsia="宋体" w:cs="Times New Roman"/>
          <w:color w:val="auto"/>
          <w:sz w:val="32"/>
          <w:szCs w:val="32"/>
        </w:rPr>
        <w:t>章</w:t>
      </w:r>
      <w:r>
        <w:rPr>
          <w:rFonts w:ascii="Times New Roman" w:hAnsi="Times New Roman" w:cs="Times New Roman"/>
          <w:color w:val="auto"/>
          <w:sz w:val="32"/>
          <w:szCs w:val="32"/>
        </w:rPr>
        <w:t xml:space="preserve">      </w:t>
      </w:r>
      <w:r>
        <w:rPr>
          <w:rFonts w:ascii="Times New Roman" w:hAnsi="Times New Roman" w:eastAsia="宋体" w:cs="Times New Roman"/>
          <w:color w:val="auto"/>
          <w:sz w:val="32"/>
          <w:szCs w:val="32"/>
        </w:rPr>
        <w:t>交易</w:t>
      </w:r>
      <w:r>
        <w:rPr>
          <w:rFonts w:ascii="Times New Roman" w:hAnsi="Times New Roman" w:cs="Times New Roman"/>
          <w:color w:val="auto"/>
          <w:sz w:val="32"/>
          <w:szCs w:val="32"/>
        </w:rPr>
        <w:t>须知</w:t>
      </w:r>
    </w:p>
    <w:p w14:paraId="7CE0CAF6">
      <w:pPr>
        <w:kinsoku/>
        <w:topLinePunct/>
        <w:spacing w:line="360" w:lineRule="auto"/>
        <w:ind w:firstLine="1280" w:firstLineChars="400"/>
        <w:rPr>
          <w:rFonts w:ascii="Times New Roman" w:hAnsi="Times New Roman" w:cs="Times New Roman"/>
          <w:color w:val="auto"/>
          <w:sz w:val="32"/>
          <w:szCs w:val="32"/>
        </w:rPr>
      </w:pPr>
      <w:r>
        <w:rPr>
          <w:rFonts w:ascii="Times New Roman" w:hAnsi="Times New Roman" w:cs="Times New Roman"/>
          <w:color w:val="auto"/>
          <w:sz w:val="32"/>
          <w:szCs w:val="32"/>
        </w:rPr>
        <w:t>第三</w:t>
      </w:r>
      <w:r>
        <w:rPr>
          <w:rFonts w:ascii="Times New Roman" w:hAnsi="Times New Roman" w:eastAsia="宋体" w:cs="Times New Roman"/>
          <w:color w:val="auto"/>
          <w:sz w:val="32"/>
          <w:szCs w:val="32"/>
        </w:rPr>
        <w:t>章</w:t>
      </w:r>
      <w:r>
        <w:rPr>
          <w:rFonts w:ascii="Times New Roman" w:hAnsi="Times New Roman" w:cs="Times New Roman"/>
          <w:color w:val="auto"/>
          <w:sz w:val="32"/>
          <w:szCs w:val="32"/>
        </w:rPr>
        <w:t xml:space="preserve">      评审办法</w:t>
      </w:r>
    </w:p>
    <w:p w14:paraId="70CCBE78">
      <w:pPr>
        <w:kinsoku/>
        <w:topLinePunct/>
        <w:spacing w:line="360" w:lineRule="auto"/>
        <w:ind w:firstLine="1280" w:firstLineChars="400"/>
        <w:rPr>
          <w:rFonts w:ascii="Times New Roman" w:hAnsi="Times New Roman" w:eastAsia="宋体" w:cs="Times New Roman"/>
          <w:color w:val="auto"/>
          <w:sz w:val="32"/>
          <w:szCs w:val="32"/>
        </w:rPr>
      </w:pPr>
      <w:r>
        <w:rPr>
          <w:rFonts w:ascii="Times New Roman" w:hAnsi="Times New Roman" w:cs="Times New Roman"/>
          <w:color w:val="auto"/>
          <w:sz w:val="32"/>
          <w:szCs w:val="32"/>
        </w:rPr>
        <w:t>第四</w:t>
      </w:r>
      <w:r>
        <w:rPr>
          <w:rFonts w:ascii="Times New Roman" w:hAnsi="Times New Roman" w:eastAsia="宋体" w:cs="Times New Roman"/>
          <w:color w:val="auto"/>
          <w:sz w:val="32"/>
          <w:szCs w:val="32"/>
        </w:rPr>
        <w:t>章</w:t>
      </w:r>
      <w:r>
        <w:rPr>
          <w:rFonts w:ascii="Times New Roman" w:hAnsi="Times New Roman" w:cs="Times New Roman"/>
          <w:color w:val="auto"/>
          <w:sz w:val="32"/>
          <w:szCs w:val="32"/>
        </w:rPr>
        <w:t xml:space="preserve">      合同</w:t>
      </w:r>
      <w:r>
        <w:rPr>
          <w:rFonts w:ascii="Times New Roman" w:hAnsi="Times New Roman" w:eastAsia="宋体" w:cs="Times New Roman"/>
          <w:color w:val="auto"/>
          <w:sz w:val="32"/>
          <w:szCs w:val="32"/>
        </w:rPr>
        <w:t>条款及格式</w:t>
      </w:r>
    </w:p>
    <w:p w14:paraId="0BD88030">
      <w:pPr>
        <w:kinsoku/>
        <w:topLinePunct/>
        <w:spacing w:line="360" w:lineRule="auto"/>
        <w:ind w:firstLine="1280" w:firstLineChars="400"/>
        <w:rPr>
          <w:rFonts w:ascii="Times New Roman" w:hAnsi="Times New Roman" w:eastAsia="宋体" w:cs="Times New Roman"/>
          <w:color w:val="auto"/>
          <w:sz w:val="32"/>
          <w:szCs w:val="32"/>
        </w:rPr>
      </w:pPr>
      <w:r>
        <w:rPr>
          <w:rFonts w:ascii="Times New Roman" w:hAnsi="Times New Roman" w:cs="Times New Roman"/>
          <w:color w:val="auto"/>
          <w:sz w:val="32"/>
          <w:szCs w:val="32"/>
        </w:rPr>
        <w:t>第五</w:t>
      </w:r>
      <w:r>
        <w:rPr>
          <w:rFonts w:ascii="Times New Roman" w:hAnsi="Times New Roman" w:eastAsia="宋体" w:cs="Times New Roman"/>
          <w:color w:val="auto"/>
          <w:sz w:val="32"/>
          <w:szCs w:val="32"/>
        </w:rPr>
        <w:t>章</w:t>
      </w:r>
      <w:r>
        <w:rPr>
          <w:rFonts w:ascii="Times New Roman" w:hAnsi="Times New Roman" w:cs="Times New Roman"/>
          <w:color w:val="auto"/>
          <w:sz w:val="32"/>
          <w:szCs w:val="32"/>
        </w:rPr>
        <w:t xml:space="preserve">      工程量清单编制</w:t>
      </w:r>
    </w:p>
    <w:p w14:paraId="6D8087CC">
      <w:pPr>
        <w:kinsoku/>
        <w:topLinePunct/>
        <w:spacing w:line="360" w:lineRule="auto"/>
        <w:ind w:firstLine="1280" w:firstLineChars="400"/>
        <w:rPr>
          <w:rFonts w:ascii="Times New Roman" w:hAnsi="Times New Roman" w:cs="Times New Roman"/>
          <w:color w:val="auto"/>
          <w:sz w:val="32"/>
          <w:szCs w:val="32"/>
        </w:rPr>
      </w:pPr>
      <w:r>
        <w:rPr>
          <w:rFonts w:ascii="Times New Roman" w:hAnsi="Times New Roman" w:cs="Times New Roman"/>
          <w:color w:val="auto"/>
          <w:sz w:val="32"/>
          <w:szCs w:val="32"/>
        </w:rPr>
        <w:t>第六</w:t>
      </w:r>
      <w:r>
        <w:rPr>
          <w:rFonts w:ascii="Times New Roman" w:hAnsi="Times New Roman" w:eastAsia="宋体" w:cs="Times New Roman"/>
          <w:color w:val="auto"/>
          <w:sz w:val="32"/>
          <w:szCs w:val="32"/>
        </w:rPr>
        <w:t>章</w:t>
      </w:r>
      <w:r>
        <w:rPr>
          <w:rFonts w:ascii="Times New Roman" w:hAnsi="Times New Roman" w:cs="Times New Roman"/>
          <w:color w:val="auto"/>
          <w:sz w:val="32"/>
          <w:szCs w:val="32"/>
        </w:rPr>
        <w:t xml:space="preserve">      图纸</w:t>
      </w:r>
    </w:p>
    <w:p w14:paraId="50EB3F88">
      <w:pPr>
        <w:kinsoku/>
        <w:topLinePunct/>
        <w:spacing w:line="360" w:lineRule="auto"/>
        <w:ind w:firstLine="1280" w:firstLineChars="400"/>
        <w:rPr>
          <w:rFonts w:ascii="Times New Roman" w:hAnsi="Times New Roman" w:cs="Times New Roman"/>
          <w:color w:val="auto"/>
          <w:sz w:val="32"/>
          <w:szCs w:val="32"/>
        </w:rPr>
      </w:pPr>
      <w:r>
        <w:rPr>
          <w:rFonts w:ascii="Times New Roman" w:hAnsi="Times New Roman" w:eastAsia="宋体" w:cs="Times New Roman"/>
          <w:color w:val="auto"/>
          <w:sz w:val="32"/>
          <w:szCs w:val="32"/>
        </w:rPr>
        <w:t>第七章</w:t>
      </w:r>
      <w:r>
        <w:rPr>
          <w:rFonts w:hint="eastAsia" w:ascii="Times New Roman" w:hAnsi="Times New Roman" w:eastAsia="宋体" w:cs="Times New Roman"/>
          <w:color w:val="auto"/>
          <w:sz w:val="32"/>
          <w:szCs w:val="32"/>
        </w:rPr>
        <w:t xml:space="preserve">      </w:t>
      </w:r>
      <w:r>
        <w:rPr>
          <w:rFonts w:ascii="Times New Roman" w:hAnsi="Times New Roman" w:cs="Times New Roman"/>
          <w:color w:val="auto"/>
          <w:sz w:val="32"/>
          <w:szCs w:val="32"/>
        </w:rPr>
        <w:t>技术标准和要求</w:t>
      </w:r>
    </w:p>
    <w:p w14:paraId="54250AEA">
      <w:pPr>
        <w:kinsoku/>
        <w:topLinePunct/>
        <w:spacing w:line="360" w:lineRule="auto"/>
        <w:ind w:firstLine="1280" w:firstLineChars="400"/>
        <w:rPr>
          <w:rFonts w:ascii="Times New Roman" w:hAnsi="Times New Roman" w:cs="Times New Roman"/>
          <w:color w:val="auto"/>
          <w:sz w:val="32"/>
          <w:szCs w:val="32"/>
        </w:rPr>
      </w:pPr>
      <w:r>
        <w:rPr>
          <w:rFonts w:ascii="Times New Roman" w:hAnsi="Times New Roman" w:eastAsia="宋体" w:cs="Times New Roman"/>
          <w:color w:val="auto"/>
          <w:sz w:val="32"/>
          <w:szCs w:val="32"/>
        </w:rPr>
        <w:t>第八章      响应文件</w:t>
      </w:r>
      <w:r>
        <w:rPr>
          <w:rFonts w:ascii="Times New Roman" w:hAnsi="Times New Roman" w:cs="Times New Roman"/>
          <w:color w:val="auto"/>
          <w:sz w:val="32"/>
          <w:szCs w:val="32"/>
        </w:rPr>
        <w:t>格式</w:t>
      </w:r>
    </w:p>
    <w:p w14:paraId="4F68BD4C">
      <w:pPr>
        <w:kinsoku/>
        <w:wordWrap w:val="0"/>
        <w:topLinePunct/>
        <w:autoSpaceDE/>
        <w:autoSpaceDN/>
        <w:adjustRightInd/>
        <w:snapToGrid/>
        <w:jc w:val="center"/>
        <w:rPr>
          <w:rFonts w:ascii="Times New Roman" w:hAnsi="Times New Roman" w:eastAsia="黑体" w:cs="Times New Roman"/>
          <w:color w:val="auto"/>
          <w:spacing w:val="2"/>
          <w:sz w:val="44"/>
          <w:szCs w:val="44"/>
          <w14:textOutline w14:w="8496" w14:cap="flat" w14:cmpd="sng" w14:algn="ctr">
            <w14:solidFill>
              <w14:srgbClr w14:val="000000"/>
            </w14:solidFill>
            <w14:prstDash w14:val="solid"/>
            <w14:miter w14:val="0"/>
          </w14:textOutline>
        </w:rPr>
        <w:sectPr>
          <w:headerReference r:id="rId7" w:type="default"/>
          <w:footerReference r:id="rId8" w:type="default"/>
          <w:pgSz w:w="11906" w:h="16838"/>
          <w:pgMar w:top="1440" w:right="1083" w:bottom="1440" w:left="1083" w:header="850" w:footer="850" w:gutter="0"/>
          <w:pgNumType w:fmt="numberInDash" w:start="1"/>
          <w:cols w:space="0" w:num="1"/>
        </w:sectPr>
      </w:pPr>
    </w:p>
    <w:p w14:paraId="5329D4C4">
      <w:pPr>
        <w:pStyle w:val="2"/>
        <w:widowControl w:val="0"/>
        <w:kinsoku/>
        <w:topLinePunct/>
        <w:rPr>
          <w:rFonts w:ascii="Times New Roman" w:hAnsi="Times New Roman" w:cs="Times New Roman"/>
          <w:color w:val="auto"/>
          <w:spacing w:val="2"/>
        </w:rPr>
      </w:pPr>
      <w:r>
        <w:rPr>
          <w:rFonts w:ascii="Times New Roman" w:hAnsi="Times New Roman" w:cs="Times New Roman"/>
          <w:color w:val="auto"/>
          <w:spacing w:val="2"/>
          <w14:textOutline w14:w="8496" w14:cap="flat" w14:cmpd="sng" w14:algn="ctr">
            <w14:solidFill>
              <w14:srgbClr w14:val="000000"/>
            </w14:solidFill>
            <w14:prstDash w14:val="solid"/>
            <w14:miter w14:val="0"/>
          </w14:textOutline>
        </w:rPr>
        <w:t>第一章</w:t>
      </w:r>
      <w:r>
        <w:rPr>
          <w:rFonts w:ascii="Times New Roman" w:hAnsi="Times New Roman" w:cs="Times New Roman"/>
          <w:color w:val="auto"/>
          <w:spacing w:val="2"/>
        </w:rPr>
        <w:t xml:space="preserve"> </w:t>
      </w:r>
      <w:r>
        <w:rPr>
          <w:rFonts w:ascii="Times New Roman" w:hAnsi="Times New Roman" w:cs="Times New Roman"/>
          <w:color w:val="auto"/>
          <w14:textOutline w14:w="8496" w14:cap="flat" w14:cmpd="sng" w14:algn="ctr">
            <w14:solidFill>
              <w14:srgbClr w14:val="000000"/>
            </w14:solidFill>
            <w14:prstDash w14:val="solid"/>
            <w14:miter w14:val="0"/>
          </w14:textOutline>
        </w:rPr>
        <w:t>交易</w:t>
      </w:r>
      <w:r>
        <w:rPr>
          <w:rFonts w:ascii="Times New Roman" w:hAnsi="Times New Roman" w:cs="Times New Roman"/>
          <w:color w:val="auto"/>
          <w:spacing w:val="2"/>
          <w14:textOutline w14:w="8496" w14:cap="flat" w14:cmpd="sng" w14:algn="ctr">
            <w14:solidFill>
              <w14:srgbClr w14:val="000000"/>
            </w14:solidFill>
            <w14:prstDash w14:val="solid"/>
            <w14:miter w14:val="0"/>
          </w14:textOutline>
        </w:rPr>
        <w:t>公</w:t>
      </w:r>
      <w:r>
        <w:rPr>
          <w:rFonts w:ascii="Times New Roman" w:hAnsi="Times New Roman" w:cs="Times New Roman"/>
          <w:color w:val="auto"/>
          <w14:textOutline w14:w="8496" w14:cap="flat" w14:cmpd="sng" w14:algn="ctr">
            <w14:solidFill>
              <w14:srgbClr w14:val="000000"/>
            </w14:solidFill>
            <w14:prstDash w14:val="solid"/>
            <w14:miter w14:val="0"/>
          </w14:textOutline>
        </w:rPr>
        <w:t>告</w:t>
      </w:r>
      <w:r>
        <w:rPr>
          <w:rFonts w:hint="eastAsia" w:ascii="黑体" w:hAnsi="黑体" w:cs="黑体"/>
          <w:color w:val="auto"/>
          <w14:textOutline w14:w="8496" w14:cap="flat" w14:cmpd="sng" w14:algn="ctr">
            <w14:solidFill>
              <w14:srgbClr w14:val="000000"/>
            </w14:solidFill>
            <w14:prstDash w14:val="solid"/>
            <w14:miter w14:val="0"/>
          </w14:textOutline>
        </w:rPr>
        <w:t>/</w:t>
      </w:r>
      <w:r>
        <w:rPr>
          <w:rFonts w:ascii="Times New Roman" w:hAnsi="Times New Roman" w:cs="Times New Roman"/>
          <w:color w:val="auto"/>
          <w:spacing w:val="2"/>
          <w14:textOutline w14:w="8496" w14:cap="flat" w14:cmpd="sng" w14:algn="ctr">
            <w14:solidFill>
              <w14:srgbClr w14:val="000000"/>
            </w14:solidFill>
            <w14:prstDash w14:val="solid"/>
            <w14:miter w14:val="0"/>
          </w14:textOutline>
        </w:rPr>
        <w:t>响应邀请书</w:t>
      </w:r>
    </w:p>
    <w:p w14:paraId="2679D422">
      <w:pPr>
        <w:spacing w:line="360" w:lineRule="auto"/>
        <w:ind w:left="6"/>
        <w:jc w:val="center"/>
        <w:rPr>
          <w:rFonts w:ascii="Times New Roman" w:hAnsi="Times New Roman" w:cs="Times New Roman"/>
          <w:color w:val="auto"/>
          <w14:textOutline w14:w="8496" w14:cap="flat" w14:cmpd="sng" w14:algn="ctr">
            <w14:solidFill>
              <w14:srgbClr w14:val="000000"/>
            </w14:solidFill>
            <w14:prstDash w14:val="solid"/>
            <w14:miter w14:val="0"/>
          </w14:textOutline>
        </w:rPr>
      </w:pPr>
    </w:p>
    <w:p w14:paraId="28944260">
      <w:pPr>
        <w:jc w:val="center"/>
        <w:rPr>
          <w:rFonts w:ascii="Times New Roman" w:hAnsi="Times New Roman" w:eastAsia="宋体" w:cs="Times New Roman"/>
          <w:b/>
          <w:bCs/>
          <w:sz w:val="40"/>
          <w:szCs w:val="40"/>
        </w:rPr>
      </w:pPr>
      <w:r>
        <w:rPr>
          <w:rFonts w:hint="eastAsia" w:ascii="宋体" w:hAnsi="宋体" w:cs="宋体"/>
          <w:b/>
          <w:sz w:val="40"/>
          <w:szCs w:val="40"/>
          <w:u w:val="single"/>
          <w:lang w:val="zh-CN"/>
        </w:rPr>
        <w:t>临江环境2026年垃圾吊轨道大修项目施工</w:t>
      </w:r>
    </w:p>
    <w:p w14:paraId="6FC87430">
      <w:pPr>
        <w:jc w:val="center"/>
        <w:rPr>
          <w:rFonts w:ascii="Times New Roman" w:hAnsi="Times New Roman" w:cs="Times New Roman"/>
          <w:sz w:val="40"/>
          <w:szCs w:val="40"/>
        </w:rPr>
      </w:pPr>
      <w:r>
        <w:rPr>
          <w:rFonts w:hint="eastAsia" w:ascii="宋体" w:hAnsi="宋体" w:cs="宋体"/>
          <w:b/>
          <w:sz w:val="40"/>
          <w:szCs w:val="40"/>
          <w:u w:val="single"/>
          <w:lang w:val="zh-CN"/>
        </w:rPr>
        <w:t>交易公告</w:t>
      </w:r>
    </w:p>
    <w:p w14:paraId="67693473">
      <w:pPr>
        <w:rPr>
          <w:rFonts w:ascii="Times New Roman" w:hAnsi="Times New Roman" w:eastAsia="宋体" w:cs="Times New Roman"/>
          <w:b/>
          <w:sz w:val="32"/>
          <w:szCs w:val="32"/>
        </w:rPr>
      </w:pPr>
      <w:r>
        <w:rPr>
          <w:rFonts w:ascii="Times New Roman" w:hAnsi="Times New Roman" w:eastAsia="宋体" w:cs="Times New Roman"/>
          <w:b/>
          <w:sz w:val="32"/>
          <w:szCs w:val="32"/>
        </w:rPr>
        <w:t>1.发包</w:t>
      </w:r>
      <w:r>
        <w:rPr>
          <w:rFonts w:ascii="Times New Roman" w:hAnsi="Times New Roman" w:eastAsia="宋体" w:cs="Times New Roman"/>
          <w:b/>
          <w:sz w:val="32"/>
          <w:szCs w:val="32"/>
          <w:lang w:val="zh-CN"/>
        </w:rPr>
        <w:t>条件</w:t>
      </w:r>
    </w:p>
    <w:p w14:paraId="5878A3D1">
      <w:pPr>
        <w:pStyle w:val="15"/>
        <w:kinsoku/>
        <w:autoSpaceDE/>
        <w:autoSpaceDN/>
        <w:adjustRightInd/>
        <w:snapToGrid/>
        <w:spacing w:beforeAutospacing="0" w:afterAutospacing="0" w:line="400" w:lineRule="exact"/>
        <w:ind w:firstLine="480" w:firstLineChars="200"/>
        <w:textAlignment w:val="auto"/>
        <w:rPr>
          <w:rFonts w:ascii="宋体" w:hAnsi="宋体" w:eastAsia="宋体" w:cs="宋体"/>
          <w:szCs w:val="24"/>
          <w:lang w:val="zh-CN"/>
        </w:rPr>
      </w:pPr>
      <w:r>
        <w:rPr>
          <w:rFonts w:hint="eastAsia" w:asciiTheme="minorEastAsia" w:hAnsiTheme="minorEastAsia" w:eastAsiaTheme="minorEastAsia" w:cstheme="minorEastAsia"/>
          <w:szCs w:val="24"/>
          <w:u w:val="single"/>
          <w:lang w:val="zh-CN"/>
        </w:rPr>
        <w:t>临江环境2026年垃圾吊轨道大修项目施工</w:t>
      </w:r>
      <w:r>
        <w:rPr>
          <w:rFonts w:hint="eastAsia" w:asciiTheme="minorEastAsia" w:hAnsiTheme="minorEastAsia" w:eastAsiaTheme="minorEastAsia" w:cstheme="minorEastAsia"/>
          <w:szCs w:val="24"/>
          <w:lang w:val="zh-CN"/>
        </w:rPr>
        <w:t>已由</w:t>
      </w:r>
      <w:r>
        <w:rPr>
          <w:rFonts w:hint="eastAsia" w:asciiTheme="minorEastAsia" w:hAnsiTheme="minorEastAsia" w:eastAsiaTheme="minorEastAsia" w:cstheme="minorEastAsia"/>
          <w:color w:val="auto"/>
          <w:sz w:val="24"/>
          <w:highlight w:val="none"/>
          <w:u w:val="single"/>
          <w:lang w:val="en-US" w:eastAsia="zh-CN"/>
        </w:rPr>
        <w:t>杭州临江环境能源有限公司</w:t>
      </w:r>
      <w:r>
        <w:rPr>
          <w:rFonts w:hint="eastAsia" w:asciiTheme="minorEastAsia" w:hAnsiTheme="minorEastAsia" w:eastAsiaTheme="minorEastAsia" w:cstheme="minorEastAsia"/>
          <w:szCs w:val="24"/>
          <w:lang w:val="zh-CN"/>
        </w:rPr>
        <w:t>批准建设</w:t>
      </w:r>
      <w:r>
        <w:rPr>
          <w:rFonts w:hint="eastAsia" w:asciiTheme="minorEastAsia" w:hAnsiTheme="minorEastAsia" w:eastAsiaTheme="minorEastAsia" w:cstheme="minorEastAsia"/>
          <w:szCs w:val="24"/>
        </w:rPr>
        <w:t>，交易项目编号为</w:t>
      </w:r>
      <w:r>
        <w:rPr>
          <w:rFonts w:hint="eastAsia" w:asciiTheme="minorEastAsia" w:hAnsiTheme="minorEastAsia" w:eastAsiaTheme="minorEastAsia" w:cstheme="minorEastAsia"/>
          <w:szCs w:val="24"/>
          <w:u w:val="single"/>
          <w:lang w:val="zh-CN"/>
        </w:rPr>
        <w:t>NY-1gGJ2603009</w:t>
      </w:r>
      <w:r>
        <w:rPr>
          <w:rFonts w:hint="eastAsia" w:asciiTheme="minorEastAsia" w:hAnsiTheme="minorEastAsia" w:eastAsiaTheme="minorEastAsia" w:cstheme="minorEastAsia"/>
          <w:szCs w:val="24"/>
        </w:rPr>
        <w:t>，</w:t>
      </w:r>
      <w:r>
        <w:rPr>
          <w:rFonts w:hint="eastAsia" w:asciiTheme="minorEastAsia" w:hAnsiTheme="minorEastAsia" w:eastAsiaTheme="minorEastAsia" w:cstheme="minorEastAsia"/>
          <w:szCs w:val="24"/>
          <w:lang w:val="zh-CN"/>
        </w:rPr>
        <w:t>建设资金来自</w:t>
      </w:r>
      <w:r>
        <w:rPr>
          <w:rFonts w:hint="eastAsia" w:asciiTheme="minorEastAsia" w:hAnsiTheme="minorEastAsia" w:eastAsiaTheme="minorEastAsia" w:cstheme="minorEastAsia"/>
          <w:color w:val="auto"/>
          <w:sz w:val="24"/>
          <w:szCs w:val="24"/>
          <w:highlight w:val="none"/>
          <w:u w:val="single"/>
          <w:lang w:val="en-US" w:eastAsia="zh-CN"/>
        </w:rPr>
        <w:t>自筹</w:t>
      </w:r>
      <w:r>
        <w:rPr>
          <w:rFonts w:hint="eastAsia" w:asciiTheme="minorEastAsia" w:hAnsiTheme="minorEastAsia" w:eastAsiaTheme="minorEastAsia" w:cstheme="minorEastAsia"/>
          <w:szCs w:val="24"/>
        </w:rPr>
        <w:t>，</w:t>
      </w:r>
      <w:r>
        <w:rPr>
          <w:rFonts w:hint="eastAsia" w:asciiTheme="minorEastAsia" w:hAnsiTheme="minorEastAsia" w:eastAsiaTheme="minorEastAsia" w:cstheme="minorEastAsia"/>
          <w:szCs w:val="24"/>
          <w:lang w:val="zh-CN"/>
        </w:rPr>
        <w:t>出资比例为</w:t>
      </w:r>
      <w:r>
        <w:rPr>
          <w:rFonts w:hint="eastAsia" w:asciiTheme="minorEastAsia" w:hAnsiTheme="minorEastAsia" w:eastAsiaTheme="minorEastAsia" w:cstheme="minorEastAsia"/>
          <w:color w:val="auto"/>
          <w:sz w:val="24"/>
          <w:szCs w:val="24"/>
          <w:highlight w:val="none"/>
          <w:u w:val="single"/>
          <w:lang w:val="en-US" w:eastAsia="zh-CN"/>
        </w:rPr>
        <w:t>100%</w:t>
      </w:r>
      <w:r>
        <w:rPr>
          <w:rFonts w:hint="eastAsia" w:asciiTheme="minorEastAsia" w:hAnsiTheme="minorEastAsia" w:eastAsiaTheme="minorEastAsia" w:cstheme="minorEastAsia"/>
          <w:szCs w:val="24"/>
        </w:rPr>
        <w:t>，</w:t>
      </w:r>
      <w:r>
        <w:rPr>
          <w:rFonts w:hint="eastAsia" w:asciiTheme="minorEastAsia" w:hAnsiTheme="minorEastAsia" w:eastAsiaTheme="minorEastAsia" w:cstheme="minorEastAsia"/>
          <w:szCs w:val="24"/>
          <w:lang w:val="zh-CN"/>
        </w:rPr>
        <w:t>发包人为</w:t>
      </w:r>
      <w:r>
        <w:rPr>
          <w:rFonts w:hint="eastAsia" w:asciiTheme="minorEastAsia" w:hAnsiTheme="minorEastAsia" w:eastAsiaTheme="minorEastAsia" w:cstheme="minorEastAsia"/>
          <w:szCs w:val="24"/>
          <w:u w:val="single"/>
          <w:lang w:eastAsia="zh-CN"/>
        </w:rPr>
        <w:t>杭州临江环境能源有限公司</w:t>
      </w:r>
      <w:r>
        <w:rPr>
          <w:rFonts w:hint="eastAsia" w:asciiTheme="minorEastAsia" w:hAnsiTheme="minorEastAsia" w:eastAsiaTheme="minorEastAsia" w:cstheme="minorEastAsia"/>
          <w:szCs w:val="24"/>
        </w:rPr>
        <w:t>，</w:t>
      </w:r>
      <w:r>
        <w:rPr>
          <w:rFonts w:hint="eastAsia" w:asciiTheme="minorEastAsia" w:hAnsiTheme="minorEastAsia" w:eastAsiaTheme="minorEastAsia" w:cstheme="minorEastAsia"/>
          <w:szCs w:val="24"/>
          <w:lang w:val="zh-CN"/>
        </w:rPr>
        <w:t>委托代理机构为</w:t>
      </w:r>
      <w:r>
        <w:rPr>
          <w:rFonts w:hint="eastAsia" w:asciiTheme="minorEastAsia" w:hAnsiTheme="minorEastAsia" w:eastAsiaTheme="minorEastAsia" w:cstheme="minorEastAsia"/>
          <w:szCs w:val="24"/>
          <w:u w:val="single"/>
          <w:lang w:eastAsia="zh-CN"/>
        </w:rPr>
        <w:t>浙江建友工程咨询有限公司</w:t>
      </w:r>
      <w:r>
        <w:rPr>
          <w:rFonts w:hint="eastAsia" w:asciiTheme="minorEastAsia" w:hAnsiTheme="minorEastAsia" w:eastAsiaTheme="minorEastAsia" w:cstheme="minorEastAsia"/>
          <w:szCs w:val="24"/>
          <w:lang w:val="zh-CN"/>
        </w:rPr>
        <w:t>。项目已具备</w:t>
      </w:r>
      <w:r>
        <w:rPr>
          <w:rFonts w:hint="eastAsia" w:asciiTheme="minorEastAsia" w:hAnsiTheme="minorEastAsia" w:eastAsiaTheme="minorEastAsia" w:cstheme="minorEastAsia"/>
          <w:szCs w:val="24"/>
        </w:rPr>
        <w:t>发包</w:t>
      </w:r>
      <w:r>
        <w:rPr>
          <w:rFonts w:hint="eastAsia" w:asciiTheme="minorEastAsia" w:hAnsiTheme="minorEastAsia" w:eastAsiaTheme="minorEastAsia" w:cstheme="minorEastAsia"/>
          <w:szCs w:val="24"/>
          <w:lang w:val="zh-CN"/>
        </w:rPr>
        <w:t>条件</w:t>
      </w:r>
      <w:r>
        <w:rPr>
          <w:rFonts w:hint="eastAsia" w:asciiTheme="minorEastAsia" w:hAnsiTheme="minorEastAsia" w:eastAsiaTheme="minorEastAsia" w:cstheme="minorEastAsia"/>
          <w:szCs w:val="24"/>
        </w:rPr>
        <w:t>，</w:t>
      </w:r>
      <w:r>
        <w:rPr>
          <w:rFonts w:hint="eastAsia" w:asciiTheme="minorEastAsia" w:hAnsiTheme="minorEastAsia" w:eastAsiaTheme="minorEastAsia" w:cstheme="minorEastAsia"/>
          <w:szCs w:val="24"/>
          <w:lang w:val="zh-CN"/>
        </w:rPr>
        <w:t>现对该</w:t>
      </w:r>
      <w:r>
        <w:rPr>
          <w:rFonts w:hint="eastAsia" w:asciiTheme="minorEastAsia" w:hAnsiTheme="minorEastAsia" w:eastAsiaTheme="minorEastAsia" w:cstheme="minorEastAsia"/>
          <w:szCs w:val="24"/>
          <w:u w:val="single"/>
          <w:lang w:eastAsia="zh-CN"/>
        </w:rPr>
        <w:t>临江环境2026年垃圾吊轨道大修项目施工</w:t>
      </w:r>
      <w:r>
        <w:rPr>
          <w:rFonts w:hint="eastAsia" w:asciiTheme="minorEastAsia" w:hAnsiTheme="minorEastAsia" w:eastAsiaTheme="minorEastAsia" w:cstheme="minorEastAsia"/>
          <w:szCs w:val="24"/>
          <w:lang w:val="zh-CN"/>
        </w:rPr>
        <w:t>进行公开竞标。</w:t>
      </w:r>
    </w:p>
    <w:p w14:paraId="53489B4F">
      <w:pPr>
        <w:rPr>
          <w:rFonts w:ascii="Times New Roman" w:hAnsi="Times New Roman" w:eastAsia="宋体" w:cs="Times New Roman"/>
          <w:b/>
          <w:sz w:val="32"/>
          <w:szCs w:val="32"/>
          <w:lang w:val="zh-CN"/>
        </w:rPr>
      </w:pPr>
      <w:r>
        <w:rPr>
          <w:rFonts w:ascii="Times New Roman" w:hAnsi="Times New Roman" w:eastAsia="宋体" w:cs="Times New Roman"/>
          <w:b/>
          <w:sz w:val="32"/>
          <w:szCs w:val="32"/>
        </w:rPr>
        <w:t>2.</w:t>
      </w:r>
      <w:r>
        <w:rPr>
          <w:rFonts w:ascii="Times New Roman" w:hAnsi="Times New Roman" w:eastAsia="宋体" w:cs="Times New Roman"/>
          <w:b/>
          <w:sz w:val="32"/>
          <w:szCs w:val="32"/>
          <w:lang w:val="zh-CN"/>
        </w:rPr>
        <w:t>项目概况与</w:t>
      </w:r>
      <w:r>
        <w:rPr>
          <w:rFonts w:ascii="Times New Roman" w:hAnsi="Times New Roman" w:eastAsia="宋体" w:cs="Times New Roman"/>
          <w:b/>
          <w:sz w:val="32"/>
          <w:szCs w:val="32"/>
        </w:rPr>
        <w:t>发包</w:t>
      </w:r>
      <w:r>
        <w:rPr>
          <w:rFonts w:ascii="Times New Roman" w:hAnsi="Times New Roman" w:eastAsia="宋体" w:cs="Times New Roman"/>
          <w:b/>
          <w:sz w:val="32"/>
          <w:szCs w:val="32"/>
          <w:lang w:val="zh-CN"/>
        </w:rPr>
        <w:t>范围</w:t>
      </w:r>
    </w:p>
    <w:p w14:paraId="16EF2FE6">
      <w:pPr>
        <w:pStyle w:val="7"/>
        <w:widowControl w:val="0"/>
        <w:tabs>
          <w:tab w:val="left" w:pos="1343"/>
          <w:tab w:val="left" w:pos="2697"/>
          <w:tab w:val="left" w:pos="3264"/>
          <w:tab w:val="left" w:pos="4896"/>
          <w:tab w:val="left" w:pos="6005"/>
          <w:tab w:val="left" w:pos="7085"/>
          <w:tab w:val="left" w:pos="7498"/>
        </w:tabs>
        <w:autoSpaceDE/>
        <w:autoSpaceDN/>
        <w:adjustRightInd/>
        <w:snapToGrid/>
        <w:spacing w:line="400" w:lineRule="exact"/>
        <w:ind w:left="0" w:firstLine="480" w:firstLineChars="200"/>
        <w:jc w:val="both"/>
        <w:textAlignment w:val="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2.1项目概况：项目概算（建安部分）：</w:t>
      </w:r>
      <w:r>
        <w:rPr>
          <w:rFonts w:hint="eastAsia" w:asciiTheme="minorEastAsia" w:hAnsiTheme="minorEastAsia" w:eastAsiaTheme="minorEastAsia" w:cstheme="minorEastAsia"/>
          <w:szCs w:val="24"/>
          <w:u w:val="single"/>
          <w:lang w:eastAsia="zh-CN"/>
        </w:rPr>
        <w:t>139.7</w:t>
      </w:r>
      <w:r>
        <w:rPr>
          <w:rFonts w:hint="eastAsia" w:asciiTheme="minorEastAsia" w:hAnsiTheme="minorEastAsia" w:eastAsiaTheme="minorEastAsia" w:cstheme="minorEastAsia"/>
          <w:szCs w:val="24"/>
          <w:u w:val="single"/>
          <w:lang w:val="en-US" w:eastAsia="zh-CN"/>
        </w:rPr>
        <w:t>169</w:t>
      </w:r>
      <w:r>
        <w:rPr>
          <w:rFonts w:hint="eastAsia" w:asciiTheme="minorEastAsia" w:hAnsiTheme="minorEastAsia" w:eastAsiaTheme="minorEastAsia" w:cstheme="minorEastAsia"/>
          <w:szCs w:val="24"/>
          <w:u w:val="single"/>
          <w:lang w:eastAsia="zh-CN"/>
        </w:rPr>
        <w:t>0</w:t>
      </w:r>
      <w:r>
        <w:rPr>
          <w:rFonts w:hint="eastAsia" w:asciiTheme="minorEastAsia" w:hAnsiTheme="minorEastAsia" w:eastAsiaTheme="minorEastAsia" w:cstheme="minorEastAsia"/>
          <w:szCs w:val="24"/>
        </w:rPr>
        <w:t>万元，小额工程预算：</w:t>
      </w:r>
      <w:r>
        <w:rPr>
          <w:rFonts w:hint="eastAsia" w:asciiTheme="minorEastAsia" w:hAnsiTheme="minorEastAsia" w:eastAsiaTheme="minorEastAsia" w:cstheme="minorEastAsia"/>
          <w:szCs w:val="24"/>
          <w:u w:val="single"/>
          <w:lang w:eastAsia="zh-CN"/>
        </w:rPr>
        <w:t>139.7</w:t>
      </w:r>
      <w:r>
        <w:rPr>
          <w:rFonts w:hint="eastAsia" w:asciiTheme="minorEastAsia" w:hAnsiTheme="minorEastAsia" w:eastAsiaTheme="minorEastAsia" w:cstheme="minorEastAsia"/>
          <w:szCs w:val="24"/>
          <w:u w:val="single"/>
          <w:lang w:val="en-US" w:eastAsia="zh-CN"/>
        </w:rPr>
        <w:t>169</w:t>
      </w:r>
      <w:r>
        <w:rPr>
          <w:rFonts w:hint="eastAsia" w:asciiTheme="minorEastAsia" w:hAnsiTheme="minorEastAsia" w:eastAsiaTheme="minorEastAsia" w:cstheme="minorEastAsia"/>
          <w:szCs w:val="24"/>
        </w:rPr>
        <w:t>万元；小额工程</w:t>
      </w:r>
      <w:r>
        <w:rPr>
          <w:rFonts w:hint="eastAsia" w:asciiTheme="minorEastAsia" w:hAnsiTheme="minorEastAsia" w:eastAsiaTheme="minorEastAsia" w:cstheme="minorEastAsia"/>
          <w:bCs/>
          <w:szCs w:val="24"/>
        </w:rPr>
        <w:t>招标控制价：</w:t>
      </w:r>
      <w:r>
        <w:rPr>
          <w:rFonts w:hint="eastAsia" w:asciiTheme="minorEastAsia" w:hAnsiTheme="minorEastAsia" w:eastAsiaTheme="minorEastAsia" w:cstheme="minorEastAsia"/>
          <w:szCs w:val="24"/>
          <w:u w:val="single"/>
          <w:lang w:eastAsia="zh-CN"/>
        </w:rPr>
        <w:t>139.7</w:t>
      </w:r>
      <w:r>
        <w:rPr>
          <w:rFonts w:hint="eastAsia" w:asciiTheme="minorEastAsia" w:hAnsiTheme="minorEastAsia" w:eastAsiaTheme="minorEastAsia" w:cstheme="minorEastAsia"/>
          <w:szCs w:val="24"/>
          <w:u w:val="single"/>
          <w:lang w:val="en-US" w:eastAsia="zh-CN"/>
        </w:rPr>
        <w:t>169</w:t>
      </w:r>
      <w:r>
        <w:rPr>
          <w:rFonts w:hint="eastAsia" w:asciiTheme="minorEastAsia" w:hAnsiTheme="minorEastAsia" w:eastAsiaTheme="minorEastAsia" w:cstheme="minorEastAsia"/>
          <w:szCs w:val="24"/>
        </w:rPr>
        <w:t>万元</w:t>
      </w:r>
      <w:r>
        <w:rPr>
          <w:rFonts w:hint="eastAsia" w:asciiTheme="minorEastAsia" w:hAnsiTheme="minorEastAsia" w:eastAsiaTheme="minorEastAsia" w:cstheme="minorEastAsia"/>
          <w:bCs/>
          <w:szCs w:val="24"/>
        </w:rPr>
        <w:t>；</w:t>
      </w:r>
      <w:r>
        <w:rPr>
          <w:rFonts w:hint="eastAsia" w:asciiTheme="minorEastAsia" w:hAnsiTheme="minorEastAsia" w:eastAsiaTheme="minorEastAsia" w:cstheme="minorEastAsia"/>
          <w:szCs w:val="24"/>
        </w:rPr>
        <w:t>建设规模：</w:t>
      </w:r>
      <w:r>
        <w:rPr>
          <w:rFonts w:hint="eastAsia" w:asciiTheme="minorEastAsia" w:hAnsiTheme="minorEastAsia" w:eastAsiaTheme="minorEastAsia" w:cstheme="minorEastAsia"/>
          <w:szCs w:val="24"/>
          <w:u w:val="single"/>
          <w:lang w:eastAsia="zh-CN"/>
        </w:rPr>
        <w:t>139.7</w:t>
      </w:r>
      <w:r>
        <w:rPr>
          <w:rFonts w:hint="eastAsia" w:asciiTheme="minorEastAsia" w:hAnsiTheme="minorEastAsia" w:eastAsiaTheme="minorEastAsia" w:cstheme="minorEastAsia"/>
          <w:szCs w:val="24"/>
          <w:u w:val="single"/>
          <w:lang w:val="en-US" w:eastAsia="zh-CN"/>
        </w:rPr>
        <w:t>169</w:t>
      </w:r>
      <w:r>
        <w:rPr>
          <w:rFonts w:hint="eastAsia" w:asciiTheme="minorEastAsia" w:hAnsiTheme="minorEastAsia" w:eastAsiaTheme="minorEastAsia" w:cstheme="minorEastAsia"/>
          <w:color w:val="auto"/>
          <w:kern w:val="2"/>
          <w:szCs w:val="24"/>
          <w:u w:val="single"/>
          <w:lang w:eastAsia="zh-CN"/>
        </w:rPr>
        <w:t>万元</w:t>
      </w:r>
      <w:r>
        <w:rPr>
          <w:rFonts w:hint="eastAsia" w:asciiTheme="minorEastAsia" w:hAnsiTheme="minorEastAsia" w:eastAsiaTheme="minorEastAsia" w:cstheme="minorEastAsia"/>
          <w:szCs w:val="24"/>
        </w:rPr>
        <w:t>，建设地点：</w:t>
      </w:r>
      <w:r>
        <w:rPr>
          <w:rFonts w:hint="eastAsia" w:asciiTheme="minorEastAsia" w:hAnsiTheme="minorEastAsia" w:eastAsiaTheme="minorEastAsia" w:cstheme="minorEastAsia"/>
          <w:color w:val="auto"/>
          <w:kern w:val="2"/>
          <w:szCs w:val="24"/>
          <w:u w:val="single"/>
          <w:lang w:eastAsia="zh-CN"/>
        </w:rPr>
        <w:t>浙江省-杭州市-钱塘区-浙江省杭州市钱塘区临江街道杭州临江环境能源有限公司厂区内</w:t>
      </w:r>
      <w:r>
        <w:rPr>
          <w:rFonts w:hint="eastAsia" w:asciiTheme="minorEastAsia" w:hAnsiTheme="minorEastAsia" w:eastAsiaTheme="minorEastAsia" w:cstheme="minorEastAsia"/>
          <w:szCs w:val="24"/>
        </w:rPr>
        <w:t>。</w:t>
      </w:r>
    </w:p>
    <w:p w14:paraId="0201E197">
      <w:pPr>
        <w:pStyle w:val="7"/>
        <w:widowControl w:val="0"/>
        <w:tabs>
          <w:tab w:val="left" w:pos="1343"/>
          <w:tab w:val="left" w:pos="2697"/>
          <w:tab w:val="left" w:pos="3264"/>
          <w:tab w:val="left" w:pos="4896"/>
          <w:tab w:val="left" w:pos="6005"/>
          <w:tab w:val="left" w:pos="7085"/>
          <w:tab w:val="left" w:pos="7498"/>
        </w:tabs>
        <w:autoSpaceDE/>
        <w:autoSpaceDN/>
        <w:adjustRightInd/>
        <w:snapToGrid/>
        <w:spacing w:line="400" w:lineRule="exact"/>
        <w:ind w:left="0" w:firstLine="480" w:firstLineChars="200"/>
        <w:jc w:val="both"/>
        <w:textAlignment w:val="auto"/>
        <w:rPr>
          <w:rFonts w:asciiTheme="minorEastAsia" w:hAnsiTheme="minorEastAsia" w:eastAsiaTheme="minorEastAsia" w:cstheme="minorEastAsia"/>
          <w:szCs w:val="24"/>
        </w:rPr>
      </w:pPr>
      <w:r>
        <w:rPr>
          <w:rFonts w:asciiTheme="minorEastAsia" w:hAnsiTheme="minorEastAsia" w:eastAsiaTheme="minorEastAsia" w:cstheme="minorEastAsia"/>
          <w:szCs w:val="24"/>
        </w:rPr>
        <w:t>2.2</w:t>
      </w:r>
      <w:r>
        <w:rPr>
          <w:rFonts w:hint="eastAsia" w:asciiTheme="minorEastAsia" w:hAnsiTheme="minorEastAsia" w:eastAsiaTheme="minorEastAsia" w:cstheme="minorEastAsia"/>
          <w:szCs w:val="24"/>
        </w:rPr>
        <w:t>发包范围与内容：</w:t>
      </w:r>
      <w:r>
        <w:rPr>
          <w:rFonts w:hint="eastAsia" w:asciiTheme="minorEastAsia" w:hAnsiTheme="minorEastAsia" w:eastAsiaTheme="minorEastAsia" w:cstheme="minorEastAsia"/>
          <w:color w:val="auto"/>
          <w:kern w:val="2"/>
          <w:sz w:val="24"/>
          <w:szCs w:val="24"/>
          <w:highlight w:val="none"/>
          <w:u w:val="single"/>
        </w:rPr>
        <w:t>本项目采购1家供应商，为</w:t>
      </w:r>
      <w:r>
        <w:rPr>
          <w:rFonts w:hint="eastAsia" w:asciiTheme="minorEastAsia" w:hAnsiTheme="minorEastAsia" w:eastAsiaTheme="minorEastAsia" w:cstheme="minorEastAsia"/>
          <w:color w:val="auto"/>
          <w:kern w:val="2"/>
          <w:sz w:val="24"/>
          <w:szCs w:val="24"/>
          <w:highlight w:val="none"/>
          <w:u w:val="single"/>
          <w:lang w:eastAsia="zh-CN"/>
        </w:rPr>
        <w:t>发包人</w:t>
      </w:r>
      <w:r>
        <w:rPr>
          <w:rFonts w:hint="eastAsia" w:asciiTheme="minorEastAsia" w:hAnsiTheme="minorEastAsia" w:eastAsiaTheme="minorEastAsia" w:cstheme="minorEastAsia"/>
          <w:color w:val="auto"/>
          <w:kern w:val="2"/>
          <w:sz w:val="24"/>
          <w:szCs w:val="24"/>
          <w:highlight w:val="none"/>
          <w:u w:val="single"/>
        </w:rPr>
        <w:t>能源运行中心6台（南、北区各3台，规格型号 GL 20t-38.7mA8）垃圾吊提供大、小车轨道、承轨梁大修，车轮调整、更换等服务，具体包括大车轨道承轨梁检测调整、轨道断口铝热焊接修复、4台垃圾吊小车轨道拆除更换、#5垃圾吊小车车轮更换、所有车轮与轨道间隙调整等</w:t>
      </w:r>
      <w:r>
        <w:rPr>
          <w:rFonts w:hint="eastAsia" w:asciiTheme="minorEastAsia" w:hAnsiTheme="minorEastAsia" w:eastAsiaTheme="minorEastAsia" w:cstheme="minorEastAsia"/>
          <w:color w:val="auto"/>
          <w:kern w:val="2"/>
          <w:sz w:val="24"/>
          <w:szCs w:val="24"/>
          <w:highlight w:val="none"/>
          <w:u w:val="single"/>
          <w:lang w:eastAsia="zh-CN"/>
        </w:rPr>
        <w:t>，</w:t>
      </w:r>
      <w:r>
        <w:rPr>
          <w:rFonts w:hint="eastAsia" w:asciiTheme="minorEastAsia" w:hAnsiTheme="minorEastAsia" w:eastAsiaTheme="minorEastAsia" w:cstheme="minorEastAsia"/>
          <w:color w:val="auto"/>
          <w:kern w:val="2"/>
          <w:sz w:val="24"/>
          <w:szCs w:val="24"/>
          <w:highlight w:val="none"/>
          <w:u w:val="single"/>
        </w:rPr>
        <w:t>详见招标文件第</w:t>
      </w:r>
      <w:r>
        <w:rPr>
          <w:rFonts w:hint="eastAsia" w:asciiTheme="minorEastAsia" w:hAnsiTheme="minorEastAsia" w:eastAsiaTheme="minorEastAsia" w:cstheme="minorEastAsia"/>
          <w:color w:val="auto"/>
          <w:kern w:val="2"/>
          <w:sz w:val="24"/>
          <w:szCs w:val="24"/>
          <w:highlight w:val="none"/>
          <w:u w:val="single"/>
          <w:lang w:val="en-US" w:eastAsia="zh-CN"/>
        </w:rPr>
        <w:t>七</w:t>
      </w:r>
      <w:r>
        <w:rPr>
          <w:rFonts w:hint="eastAsia" w:asciiTheme="minorEastAsia" w:hAnsiTheme="minorEastAsia" w:eastAsiaTheme="minorEastAsia" w:cstheme="minorEastAsia"/>
          <w:color w:val="auto"/>
          <w:kern w:val="2"/>
          <w:sz w:val="24"/>
          <w:szCs w:val="24"/>
          <w:highlight w:val="none"/>
          <w:u w:val="single"/>
        </w:rPr>
        <w:t>章 “技术标准和要求”</w:t>
      </w:r>
      <w:r>
        <w:rPr>
          <w:rFonts w:hint="eastAsia" w:asciiTheme="minorEastAsia" w:hAnsiTheme="minorEastAsia" w:eastAsiaTheme="minorEastAsia" w:cstheme="minorEastAsia"/>
          <w:szCs w:val="24"/>
        </w:rPr>
        <w:t>。</w:t>
      </w:r>
    </w:p>
    <w:p w14:paraId="156E1842">
      <w:pPr>
        <w:pStyle w:val="7"/>
        <w:widowControl w:val="0"/>
        <w:tabs>
          <w:tab w:val="left" w:pos="1343"/>
          <w:tab w:val="left" w:pos="2697"/>
          <w:tab w:val="left" w:pos="3264"/>
          <w:tab w:val="left" w:pos="4896"/>
          <w:tab w:val="left" w:pos="6005"/>
          <w:tab w:val="left" w:pos="7085"/>
          <w:tab w:val="left" w:pos="7498"/>
        </w:tabs>
        <w:autoSpaceDE/>
        <w:autoSpaceDN/>
        <w:adjustRightInd/>
        <w:snapToGrid/>
        <w:spacing w:line="400" w:lineRule="exact"/>
        <w:ind w:left="0" w:firstLine="480" w:firstLineChars="200"/>
        <w:jc w:val="both"/>
        <w:textAlignment w:val="auto"/>
        <w:rPr>
          <w:rFonts w:asciiTheme="minorEastAsia" w:hAnsiTheme="minorEastAsia" w:eastAsiaTheme="minorEastAsia" w:cstheme="minorEastAsia"/>
          <w:szCs w:val="24"/>
        </w:rPr>
      </w:pPr>
      <w:r>
        <w:rPr>
          <w:rFonts w:asciiTheme="minorEastAsia" w:hAnsiTheme="minorEastAsia" w:eastAsiaTheme="minorEastAsia" w:cstheme="minorEastAsia"/>
          <w:szCs w:val="24"/>
        </w:rPr>
        <w:t>2.3</w:t>
      </w:r>
      <w:r>
        <w:rPr>
          <w:rFonts w:hint="eastAsia" w:asciiTheme="minorEastAsia" w:hAnsiTheme="minorEastAsia" w:eastAsiaTheme="minorEastAsia" w:cstheme="minorEastAsia"/>
          <w:color w:val="auto"/>
          <w:szCs w:val="24"/>
        </w:rPr>
        <w:t>施工总工期</w:t>
      </w:r>
      <w:r>
        <w:rPr>
          <w:rFonts w:hint="eastAsia" w:asciiTheme="minorEastAsia" w:hAnsiTheme="minorEastAsia" w:eastAsiaTheme="minorEastAsia" w:cstheme="minorEastAsia"/>
          <w:szCs w:val="24"/>
        </w:rPr>
        <w:t>：</w:t>
      </w:r>
      <w:r>
        <w:rPr>
          <w:rFonts w:hint="eastAsia" w:asciiTheme="minorEastAsia" w:hAnsiTheme="minorEastAsia" w:eastAsiaTheme="minorEastAsia" w:cstheme="minorEastAsia"/>
          <w:color w:val="auto"/>
          <w:kern w:val="2"/>
          <w:szCs w:val="24"/>
          <w:u w:val="single"/>
          <w:lang w:eastAsia="zh-CN"/>
        </w:rPr>
        <w:t>90</w:t>
      </w:r>
      <w:r>
        <w:rPr>
          <w:rFonts w:hint="eastAsia" w:asciiTheme="minorEastAsia" w:hAnsiTheme="minorEastAsia" w:eastAsiaTheme="minorEastAsia" w:cstheme="minorEastAsia"/>
          <w:color w:val="auto"/>
          <w:kern w:val="2"/>
          <w:szCs w:val="24"/>
        </w:rPr>
        <w:t>天</w:t>
      </w:r>
      <w:r>
        <w:rPr>
          <w:rFonts w:hint="eastAsia" w:asciiTheme="minorEastAsia" w:hAnsiTheme="minorEastAsia" w:eastAsiaTheme="minorEastAsia" w:cstheme="minorEastAsia"/>
          <w:color w:val="auto"/>
          <w:kern w:val="2"/>
          <w:sz w:val="24"/>
          <w:szCs w:val="24"/>
          <w:highlight w:val="none"/>
          <w:u w:val="none"/>
          <w:lang w:eastAsia="zh-CN"/>
        </w:rPr>
        <w:t>，</w:t>
      </w:r>
      <w:r>
        <w:rPr>
          <w:rFonts w:hint="eastAsia" w:asciiTheme="minorEastAsia" w:hAnsiTheme="minorEastAsia" w:eastAsiaTheme="minorEastAsia" w:cstheme="minorEastAsia"/>
          <w:color w:val="auto"/>
          <w:sz w:val="24"/>
          <w:szCs w:val="24"/>
          <w:highlight w:val="none"/>
        </w:rPr>
        <w:t>其中#2垃圾吊小车轨道更换</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天、#3垃圾吊小车轨道更换</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天、#4垃圾吊小车轨道更换</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天、#5垃圾吊小车轨道更换</w:t>
      </w:r>
      <w:r>
        <w:rPr>
          <w:rFonts w:hint="eastAsia" w:asciiTheme="minorEastAsia" w:hAnsiTheme="minorEastAsia" w:eastAsiaTheme="minorEastAsia" w:cstheme="minorEastAsia"/>
          <w:color w:val="auto"/>
          <w:sz w:val="24"/>
          <w:szCs w:val="24"/>
          <w:highlight w:val="none"/>
          <w:lang w:val="en-US" w:eastAsia="zh-CN"/>
        </w:rPr>
        <w:t>16</w:t>
      </w:r>
      <w:r>
        <w:rPr>
          <w:rFonts w:hint="eastAsia" w:asciiTheme="minorEastAsia" w:hAnsiTheme="minorEastAsia" w:eastAsiaTheme="minorEastAsia" w:cstheme="minorEastAsia"/>
          <w:color w:val="auto"/>
          <w:sz w:val="24"/>
          <w:szCs w:val="24"/>
          <w:highlight w:val="none"/>
        </w:rPr>
        <w:t>天，合计</w:t>
      </w:r>
      <w:r>
        <w:rPr>
          <w:rFonts w:hint="eastAsia" w:asciiTheme="minorEastAsia" w:hAnsiTheme="minorEastAsia" w:eastAsiaTheme="minorEastAsia" w:cstheme="minorEastAsia"/>
          <w:color w:val="auto"/>
          <w:sz w:val="24"/>
          <w:szCs w:val="24"/>
          <w:highlight w:val="none"/>
          <w:lang w:val="en-US" w:eastAsia="zh-CN"/>
        </w:rPr>
        <w:t>40</w:t>
      </w:r>
      <w:r>
        <w:rPr>
          <w:rFonts w:hint="eastAsia" w:asciiTheme="minorEastAsia" w:hAnsiTheme="minorEastAsia" w:eastAsiaTheme="minorEastAsia" w:cstheme="minorEastAsia"/>
          <w:color w:val="auto"/>
          <w:sz w:val="24"/>
          <w:szCs w:val="24"/>
          <w:highlight w:val="none"/>
        </w:rPr>
        <w:t>天；单侧垃圾仓大车轨道、承轨梁大修调整、断口修复25天，两侧共计50天）</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根据发包人现场垃圾量、生产计划</w:t>
      </w:r>
      <w:r>
        <w:rPr>
          <w:rFonts w:hint="eastAsia" w:asciiTheme="minorEastAsia" w:hAnsiTheme="minorEastAsia" w:eastAsiaTheme="minorEastAsia" w:cstheme="minorEastAsia"/>
          <w:color w:val="auto"/>
          <w:sz w:val="24"/>
          <w:szCs w:val="24"/>
          <w:highlight w:val="none"/>
        </w:rPr>
        <w:t>分阶段施工。若施工过程中项目有参观接待停工的或因发包人原因导致工期延后的，工期予以顺延。</w:t>
      </w:r>
    </w:p>
    <w:p w14:paraId="063A2262">
      <w:pPr>
        <w:numPr>
          <w:ilvl w:val="0"/>
          <w:numId w:val="1"/>
        </w:numPr>
        <w:rPr>
          <w:rFonts w:ascii="Times New Roman" w:hAnsi="Times New Roman" w:eastAsia="宋体" w:cs="Times New Roman"/>
          <w:b/>
          <w:sz w:val="32"/>
          <w:szCs w:val="32"/>
        </w:rPr>
      </w:pPr>
      <w:r>
        <w:rPr>
          <w:rFonts w:ascii="Times New Roman" w:hAnsi="Times New Roman" w:eastAsia="宋体" w:cs="Times New Roman"/>
          <w:b/>
          <w:sz w:val="32"/>
          <w:szCs w:val="32"/>
        </w:rPr>
        <w:t>资格要求</w:t>
      </w:r>
    </w:p>
    <w:p w14:paraId="18627034">
      <w:pPr>
        <w:pStyle w:val="7"/>
        <w:widowControl w:val="0"/>
        <w:tabs>
          <w:tab w:val="left" w:pos="1343"/>
          <w:tab w:val="left" w:pos="2697"/>
          <w:tab w:val="left" w:pos="3264"/>
          <w:tab w:val="left" w:pos="4896"/>
          <w:tab w:val="left" w:pos="6005"/>
          <w:tab w:val="left" w:pos="7085"/>
          <w:tab w:val="left" w:pos="7498"/>
        </w:tabs>
        <w:autoSpaceDE/>
        <w:autoSpaceDN/>
        <w:adjustRightInd/>
        <w:snapToGrid/>
        <w:spacing w:line="400" w:lineRule="exact"/>
        <w:ind w:left="0" w:firstLine="480" w:firstLineChars="200"/>
        <w:textAlignment w:val="auto"/>
        <w:rPr>
          <w:rFonts w:ascii="宋体" w:hAnsi="宋体" w:eastAsia="宋体" w:cs="宋体"/>
          <w:szCs w:val="24"/>
        </w:rPr>
      </w:pPr>
      <w:r>
        <w:rPr>
          <w:rFonts w:hint="eastAsia" w:ascii="宋体" w:hAnsi="宋体" w:eastAsia="宋体" w:cs="宋体"/>
          <w:szCs w:val="24"/>
          <w:shd w:val="clear" w:color="auto" w:fill="FFFFFF"/>
        </w:rPr>
        <w:t>（一）潜在承包人</w:t>
      </w:r>
      <w:r>
        <w:rPr>
          <w:rFonts w:hint="eastAsia" w:ascii="宋体" w:hAnsi="宋体" w:eastAsia="宋体" w:cs="宋体"/>
          <w:szCs w:val="24"/>
        </w:rPr>
        <w:t>：</w:t>
      </w:r>
    </w:p>
    <w:p w14:paraId="40627A32">
      <w:pPr>
        <w:pStyle w:val="7"/>
        <w:widowControl w:val="0"/>
        <w:tabs>
          <w:tab w:val="left" w:pos="1343"/>
          <w:tab w:val="left" w:pos="2697"/>
          <w:tab w:val="left" w:pos="3264"/>
          <w:tab w:val="left" w:pos="4896"/>
          <w:tab w:val="left" w:pos="6005"/>
          <w:tab w:val="left" w:pos="7085"/>
          <w:tab w:val="left" w:pos="7498"/>
        </w:tabs>
        <w:autoSpaceDE/>
        <w:autoSpaceDN/>
        <w:adjustRightInd/>
        <w:snapToGrid/>
        <w:spacing w:line="400" w:lineRule="exact"/>
        <w:ind w:left="0" w:firstLine="480" w:firstLineChars="200"/>
        <w:jc w:val="both"/>
        <w:textAlignment w:val="auto"/>
        <w:rPr>
          <w:rFonts w:ascii="宋体" w:hAnsi="宋体" w:eastAsia="宋体" w:cs="宋体"/>
          <w:szCs w:val="24"/>
        </w:rPr>
      </w:pPr>
      <w:r>
        <w:rPr>
          <w:rFonts w:ascii="宋体" w:hAnsi="宋体" w:eastAsia="宋体" w:cs="宋体"/>
          <w:color w:val="auto"/>
          <w:szCs w:val="24"/>
        </w:rPr>
        <w:t>3.1</w:t>
      </w:r>
      <w:r>
        <w:rPr>
          <w:rFonts w:hint="eastAsia" w:ascii="宋体" w:hAnsi="宋体" w:eastAsia="宋体" w:cs="宋体"/>
          <w:szCs w:val="24"/>
        </w:rPr>
        <w:t>具备</w:t>
      </w:r>
      <w:r>
        <w:rPr>
          <w:rFonts w:hint="eastAsia" w:asciiTheme="minorEastAsia" w:hAnsiTheme="minorEastAsia" w:eastAsiaTheme="minorEastAsia" w:cstheme="minorEastAsia"/>
          <w:szCs w:val="24"/>
          <w:u w:val="single"/>
          <w:lang w:eastAsia="zh-CN"/>
        </w:rPr>
        <w:t>/</w:t>
      </w:r>
      <w:r>
        <w:rPr>
          <w:rFonts w:hint="eastAsia" w:ascii="宋体" w:hAnsi="宋体" w:eastAsia="宋体" w:cs="宋体"/>
          <w:szCs w:val="24"/>
        </w:rPr>
        <w:t>资质；</w:t>
      </w:r>
    </w:p>
    <w:p w14:paraId="38F58352">
      <w:pPr>
        <w:pStyle w:val="7"/>
        <w:widowControl w:val="0"/>
        <w:tabs>
          <w:tab w:val="left" w:pos="1343"/>
          <w:tab w:val="left" w:pos="2697"/>
          <w:tab w:val="left" w:pos="3264"/>
          <w:tab w:val="left" w:pos="4896"/>
          <w:tab w:val="left" w:pos="6005"/>
          <w:tab w:val="left" w:pos="7085"/>
          <w:tab w:val="left" w:pos="7498"/>
        </w:tabs>
        <w:autoSpaceDE/>
        <w:autoSpaceDN/>
        <w:adjustRightInd/>
        <w:snapToGrid/>
        <w:spacing w:line="400" w:lineRule="exact"/>
        <w:ind w:left="0" w:firstLine="480" w:firstLineChars="200"/>
        <w:jc w:val="both"/>
        <w:textAlignment w:val="auto"/>
        <w:rPr>
          <w:rFonts w:hint="eastAsia" w:ascii="宋体" w:hAnsi="宋体" w:eastAsia="宋体" w:cs="宋体"/>
          <w:color w:val="auto"/>
          <w:szCs w:val="24"/>
        </w:rPr>
      </w:pPr>
      <w:r>
        <w:rPr>
          <w:rFonts w:hint="eastAsia" w:ascii="宋体" w:hAnsi="宋体" w:eastAsia="宋体" w:cs="宋体"/>
          <w:color w:val="auto"/>
          <w:szCs w:val="24"/>
        </w:rPr>
        <w:t>■</w:t>
      </w:r>
      <w:r>
        <w:rPr>
          <w:rFonts w:ascii="宋体" w:hAnsi="宋体" w:eastAsia="宋体" w:cs="宋体"/>
          <w:color w:val="auto"/>
          <w:szCs w:val="24"/>
        </w:rPr>
        <w:t>3.2</w:t>
      </w:r>
      <w:r>
        <w:rPr>
          <w:rFonts w:hint="eastAsia" w:ascii="宋体" w:hAnsi="宋体" w:eastAsia="宋体" w:cs="宋体"/>
          <w:color w:val="auto"/>
          <w:sz w:val="24"/>
          <w:szCs w:val="24"/>
          <w:highlight w:val="none"/>
        </w:rPr>
        <w:t>具备有效的企业安全生产许可证，企业主要负责人（法定代表人、企业经理、企业分管安全生产的副经理、企业技术负责人）具有对应有效的安全生产考核合格证书</w:t>
      </w:r>
      <w:r>
        <w:rPr>
          <w:rFonts w:hint="eastAsia" w:ascii="宋体" w:hAnsi="宋体" w:eastAsia="宋体" w:cs="宋体"/>
          <w:color w:val="auto"/>
          <w:szCs w:val="24"/>
        </w:rPr>
        <w:t>；</w:t>
      </w:r>
    </w:p>
    <w:p w14:paraId="5A4636CA">
      <w:pPr>
        <w:tabs>
          <w:tab w:val="left" w:pos="1343"/>
          <w:tab w:val="left" w:pos="2697"/>
          <w:tab w:val="left" w:pos="3264"/>
          <w:tab w:val="left" w:pos="4896"/>
          <w:tab w:val="left" w:pos="6005"/>
          <w:tab w:val="left" w:pos="7085"/>
          <w:tab w:val="left" w:pos="7498"/>
        </w:tabs>
        <w:adjustRightInd/>
        <w:snapToGrid/>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w:t>
      </w:r>
      <w:r>
        <w:rPr>
          <w:rFonts w:ascii="宋体" w:hAnsi="宋体" w:eastAsia="宋体" w:cs="宋体"/>
          <w:color w:val="auto"/>
          <w:sz w:val="24"/>
          <w:szCs w:val="24"/>
        </w:rPr>
        <w:t>3.3</w:t>
      </w:r>
      <w:r>
        <w:rPr>
          <w:rFonts w:hint="eastAsia" w:ascii="宋体" w:hAnsi="宋体" w:eastAsia="宋体" w:cs="宋体"/>
          <w:color w:val="auto"/>
          <w:sz w:val="24"/>
          <w:szCs w:val="24"/>
        </w:rPr>
        <w:t>自</w:t>
      </w:r>
      <w:r>
        <w:rPr>
          <w:rFonts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ascii="宋体" w:hAnsi="宋体" w:eastAsia="宋体" w:cs="宋体"/>
          <w:color w:val="auto"/>
          <w:sz w:val="24"/>
          <w:szCs w:val="24"/>
          <w:u w:val="single"/>
        </w:rPr>
        <w:t xml:space="preserve">   </w:t>
      </w:r>
      <w:r>
        <w:rPr>
          <w:rFonts w:hint="eastAsia" w:ascii="宋体" w:hAnsi="宋体" w:eastAsia="宋体" w:cs="宋体"/>
          <w:color w:val="auto"/>
          <w:sz w:val="24"/>
          <w:szCs w:val="24"/>
        </w:rPr>
        <w:t>日以来</w:t>
      </w:r>
      <w:r>
        <w:rPr>
          <w:rFonts w:ascii="宋体" w:hAnsi="宋体" w:eastAsia="宋体" w:cs="宋体"/>
          <w:color w:val="auto"/>
          <w:sz w:val="24"/>
          <w:szCs w:val="24"/>
        </w:rPr>
        <w:t xml:space="preserve"> </w:t>
      </w:r>
      <w:r>
        <w:rPr>
          <w:rFonts w:ascii="宋体" w:hAnsi="宋体" w:eastAsia="宋体" w:cs="宋体"/>
          <w:color w:val="auto"/>
          <w:sz w:val="24"/>
          <w:szCs w:val="24"/>
        </w:rPr>
        <w:sym w:font="Wingdings" w:char="00A8"/>
      </w:r>
      <w:r>
        <w:rPr>
          <w:rFonts w:hint="eastAsia" w:ascii="宋体" w:hAnsi="宋体" w:eastAsia="宋体" w:cs="宋体"/>
          <w:color w:val="auto"/>
          <w:sz w:val="24"/>
          <w:szCs w:val="24"/>
        </w:rPr>
        <w:t>承接过</w:t>
      </w:r>
      <w:r>
        <w:rPr>
          <w:rFonts w:ascii="宋体" w:hAnsi="宋体" w:eastAsia="宋体" w:cs="宋体"/>
          <w:color w:val="auto"/>
          <w:sz w:val="24"/>
          <w:szCs w:val="24"/>
        </w:rPr>
        <w:t xml:space="preserve">/ </w:t>
      </w:r>
      <w:r>
        <w:rPr>
          <w:rFonts w:ascii="宋体" w:hAnsi="宋体" w:eastAsia="宋体" w:cs="宋体"/>
          <w:color w:val="auto"/>
          <w:sz w:val="24"/>
          <w:szCs w:val="24"/>
        </w:rPr>
        <w:sym w:font="Wingdings" w:char="00A8"/>
      </w:r>
      <w:r>
        <w:rPr>
          <w:rFonts w:hint="eastAsia" w:ascii="宋体" w:hAnsi="宋体" w:eastAsia="宋体" w:cs="宋体"/>
          <w:color w:val="auto"/>
          <w:sz w:val="24"/>
          <w:szCs w:val="24"/>
        </w:rPr>
        <w:t>完成过</w:t>
      </w:r>
      <w:r>
        <w:rPr>
          <w:rFonts w:ascii="宋体" w:hAnsi="宋体" w:eastAsia="宋体" w:cs="宋体"/>
          <w:color w:val="auto"/>
          <w:sz w:val="24"/>
          <w:szCs w:val="24"/>
          <w:u w:val="single"/>
        </w:rPr>
        <w:tab/>
      </w:r>
      <w:r>
        <w:rPr>
          <w:rFonts w:ascii="宋体" w:hAnsi="宋体" w:eastAsia="宋体" w:cs="宋体"/>
          <w:color w:val="auto"/>
          <w:sz w:val="24"/>
          <w:szCs w:val="24"/>
          <w:u w:val="single"/>
        </w:rPr>
        <w:t xml:space="preserve">         </w:t>
      </w:r>
      <w:r>
        <w:rPr>
          <w:rFonts w:hint="eastAsia" w:ascii="宋体" w:hAnsi="宋体" w:eastAsia="宋体" w:cs="宋体"/>
          <w:color w:val="auto"/>
          <w:sz w:val="24"/>
          <w:szCs w:val="24"/>
        </w:rPr>
        <w:t>业绩；</w:t>
      </w:r>
    </w:p>
    <w:p w14:paraId="0A4DE4E4">
      <w:pPr>
        <w:pStyle w:val="7"/>
        <w:widowControl w:val="0"/>
        <w:tabs>
          <w:tab w:val="left" w:pos="1343"/>
          <w:tab w:val="left" w:pos="2697"/>
          <w:tab w:val="left" w:pos="3264"/>
          <w:tab w:val="left" w:pos="4896"/>
          <w:tab w:val="left" w:pos="6005"/>
          <w:tab w:val="left" w:pos="7085"/>
          <w:tab w:val="left" w:pos="7498"/>
        </w:tabs>
        <w:autoSpaceDE/>
        <w:autoSpaceDN/>
        <w:adjustRightInd/>
        <w:snapToGrid/>
        <w:spacing w:line="400" w:lineRule="exact"/>
        <w:ind w:left="0" w:firstLine="480" w:firstLineChars="200"/>
        <w:jc w:val="both"/>
        <w:textAlignment w:val="auto"/>
        <w:rPr>
          <w:rFonts w:ascii="宋体" w:hAnsi="宋体" w:eastAsia="宋体" w:cs="宋体"/>
          <w:color w:val="auto"/>
          <w:szCs w:val="24"/>
        </w:rPr>
      </w:pPr>
      <w:r>
        <w:rPr>
          <w:rFonts w:ascii="宋体" w:hAnsi="宋体" w:eastAsia="宋体" w:cs="宋体"/>
          <w:color w:val="auto"/>
          <w:szCs w:val="24"/>
        </w:rPr>
        <w:t>3.4</w:t>
      </w:r>
      <w:r>
        <w:rPr>
          <w:rFonts w:hint="eastAsia" w:ascii="宋体" w:hAnsi="宋体" w:eastAsia="宋体" w:cs="宋体"/>
          <w:color w:val="auto"/>
          <w:szCs w:val="24"/>
        </w:rPr>
        <w:t>本次发包</w:t>
      </w:r>
      <w:r>
        <w:rPr>
          <w:rFonts w:hint="eastAsia" w:asciiTheme="minorEastAsia" w:hAnsiTheme="minorEastAsia" w:eastAsiaTheme="minorEastAsia" w:cstheme="minorEastAsia"/>
          <w:color w:val="auto"/>
          <w:kern w:val="2"/>
          <w:szCs w:val="24"/>
          <w:lang w:eastAsia="zh-CN"/>
        </w:rPr>
        <w:t>不接受</w:t>
      </w:r>
      <w:r>
        <w:rPr>
          <w:rFonts w:hint="eastAsia" w:ascii="宋体" w:hAnsi="宋体" w:eastAsia="宋体" w:cs="宋体"/>
          <w:color w:val="auto"/>
          <w:szCs w:val="24"/>
        </w:rPr>
        <w:t>联合体响应；</w:t>
      </w:r>
    </w:p>
    <w:p w14:paraId="248316DD">
      <w:pPr>
        <w:pStyle w:val="7"/>
        <w:tabs>
          <w:tab w:val="left" w:pos="1343"/>
          <w:tab w:val="left" w:pos="2697"/>
          <w:tab w:val="left" w:pos="3264"/>
          <w:tab w:val="left" w:pos="4896"/>
          <w:tab w:val="left" w:pos="6005"/>
          <w:tab w:val="left" w:pos="7085"/>
          <w:tab w:val="left" w:pos="7498"/>
        </w:tabs>
        <w:adjustRightInd/>
        <w:snapToGrid/>
        <w:spacing w:line="400" w:lineRule="exact"/>
        <w:ind w:left="0" w:firstLine="480" w:firstLineChars="200"/>
        <w:jc w:val="both"/>
        <w:rPr>
          <w:rFonts w:ascii="宋体" w:hAnsi="宋体" w:eastAsia="宋体" w:cs="宋体"/>
          <w:color w:val="auto"/>
          <w:szCs w:val="24"/>
        </w:rPr>
      </w:pPr>
      <w:r>
        <w:rPr>
          <w:rFonts w:hint="eastAsia" w:ascii="宋体" w:hAnsi="宋体" w:eastAsia="宋体" w:cs="宋体"/>
          <w:color w:val="auto"/>
          <w:szCs w:val="24"/>
        </w:rPr>
        <w:t>联合体响应的应满足下列要求：</w:t>
      </w:r>
      <w:r>
        <w:rPr>
          <w:rFonts w:ascii="宋体" w:hAnsi="宋体" w:eastAsia="宋体" w:cs="宋体"/>
          <w:color w:val="auto"/>
          <w:szCs w:val="24"/>
          <w:u w:val="single"/>
        </w:rPr>
        <w:t xml:space="preserve">            </w:t>
      </w:r>
      <w:r>
        <w:rPr>
          <w:rFonts w:hint="eastAsia" w:ascii="宋体" w:hAnsi="宋体" w:eastAsia="宋体" w:cs="宋体"/>
          <w:color w:val="auto"/>
          <w:szCs w:val="24"/>
          <w:u w:val="single"/>
          <w:lang w:val="en-US" w:eastAsia="zh-CN"/>
        </w:rPr>
        <w:t>/</w:t>
      </w:r>
      <w:r>
        <w:rPr>
          <w:rFonts w:ascii="宋体" w:hAnsi="宋体" w:eastAsia="宋体" w:cs="宋体"/>
          <w:color w:val="auto"/>
          <w:szCs w:val="24"/>
          <w:u w:val="single"/>
        </w:rPr>
        <w:t xml:space="preserve">          </w:t>
      </w:r>
      <w:r>
        <w:rPr>
          <w:rFonts w:hint="eastAsia" w:ascii="宋体" w:hAnsi="宋体" w:eastAsia="宋体" w:cs="宋体"/>
          <w:color w:val="auto"/>
          <w:szCs w:val="24"/>
        </w:rPr>
        <w:t>；</w:t>
      </w:r>
    </w:p>
    <w:p w14:paraId="1FFB9A03">
      <w:pPr>
        <w:tabs>
          <w:tab w:val="left" w:pos="1343"/>
          <w:tab w:val="left" w:pos="2697"/>
          <w:tab w:val="left" w:pos="3264"/>
          <w:tab w:val="left" w:pos="4896"/>
          <w:tab w:val="left" w:pos="6005"/>
          <w:tab w:val="left" w:pos="7085"/>
          <w:tab w:val="left" w:pos="7498"/>
        </w:tabs>
        <w:adjustRightInd/>
        <w:snapToGrid/>
        <w:ind w:firstLine="480" w:firstLineChars="200"/>
        <w:jc w:val="both"/>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sz w:val="24"/>
          <w:szCs w:val="24"/>
          <w:highlight w:val="none"/>
          <w:lang w:val="en-US" w:eastAsia="zh-CN" w:bidi="ar-SA"/>
        </w:rPr>
        <w:t xml:space="preserve">■3.5 </w:t>
      </w:r>
      <w:r>
        <w:rPr>
          <w:rFonts w:hint="eastAsia" w:ascii="宋体" w:hAnsi="宋体" w:eastAsia="宋体" w:cs="宋体"/>
          <w:snapToGrid w:val="0"/>
          <w:color w:val="auto"/>
          <w:sz w:val="24"/>
          <w:szCs w:val="24"/>
          <w:highlight w:val="none"/>
          <w:u w:val="single"/>
          <w:lang w:val="en-US" w:eastAsia="zh-CN" w:bidi="ar-SA"/>
        </w:rPr>
        <w:t>具备《特种设备安装改造维修许可证》（起重机械类，安装/修理，B级及以上）或《特种设备生产许可证》（许可项目包含起重机械安装/修理）；</w:t>
      </w:r>
    </w:p>
    <w:p w14:paraId="06B853AD">
      <w:pPr>
        <w:pStyle w:val="20"/>
        <w:ind w:firstLine="480"/>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sz w:val="24"/>
          <w:szCs w:val="24"/>
          <w:highlight w:val="none"/>
          <w:lang w:val="en-US" w:eastAsia="zh-CN" w:bidi="ar-SA"/>
        </w:rPr>
        <w:t>（二）拟派项目负责人：</w:t>
      </w:r>
    </w:p>
    <w:p w14:paraId="73551803">
      <w:pPr>
        <w:pStyle w:val="7"/>
        <w:tabs>
          <w:tab w:val="left" w:pos="1343"/>
          <w:tab w:val="left" w:pos="2697"/>
          <w:tab w:val="left" w:pos="3264"/>
          <w:tab w:val="left" w:pos="4896"/>
          <w:tab w:val="left" w:pos="6005"/>
          <w:tab w:val="left" w:pos="7085"/>
          <w:tab w:val="left" w:pos="7498"/>
        </w:tabs>
        <w:adjustRightInd/>
        <w:snapToGrid/>
        <w:spacing w:line="400" w:lineRule="exact"/>
        <w:ind w:left="0" w:firstLine="480" w:firstLineChars="200"/>
        <w:jc w:val="both"/>
        <w:rPr>
          <w:rFonts w:hint="eastAsia" w:ascii="宋体" w:hAnsi="宋体" w:eastAsia="宋体" w:cs="宋体"/>
          <w:sz w:val="24"/>
          <w:szCs w:val="24"/>
        </w:rPr>
      </w:pPr>
      <w:r>
        <w:rPr>
          <w:rFonts w:hint="eastAsia" w:ascii="宋体" w:hAnsi="宋体" w:eastAsia="宋体" w:cs="宋体"/>
          <w:color w:val="auto"/>
          <w:szCs w:val="24"/>
        </w:rPr>
        <w:t>3.6</w:t>
      </w:r>
      <w:r>
        <w:rPr>
          <w:rFonts w:hint="eastAsia" w:ascii="宋体" w:hAnsi="宋体" w:eastAsia="宋体" w:cs="宋体"/>
          <w:szCs w:val="24"/>
        </w:rPr>
        <w:t>拟派项目负责人具有注册在潜在承包人企业的</w:t>
      </w:r>
      <w:r>
        <w:rPr>
          <w:rFonts w:hint="eastAsia" w:ascii="宋体" w:hAnsi="宋体" w:eastAsia="宋体" w:cs="宋体"/>
          <w:szCs w:val="24"/>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szCs w:val="24"/>
          <w:u w:val="single"/>
        </w:rPr>
        <w:t>级</w:t>
      </w:r>
      <w:r>
        <w:rPr>
          <w:rFonts w:hint="eastAsia" w:ascii="宋体" w:hAnsi="宋体" w:eastAsia="宋体" w:cs="宋体"/>
          <w:szCs w:val="24"/>
        </w:rPr>
        <w:t>建造师执业资格，</w:t>
      </w:r>
      <w:r>
        <w:rPr>
          <w:rFonts w:hint="eastAsia" w:ascii="宋体" w:hAnsi="宋体" w:eastAsia="宋体" w:cs="宋体"/>
          <w:sz w:val="24"/>
          <w:szCs w:val="24"/>
        </w:rPr>
        <w:t>同时具有对应有效的安全生产考核合格证书；</w:t>
      </w:r>
    </w:p>
    <w:p w14:paraId="1987E4DC">
      <w:pPr>
        <w:tabs>
          <w:tab w:val="left" w:pos="1343"/>
          <w:tab w:val="left" w:pos="2697"/>
          <w:tab w:val="left" w:pos="3264"/>
          <w:tab w:val="left" w:pos="4896"/>
          <w:tab w:val="left" w:pos="6005"/>
          <w:tab w:val="left" w:pos="7085"/>
          <w:tab w:val="left" w:pos="7498"/>
        </w:tabs>
        <w:adjustRightInd/>
        <w:snapToGrid/>
        <w:ind w:firstLine="480" w:firstLineChars="200"/>
        <w:jc w:val="both"/>
        <w:rPr>
          <w:rFonts w:ascii="宋体" w:hAnsi="宋体" w:eastAsia="宋体" w:cs="宋体"/>
          <w:szCs w:val="24"/>
        </w:rPr>
      </w:pPr>
      <w:r>
        <w:rPr>
          <w:rFonts w:hint="eastAsia" w:ascii="宋体" w:hAnsi="宋体" w:eastAsia="宋体" w:cs="宋体"/>
          <w:color w:val="auto"/>
          <w:szCs w:val="24"/>
        </w:rPr>
        <w:t>■3.7</w:t>
      </w:r>
      <w:r>
        <w:rPr>
          <w:rFonts w:hint="eastAsia" w:ascii="宋体" w:hAnsi="宋体" w:eastAsia="宋体" w:cs="宋体"/>
          <w:szCs w:val="24"/>
        </w:rPr>
        <w:t>如在响应截止日存在有其他任何在建合同工程的，不得以拟派项目负责人的身份参加本次交易；</w:t>
      </w:r>
    </w:p>
    <w:p w14:paraId="78400EDD">
      <w:pPr>
        <w:tabs>
          <w:tab w:val="left" w:pos="1343"/>
          <w:tab w:val="left" w:pos="2697"/>
          <w:tab w:val="left" w:pos="3264"/>
          <w:tab w:val="left" w:pos="4896"/>
          <w:tab w:val="left" w:pos="6005"/>
          <w:tab w:val="left" w:pos="7085"/>
          <w:tab w:val="left" w:pos="7498"/>
        </w:tabs>
        <w:adjustRightInd/>
        <w:snapToGrid/>
        <w:ind w:firstLine="480" w:firstLineChars="200"/>
        <w:jc w:val="both"/>
        <w:rPr>
          <w:rFonts w:ascii="宋体" w:hAnsi="宋体" w:eastAsia="宋体" w:cs="宋体"/>
          <w:szCs w:val="24"/>
        </w:rPr>
      </w:pPr>
      <w:r>
        <w:rPr>
          <w:rFonts w:hint="eastAsia" w:ascii="宋体" w:hAnsi="宋体" w:eastAsia="宋体" w:cs="宋体"/>
          <w:bCs/>
          <w:color w:val="auto"/>
          <w:kern w:val="2"/>
          <w:szCs w:val="24"/>
          <w:highlight w:val="none"/>
          <w:lang w:eastAsia="zh-CN"/>
        </w:rPr>
        <w:t>□</w:t>
      </w:r>
      <w:r>
        <w:rPr>
          <w:rFonts w:hint="eastAsia" w:ascii="宋体" w:hAnsi="宋体" w:eastAsia="宋体" w:cs="宋体"/>
          <w:color w:val="auto"/>
          <w:szCs w:val="24"/>
        </w:rPr>
        <w:t>3.8</w:t>
      </w:r>
      <w:r>
        <w:rPr>
          <w:rFonts w:hint="eastAsia" w:ascii="宋体" w:hAnsi="宋体" w:eastAsia="宋体" w:cs="宋体"/>
          <w:szCs w:val="24"/>
        </w:rPr>
        <w:t>项目经理需配合办理发包备案手续，具体要求：</w:t>
      </w:r>
      <w:r>
        <w:rPr>
          <w:rFonts w:hint="eastAsia" w:ascii="宋体" w:hAnsi="宋体" w:eastAsia="宋体" w:cs="宋体"/>
          <w:szCs w:val="24"/>
          <w:u w:val="single"/>
        </w:rPr>
        <w:t xml:space="preserve">          </w:t>
      </w:r>
      <w:r>
        <w:rPr>
          <w:rFonts w:hint="eastAsia" w:ascii="宋体" w:hAnsi="宋体" w:eastAsia="宋体" w:cs="宋体"/>
          <w:szCs w:val="24"/>
        </w:rPr>
        <w:t>；</w:t>
      </w:r>
    </w:p>
    <w:p w14:paraId="67B2C286">
      <w:pPr>
        <w:tabs>
          <w:tab w:val="left" w:pos="1343"/>
          <w:tab w:val="left" w:pos="2697"/>
          <w:tab w:val="left" w:pos="3264"/>
          <w:tab w:val="left" w:pos="4896"/>
          <w:tab w:val="left" w:pos="6005"/>
          <w:tab w:val="left" w:pos="7085"/>
          <w:tab w:val="left" w:pos="7498"/>
        </w:tabs>
        <w:adjustRightInd/>
        <w:snapToGrid/>
        <w:ind w:firstLine="480" w:firstLineChars="200"/>
        <w:jc w:val="both"/>
        <w:rPr>
          <w:rFonts w:ascii="宋体" w:hAnsi="宋体" w:eastAsia="宋体" w:cs="宋体"/>
          <w:color w:val="auto"/>
          <w:szCs w:val="24"/>
        </w:rPr>
      </w:pPr>
      <w:r>
        <w:rPr>
          <w:rFonts w:hint="eastAsia" w:ascii="宋体" w:hAnsi="宋体" w:eastAsia="宋体" w:cs="宋体"/>
          <w:snapToGrid w:val="0"/>
          <w:color w:val="auto"/>
          <w:sz w:val="24"/>
          <w:szCs w:val="24"/>
          <w:lang w:val="en-US" w:eastAsia="zh-CN" w:bidi="ar-SA"/>
        </w:rPr>
        <w:t>■</w:t>
      </w:r>
      <w:r>
        <w:rPr>
          <w:rFonts w:hint="eastAsia" w:ascii="宋体" w:hAnsi="宋体" w:eastAsia="宋体" w:cs="宋体"/>
          <w:color w:val="auto"/>
          <w:szCs w:val="24"/>
          <w:u w:val="single"/>
        </w:rPr>
        <w:t>3.9拟派项目负责人具有具有市场监督管理部门颁发的《特种设备安全管理和作业人员证》，项目代号为A。</w:t>
      </w:r>
    </w:p>
    <w:p w14:paraId="6481A2B6">
      <w:pPr>
        <w:pStyle w:val="15"/>
        <w:adjustRightInd/>
        <w:snapToGrid/>
        <w:spacing w:beforeAutospacing="0" w:afterAutospacing="0" w:line="400" w:lineRule="exact"/>
        <w:ind w:firstLine="480" w:firstLineChars="200"/>
        <w:rPr>
          <w:rFonts w:ascii="宋体" w:hAnsi="宋体" w:eastAsia="宋体" w:cs="宋体"/>
          <w:kern w:val="2"/>
          <w:szCs w:val="24"/>
        </w:rPr>
      </w:pPr>
      <w:r>
        <w:rPr>
          <w:rFonts w:hint="eastAsia" w:ascii="宋体" w:hAnsi="宋体" w:eastAsia="宋体" w:cs="宋体"/>
          <w:kern w:val="2"/>
          <w:szCs w:val="24"/>
        </w:rPr>
        <w:t>注：上述证明资料须齐全、有效，复印件应加盖潜在承包人单位公章，并在响应文件中提供。</w:t>
      </w:r>
    </w:p>
    <w:p w14:paraId="55CEA69E">
      <w:pPr>
        <w:rPr>
          <w:rFonts w:ascii="Times New Roman" w:hAnsi="Times New Roman" w:eastAsia="宋体" w:cs="Times New Roman"/>
          <w:b/>
          <w:sz w:val="32"/>
          <w:szCs w:val="32"/>
        </w:rPr>
      </w:pPr>
      <w:r>
        <w:rPr>
          <w:rFonts w:ascii="Times New Roman" w:hAnsi="Times New Roman" w:eastAsia="宋体" w:cs="Times New Roman"/>
          <w:b/>
          <w:sz w:val="32"/>
          <w:szCs w:val="32"/>
        </w:rPr>
        <w:t>4.交易方式</w:t>
      </w:r>
    </w:p>
    <w:p w14:paraId="5142D99D">
      <w:pPr>
        <w:adjustRightInd/>
        <w:snapToGrid/>
        <w:spacing w:line="400" w:lineRule="exac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本项目交易方式采用</w:t>
      </w:r>
      <w:r>
        <w:rPr>
          <w:rFonts w:hint="eastAsia" w:ascii="宋体" w:hAnsi="宋体" w:eastAsia="宋体"/>
          <w:szCs w:val="24"/>
          <w:lang w:eastAsia="zh-CN"/>
        </w:rPr>
        <w:t>公开竞标</w:t>
      </w:r>
      <w:r>
        <w:rPr>
          <w:rFonts w:ascii="Times New Roman" w:hAnsi="Times New Roman" w:eastAsia="宋体" w:cs="Times New Roman"/>
          <w:color w:val="auto"/>
          <w:szCs w:val="24"/>
        </w:rPr>
        <w:t>。</w:t>
      </w:r>
    </w:p>
    <w:p w14:paraId="3FBC9242">
      <w:pPr>
        <w:rPr>
          <w:rFonts w:ascii="Times New Roman" w:hAnsi="Times New Roman" w:eastAsia="宋体" w:cs="Times New Roman"/>
          <w:sz w:val="22"/>
          <w:szCs w:val="22"/>
        </w:rPr>
      </w:pPr>
      <w:r>
        <w:rPr>
          <w:rFonts w:ascii="Times New Roman" w:hAnsi="Times New Roman" w:eastAsia="宋体" w:cs="Times New Roman"/>
          <w:b/>
          <w:sz w:val="32"/>
          <w:szCs w:val="32"/>
        </w:rPr>
        <w:t>5.交易文件的获取</w:t>
      </w:r>
    </w:p>
    <w:p w14:paraId="15291615">
      <w:pPr>
        <w:pStyle w:val="21"/>
        <w:kinsoku/>
        <w:autoSpaceDE/>
        <w:autoSpaceDN/>
        <w:adjustRightInd/>
        <w:snapToGrid/>
        <w:spacing w:before="0" w:beforeAutospacing="0" w:after="0" w:afterAutospacing="0" w:line="360" w:lineRule="auto"/>
        <w:ind w:firstLine="480" w:firstLineChars="200"/>
        <w:jc w:val="both"/>
        <w:textAlignment w:val="auto"/>
        <w:rPr>
          <w:rFonts w:eastAsia="宋体"/>
          <w:szCs w:val="24"/>
        </w:rPr>
      </w:pPr>
      <w:r>
        <w:rPr>
          <w:rFonts w:eastAsia="宋体"/>
          <w:szCs w:val="24"/>
        </w:rPr>
        <w:t>5.1</w:t>
      </w:r>
      <w:r>
        <w:rPr>
          <w:rFonts w:hint="eastAsia" w:eastAsia="宋体"/>
          <w:szCs w:val="24"/>
        </w:rPr>
        <w:t>获取方式：</w:t>
      </w:r>
      <w:r>
        <w:rPr>
          <w:rFonts w:hint="eastAsia" w:eastAsia="宋体"/>
          <w:szCs w:val="24"/>
          <w:lang w:val="zh-CN"/>
        </w:rPr>
        <w:t>本项目</w:t>
      </w:r>
      <w:r>
        <w:rPr>
          <w:rFonts w:hint="eastAsia" w:eastAsia="宋体"/>
          <w:szCs w:val="24"/>
        </w:rPr>
        <w:t>交易</w:t>
      </w:r>
      <w:r>
        <w:rPr>
          <w:rFonts w:hint="eastAsia" w:eastAsia="宋体"/>
          <w:szCs w:val="24"/>
          <w:lang w:val="zh-CN"/>
        </w:rPr>
        <w:t>文件、相关技术资料和图纸、补充</w:t>
      </w:r>
      <w:r>
        <w:rPr>
          <w:rFonts w:hint="eastAsia" w:eastAsia="宋体"/>
          <w:szCs w:val="24"/>
        </w:rPr>
        <w:t>更正</w:t>
      </w:r>
      <w:r>
        <w:rPr>
          <w:rFonts w:hint="eastAsia" w:eastAsia="宋体"/>
          <w:szCs w:val="24"/>
          <w:lang w:val="zh-CN"/>
        </w:rPr>
        <w:t>文件</w:t>
      </w:r>
      <w:r>
        <w:rPr>
          <w:rFonts w:hint="eastAsia" w:eastAsia="宋体"/>
          <w:szCs w:val="24"/>
        </w:rPr>
        <w:t>（答疑、澄清）均</w:t>
      </w:r>
      <w:r>
        <w:rPr>
          <w:rFonts w:hint="eastAsia" w:eastAsia="宋体"/>
          <w:szCs w:val="24"/>
          <w:lang w:val="zh-CN"/>
        </w:rPr>
        <w:t>以网上下载方式</w:t>
      </w:r>
      <w:r>
        <w:rPr>
          <w:rFonts w:hint="eastAsia" w:eastAsia="宋体"/>
          <w:szCs w:val="24"/>
        </w:rPr>
        <w:t>发放，潜在承包人登录</w:t>
      </w:r>
      <w:r>
        <w:rPr>
          <w:rFonts w:hint="eastAsia" w:eastAsia="宋体"/>
          <w:color w:val="auto"/>
          <w:szCs w:val="24"/>
          <w:u w:val="single"/>
        </w:rPr>
        <w:t>招必得-建易招标采购平台（</w:t>
      </w:r>
      <w:r>
        <w:rPr>
          <w:rFonts w:eastAsia="宋体"/>
          <w:szCs w:val="24"/>
          <w:u w:val="single"/>
        </w:rPr>
        <w:t>https://www.zhaobide.com/</w:t>
      </w:r>
      <w:r>
        <w:rPr>
          <w:rFonts w:hint="eastAsia" w:eastAsia="宋体"/>
          <w:szCs w:val="24"/>
          <w:u w:val="single"/>
        </w:rPr>
        <w:t>）</w:t>
      </w:r>
      <w:r>
        <w:rPr>
          <w:rFonts w:hint="eastAsia" w:eastAsia="宋体"/>
          <w:szCs w:val="24"/>
        </w:rPr>
        <w:t>自行下载交易文件（潜在承包人</w:t>
      </w:r>
      <w:r>
        <w:rPr>
          <w:rFonts w:hint="eastAsia" w:eastAsia="宋体"/>
          <w:szCs w:val="24"/>
          <w:lang w:val="zh-CN"/>
        </w:rPr>
        <w:t>在网站公告页查看公告附件信息</w:t>
      </w:r>
      <w:r>
        <w:rPr>
          <w:rFonts w:hint="eastAsia" w:eastAsia="宋体"/>
          <w:szCs w:val="24"/>
        </w:rPr>
        <w:t>，交易</w:t>
      </w:r>
      <w:r>
        <w:rPr>
          <w:rFonts w:hint="eastAsia" w:eastAsia="宋体"/>
          <w:szCs w:val="24"/>
          <w:lang w:val="zh-CN"/>
        </w:rPr>
        <w:t>文件需登录后进行下载</w:t>
      </w:r>
      <w:r>
        <w:rPr>
          <w:rFonts w:hint="eastAsia" w:eastAsia="宋体"/>
          <w:szCs w:val="24"/>
        </w:rPr>
        <w:t>）；</w:t>
      </w:r>
    </w:p>
    <w:p w14:paraId="593B78AC">
      <w:pPr>
        <w:pStyle w:val="21"/>
        <w:kinsoku/>
        <w:autoSpaceDE/>
        <w:autoSpaceDN/>
        <w:adjustRightInd/>
        <w:snapToGrid/>
        <w:spacing w:before="0" w:beforeAutospacing="0" w:after="0" w:afterAutospacing="0" w:line="360" w:lineRule="auto"/>
        <w:ind w:firstLine="480" w:firstLineChars="200"/>
        <w:jc w:val="both"/>
        <w:textAlignment w:val="auto"/>
        <w:rPr>
          <w:rFonts w:eastAsia="宋体"/>
          <w:szCs w:val="24"/>
        </w:rPr>
      </w:pPr>
      <w:r>
        <w:rPr>
          <w:rFonts w:hint="eastAsia" w:eastAsia="宋体"/>
          <w:szCs w:val="24"/>
        </w:rPr>
        <w:t>5.2获取时间与提疑时间：见交易公告或响应邀请书；</w:t>
      </w:r>
    </w:p>
    <w:p w14:paraId="7D41FF9C">
      <w:pPr>
        <w:spacing w:line="360" w:lineRule="auto"/>
        <w:ind w:firstLine="480" w:firstLineChars="200"/>
        <w:jc w:val="both"/>
        <w:rPr>
          <w:rFonts w:ascii="宋体" w:hAnsi="宋体" w:eastAsia="宋体" w:cs="宋体"/>
          <w:szCs w:val="24"/>
        </w:rPr>
      </w:pPr>
      <w:r>
        <w:rPr>
          <w:rFonts w:hint="eastAsia" w:ascii="宋体" w:hAnsi="宋体" w:eastAsia="宋体" w:cs="宋体"/>
          <w:color w:val="auto"/>
          <w:szCs w:val="24"/>
        </w:rPr>
        <w:t>■</w:t>
      </w:r>
      <w:r>
        <w:rPr>
          <w:rFonts w:hint="eastAsia" w:ascii="宋体" w:hAnsi="宋体" w:eastAsia="宋体" w:cs="宋体"/>
          <w:bCs/>
          <w:kern w:val="2"/>
          <w:szCs w:val="24"/>
        </w:rPr>
        <w:t xml:space="preserve">5.3 </w:t>
      </w:r>
      <w:r>
        <w:rPr>
          <w:rFonts w:hint="eastAsia" w:ascii="宋体" w:hAnsi="宋体" w:eastAsia="宋体" w:cs="宋体"/>
          <w:color w:val="auto"/>
          <w:szCs w:val="24"/>
        </w:rPr>
        <w:t>发包人将对潜在承包人疑问作出统一的解答，并以补充更正文件的形式发出，截止时间</w:t>
      </w:r>
      <w:r>
        <w:rPr>
          <w:rFonts w:hint="eastAsia" w:ascii="宋体" w:hAnsi="宋体" w:eastAsia="宋体" w:cs="宋体"/>
          <w:szCs w:val="24"/>
        </w:rPr>
        <w:t>见交易公告</w:t>
      </w:r>
      <w:r>
        <w:rPr>
          <w:rFonts w:hint="eastAsia" w:ascii="宋体" w:hAnsi="宋体" w:eastAsia="宋体" w:cs="宋体"/>
          <w:color w:val="auto"/>
          <w:szCs w:val="24"/>
        </w:rPr>
        <w:t>（按前附表规定不作澄清或提疑的项目除外）。</w:t>
      </w:r>
    </w:p>
    <w:p w14:paraId="19558428">
      <w:pPr>
        <w:pStyle w:val="21"/>
        <w:kinsoku/>
        <w:autoSpaceDE/>
        <w:autoSpaceDN/>
        <w:adjustRightInd/>
        <w:snapToGrid/>
        <w:spacing w:before="0" w:beforeAutospacing="0" w:after="0" w:afterAutospacing="0" w:line="360" w:lineRule="auto"/>
        <w:ind w:firstLine="480" w:firstLineChars="200"/>
        <w:jc w:val="both"/>
        <w:textAlignment w:val="auto"/>
        <w:rPr>
          <w:rFonts w:eastAsia="宋体"/>
          <w:szCs w:val="24"/>
        </w:rPr>
      </w:pPr>
      <w:r>
        <w:rPr>
          <w:rFonts w:eastAsia="宋体"/>
          <w:szCs w:val="24"/>
        </w:rPr>
        <w:t>5.</w:t>
      </w:r>
      <w:r>
        <w:rPr>
          <w:rFonts w:hint="eastAsia" w:eastAsia="宋体"/>
          <w:szCs w:val="24"/>
        </w:rPr>
        <w:t>4本项目相关公告在</w:t>
      </w:r>
      <w:r>
        <w:rPr>
          <w:rFonts w:hint="eastAsia" w:eastAsia="宋体"/>
          <w:b/>
          <w:bCs/>
          <w:szCs w:val="24"/>
          <w:u w:val="single"/>
        </w:rPr>
        <w:t>杭州城投采购平台（https://jczx.hzcjtz.com）</w:t>
      </w:r>
      <w:r>
        <w:rPr>
          <w:rFonts w:hint="eastAsia" w:eastAsia="宋体"/>
          <w:szCs w:val="24"/>
          <w:u w:val="single"/>
        </w:rPr>
        <w:t>、</w:t>
      </w:r>
      <w:r>
        <w:rPr>
          <w:rFonts w:hint="eastAsia" w:eastAsia="宋体"/>
          <w:b/>
          <w:bCs/>
          <w:color w:val="auto"/>
          <w:szCs w:val="24"/>
          <w:u w:val="single"/>
        </w:rPr>
        <w:t>招必得-建易招标采购平台（</w:t>
      </w:r>
      <w:r>
        <w:rPr>
          <w:rFonts w:eastAsia="宋体"/>
          <w:b/>
          <w:bCs/>
          <w:szCs w:val="24"/>
          <w:u w:val="single"/>
        </w:rPr>
        <w:t>https://www.zhaobide.com/</w:t>
      </w:r>
      <w:r>
        <w:rPr>
          <w:rFonts w:hint="eastAsia" w:eastAsia="宋体"/>
          <w:b/>
          <w:bCs/>
          <w:szCs w:val="24"/>
          <w:u w:val="single"/>
        </w:rPr>
        <w:t>）</w:t>
      </w:r>
      <w:r>
        <w:rPr>
          <w:rFonts w:hint="eastAsia" w:eastAsia="宋体"/>
          <w:szCs w:val="24"/>
          <w:u w:val="single"/>
        </w:rPr>
        <w:t>、（其他发布公告的媒介名称，若有）</w:t>
      </w:r>
      <w:r>
        <w:rPr>
          <w:rFonts w:hint="eastAsia" w:eastAsia="宋体"/>
          <w:szCs w:val="24"/>
        </w:rPr>
        <w:t>发布，如公告内容不一致的以</w:t>
      </w:r>
      <w:r>
        <w:rPr>
          <w:rFonts w:hint="eastAsia" w:eastAsia="宋体"/>
          <w:color w:val="auto"/>
          <w:szCs w:val="24"/>
        </w:rPr>
        <w:t>招必得-建易招标采购平台</w:t>
      </w:r>
      <w:r>
        <w:rPr>
          <w:rFonts w:hint="eastAsia" w:eastAsia="宋体"/>
          <w:szCs w:val="24"/>
        </w:rPr>
        <w:t>（https://www.zhaobide.com/）发布的信息为准。</w:t>
      </w:r>
    </w:p>
    <w:p w14:paraId="7E5DBC1C">
      <w:pPr>
        <w:rPr>
          <w:rFonts w:ascii="Times New Roman" w:hAnsi="Times New Roman" w:eastAsia="宋体" w:cs="Times New Roman"/>
          <w:b/>
          <w:sz w:val="32"/>
          <w:szCs w:val="32"/>
        </w:rPr>
      </w:pPr>
      <w:r>
        <w:rPr>
          <w:rFonts w:ascii="Times New Roman" w:hAnsi="Times New Roman" w:eastAsia="宋体" w:cs="Times New Roman"/>
          <w:b/>
          <w:sz w:val="32"/>
          <w:szCs w:val="32"/>
        </w:rPr>
        <w:t>6.响应文件的递交</w:t>
      </w:r>
    </w:p>
    <w:p w14:paraId="440AD486">
      <w:pPr>
        <w:pStyle w:val="21"/>
        <w:kinsoku/>
        <w:autoSpaceDE/>
        <w:autoSpaceDN/>
        <w:adjustRightInd/>
        <w:snapToGrid/>
        <w:spacing w:before="0" w:beforeAutospacing="0" w:after="0" w:afterAutospacing="0" w:line="400" w:lineRule="exact"/>
        <w:ind w:firstLine="480" w:firstLineChars="200"/>
        <w:jc w:val="both"/>
        <w:textAlignment w:val="auto"/>
        <w:rPr>
          <w:rFonts w:eastAsia="宋体"/>
          <w:szCs w:val="24"/>
        </w:rPr>
      </w:pPr>
      <w:r>
        <w:rPr>
          <w:rFonts w:hint="eastAsia" w:eastAsia="宋体"/>
          <w:szCs w:val="24"/>
        </w:rPr>
        <w:t>6.1响应</w:t>
      </w:r>
      <w:r>
        <w:rPr>
          <w:rFonts w:hint="eastAsia" w:eastAsia="宋体"/>
          <w:szCs w:val="24"/>
          <w:lang w:val="zh-CN"/>
        </w:rPr>
        <w:t>文件递交截止时间</w:t>
      </w:r>
      <w:r>
        <w:rPr>
          <w:rFonts w:hint="eastAsia" w:eastAsia="宋体"/>
          <w:bCs/>
          <w:szCs w:val="24"/>
        </w:rPr>
        <w:t>（投标截止时间）</w:t>
      </w:r>
      <w:r>
        <w:rPr>
          <w:rFonts w:hint="eastAsia" w:eastAsia="宋体"/>
          <w:szCs w:val="24"/>
        </w:rPr>
        <w:t>：见交易公告或响应邀请书；开标时间：见交易公告或响应邀请书</w:t>
      </w:r>
      <w:r>
        <w:rPr>
          <w:rFonts w:hint="eastAsia" w:eastAsia="宋体"/>
          <w:color w:val="auto"/>
          <w:szCs w:val="24"/>
        </w:rPr>
        <w:t>。</w:t>
      </w:r>
    </w:p>
    <w:p w14:paraId="39A26046">
      <w:pPr>
        <w:pStyle w:val="15"/>
        <w:kinsoku/>
        <w:autoSpaceDE/>
        <w:autoSpaceDN/>
        <w:adjustRightInd/>
        <w:snapToGrid/>
        <w:spacing w:beforeAutospacing="0" w:afterAutospacing="0" w:line="400" w:lineRule="exact"/>
        <w:ind w:firstLine="480" w:firstLineChars="200"/>
        <w:textAlignment w:val="auto"/>
        <w:rPr>
          <w:rFonts w:ascii="宋体" w:hAnsi="宋体" w:eastAsia="宋体" w:cs="宋体"/>
          <w:szCs w:val="24"/>
        </w:rPr>
      </w:pPr>
      <w:r>
        <w:rPr>
          <w:rFonts w:ascii="宋体" w:hAnsi="宋体" w:eastAsia="宋体" w:cs="宋体"/>
          <w:color w:val="auto"/>
          <w:szCs w:val="24"/>
        </w:rPr>
        <w:t>6.2</w:t>
      </w:r>
      <w:r>
        <w:rPr>
          <w:rFonts w:hint="eastAsia" w:ascii="宋体" w:hAnsi="宋体" w:eastAsia="宋体" w:cs="宋体"/>
          <w:color w:val="auto"/>
          <w:szCs w:val="24"/>
        </w:rPr>
        <w:t>交易担保交纳</w:t>
      </w:r>
      <w:r>
        <w:rPr>
          <w:rFonts w:hint="eastAsia" w:ascii="宋体" w:hAnsi="宋体" w:eastAsia="宋体" w:cs="宋体"/>
          <w:szCs w:val="24"/>
        </w:rPr>
        <w:t>：</w:t>
      </w:r>
      <w:r>
        <w:rPr>
          <w:rFonts w:hint="eastAsia" w:ascii="宋体" w:hAnsi="宋体" w:eastAsia="宋体" w:cs="宋体"/>
          <w:bCs/>
          <w:szCs w:val="24"/>
        </w:rPr>
        <w:t>本项目</w:t>
      </w:r>
      <w:r>
        <w:rPr>
          <w:rFonts w:hint="eastAsia" w:asciiTheme="minorEastAsia" w:hAnsiTheme="minorEastAsia" w:eastAsiaTheme="minorEastAsia" w:cstheme="minorEastAsia"/>
          <w:szCs w:val="24"/>
          <w:u w:val="single"/>
          <w:lang w:eastAsia="zh-CN"/>
        </w:rPr>
        <w:t>需要</w:t>
      </w:r>
      <w:r>
        <w:rPr>
          <w:rFonts w:hint="eastAsia" w:ascii="宋体" w:hAnsi="宋体" w:eastAsia="宋体" w:cs="宋体"/>
          <w:bCs/>
          <w:szCs w:val="24"/>
        </w:rPr>
        <w:t>交纳</w:t>
      </w:r>
      <w:r>
        <w:rPr>
          <w:rFonts w:hint="eastAsia" w:ascii="宋体" w:hAnsi="宋体" w:eastAsia="宋体" w:cs="宋体"/>
          <w:color w:val="auto"/>
          <w:szCs w:val="24"/>
        </w:rPr>
        <w:t>交易担保</w:t>
      </w:r>
      <w:r>
        <w:rPr>
          <w:rFonts w:hint="eastAsia" w:ascii="宋体" w:hAnsi="宋体" w:eastAsia="宋体" w:cs="宋体"/>
          <w:bCs/>
          <w:szCs w:val="24"/>
        </w:rPr>
        <w:t>。交纳截止期限：见交易公告或响应邀请书；交纳</w:t>
      </w:r>
      <w:r>
        <w:rPr>
          <w:rFonts w:hint="eastAsia" w:ascii="宋体" w:hAnsi="宋体" w:eastAsia="宋体" w:cs="宋体"/>
          <w:color w:val="auto"/>
          <w:szCs w:val="24"/>
        </w:rPr>
        <w:t>担保</w:t>
      </w:r>
      <w:r>
        <w:rPr>
          <w:rFonts w:hint="eastAsia" w:ascii="宋体" w:hAnsi="宋体" w:eastAsia="宋体" w:cs="宋体"/>
          <w:szCs w:val="24"/>
        </w:rPr>
        <w:t>的具体要求详见交易文件前附表；</w:t>
      </w:r>
    </w:p>
    <w:p w14:paraId="688B75E3">
      <w:pPr>
        <w:pStyle w:val="21"/>
        <w:kinsoku/>
        <w:autoSpaceDE/>
        <w:autoSpaceDN/>
        <w:adjustRightInd/>
        <w:snapToGrid/>
        <w:spacing w:before="0" w:beforeAutospacing="0" w:after="0" w:afterAutospacing="0" w:line="400" w:lineRule="exact"/>
        <w:ind w:firstLine="480" w:firstLineChars="200"/>
        <w:jc w:val="both"/>
        <w:textAlignment w:val="auto"/>
        <w:rPr>
          <w:rFonts w:eastAsia="宋体"/>
          <w:szCs w:val="24"/>
        </w:rPr>
      </w:pPr>
      <w:r>
        <w:rPr>
          <w:rFonts w:hint="eastAsia" w:eastAsia="宋体"/>
          <w:szCs w:val="24"/>
        </w:rPr>
        <w:t>6.3响应文件递交方式：</w:t>
      </w:r>
    </w:p>
    <w:p w14:paraId="709721AD">
      <w:pPr>
        <w:pStyle w:val="21"/>
        <w:kinsoku/>
        <w:autoSpaceDE/>
        <w:autoSpaceDN/>
        <w:adjustRightInd/>
        <w:snapToGrid/>
        <w:spacing w:before="0" w:beforeAutospacing="0" w:after="0" w:afterAutospacing="0" w:line="400" w:lineRule="exact"/>
        <w:ind w:firstLine="482" w:firstLineChars="200"/>
        <w:jc w:val="both"/>
        <w:textAlignment w:val="auto"/>
        <w:rPr>
          <w:rFonts w:eastAsia="宋体"/>
          <w:b/>
          <w:bCs/>
          <w:szCs w:val="24"/>
        </w:rPr>
      </w:pPr>
      <w:r>
        <w:rPr>
          <w:rFonts w:hint="eastAsia" w:eastAsia="宋体"/>
          <w:b/>
          <w:bCs/>
          <w:szCs w:val="24"/>
        </w:rPr>
        <w:t>线上递交（电子标）：本项目采用电子招投标交易方式，潜在承包人在响应文件递交截止时间前使用专用密钥加密上传电子响应文件至招必得-建易招标采购平台（https://www.zhaobide.com/）；开标</w:t>
      </w:r>
      <w:r>
        <w:rPr>
          <w:rFonts w:hint="eastAsia" w:eastAsia="宋体"/>
          <w:b/>
          <w:bCs/>
          <w:kern w:val="2"/>
          <w:szCs w:val="24"/>
        </w:rPr>
        <w:t>直播平台</w:t>
      </w:r>
      <w:r>
        <w:rPr>
          <w:rFonts w:hint="eastAsia" w:eastAsia="宋体"/>
          <w:b/>
          <w:bCs/>
          <w:szCs w:val="24"/>
        </w:rPr>
        <w:t>为</w:t>
      </w:r>
      <w:r>
        <w:rPr>
          <w:rFonts w:hint="eastAsia" w:eastAsia="宋体"/>
          <w:b/>
          <w:bCs/>
          <w:color w:val="auto"/>
          <w:szCs w:val="24"/>
        </w:rPr>
        <w:t>招必得-建易招标采购平台，</w:t>
      </w:r>
      <w:r>
        <w:rPr>
          <w:rFonts w:hint="eastAsia" w:eastAsia="宋体"/>
          <w:b/>
          <w:bCs/>
          <w:szCs w:val="24"/>
        </w:rPr>
        <w:t>潜在承包人代表无需到场。</w:t>
      </w:r>
    </w:p>
    <w:p w14:paraId="0445BBB1">
      <w:pPr>
        <w:pStyle w:val="21"/>
        <w:kinsoku/>
        <w:autoSpaceDE/>
        <w:autoSpaceDN/>
        <w:adjustRightInd/>
        <w:snapToGrid/>
        <w:spacing w:before="0" w:beforeAutospacing="0" w:after="0" w:afterAutospacing="0" w:line="400" w:lineRule="exact"/>
        <w:ind w:firstLine="482" w:firstLineChars="200"/>
        <w:jc w:val="both"/>
        <w:textAlignment w:val="auto"/>
        <w:rPr>
          <w:rFonts w:eastAsia="宋体"/>
          <w:szCs w:val="24"/>
        </w:rPr>
      </w:pPr>
      <w:r>
        <w:rPr>
          <w:rFonts w:hint="eastAsia" w:eastAsia="宋体"/>
          <w:b/>
          <w:bCs/>
          <w:szCs w:val="24"/>
        </w:rPr>
        <w:t>电子标交易的说明：①注册登记及认证：</w:t>
      </w:r>
      <w:r>
        <w:rPr>
          <w:rFonts w:hint="eastAsia" w:eastAsia="宋体"/>
          <w:szCs w:val="24"/>
        </w:rPr>
        <w:t>首次参加招必得-建易招标采购平台交易的潜在承包人，应于响应文件递交截止日前（法定公休日、法定节假日除外）完成“招必得-建易招标采购平台”注册登记和企业信息认证。</w:t>
      </w:r>
      <w:r>
        <w:rPr>
          <w:rFonts w:hint="eastAsia" w:eastAsia="宋体"/>
          <w:b/>
          <w:bCs/>
          <w:szCs w:val="24"/>
        </w:rPr>
        <w:t>②申领CA数字证书：</w:t>
      </w:r>
      <w:r>
        <w:rPr>
          <w:rFonts w:hint="eastAsia" w:eastAsia="宋体"/>
          <w:szCs w:val="24"/>
        </w:rPr>
        <w:t>取得CA数字证书后在系统里绑定，方可制作响应文件、参加交易活动（仅递交方式为“线上递交”的项目需要使用CA锁）；若已有杭州市公共资源交易中心天谷CA锁，不用重复办理（天谷CA办理客服电话：400-0878-198，QQ：2330352291）。</w:t>
      </w:r>
      <w:r>
        <w:rPr>
          <w:rFonts w:hint="eastAsia" w:eastAsia="宋体"/>
          <w:b/>
          <w:bCs/>
          <w:szCs w:val="24"/>
        </w:rPr>
        <w:t>③下载制作工具：</w:t>
      </w:r>
      <w:r>
        <w:rPr>
          <w:rFonts w:hint="eastAsia" w:eastAsia="宋体"/>
          <w:szCs w:val="24"/>
        </w:rPr>
        <w:t>在“招必得平台”首页&gt;工具下载页面，下载安装最新版“招必得-投标工具”（仅递交方式为“线上递交”的项目需要使用投标工具）。若对项目电子交易系统操作有疑问，可联系招必得平台客服（客服电话：400-0666-571，QQ：3007923378）。</w:t>
      </w:r>
    </w:p>
    <w:p w14:paraId="07F0D90E">
      <w:pPr>
        <w:kinsoku/>
        <w:autoSpaceDE/>
        <w:autoSpaceDN/>
        <w:adjustRightInd/>
        <w:snapToGrid/>
        <w:spacing w:line="400" w:lineRule="exact"/>
        <w:ind w:firstLine="440" w:firstLineChars="200"/>
        <w:jc w:val="both"/>
        <w:textAlignment w:val="auto"/>
        <w:rPr>
          <w:rFonts w:ascii="Times New Roman" w:hAnsi="Times New Roman" w:cs="Times New Roman"/>
          <w:sz w:val="22"/>
          <w:szCs w:val="22"/>
        </w:rPr>
      </w:pPr>
    </w:p>
    <w:p w14:paraId="2DF4D731">
      <w:pPr>
        <w:rPr>
          <w:rFonts w:ascii="Times New Roman" w:hAnsi="Times New Roman" w:eastAsia="宋体" w:cs="Times New Roman"/>
          <w:b/>
          <w:sz w:val="32"/>
          <w:szCs w:val="32"/>
        </w:rPr>
      </w:pPr>
      <w:r>
        <w:rPr>
          <w:rFonts w:ascii="Times New Roman" w:hAnsi="Times New Roman" w:eastAsia="宋体" w:cs="Times New Roman"/>
          <w:b/>
          <w:sz w:val="32"/>
          <w:szCs w:val="32"/>
        </w:rPr>
        <w:t>7.联系方式</w:t>
      </w:r>
    </w:p>
    <w:p w14:paraId="4A565108">
      <w:pPr>
        <w:pStyle w:val="7"/>
        <w:tabs>
          <w:tab w:val="left" w:pos="4228"/>
          <w:tab w:val="left" w:pos="7975"/>
        </w:tabs>
        <w:autoSpaceDE/>
        <w:autoSpaceDN/>
        <w:adjustRightInd/>
        <w:snapToGrid/>
        <w:spacing w:line="400" w:lineRule="exact"/>
        <w:ind w:left="0" w:firstLine="480" w:firstLineChars="200"/>
        <w:jc w:val="both"/>
        <w:textAlignment w:val="auto"/>
        <w:rPr>
          <w:rFonts w:asciiTheme="minorEastAsia" w:hAnsiTheme="minorEastAsia" w:eastAsiaTheme="minorEastAsia" w:cstheme="minorEastAsia"/>
          <w:szCs w:val="24"/>
          <w:u w:val="single"/>
        </w:rPr>
      </w:pPr>
      <w:r>
        <w:rPr>
          <w:rFonts w:hint="eastAsia" w:asciiTheme="minorEastAsia" w:hAnsiTheme="minorEastAsia" w:eastAsiaTheme="minorEastAsia" w:cstheme="minorEastAsia"/>
          <w:szCs w:val="24"/>
        </w:rPr>
        <w:t>发</w:t>
      </w:r>
      <w:r>
        <w:rPr>
          <w:rFonts w:asciiTheme="minorEastAsia" w:hAnsiTheme="minorEastAsia" w:eastAsiaTheme="minorEastAsia" w:cstheme="minorEastAsia"/>
          <w:szCs w:val="24"/>
        </w:rPr>
        <w:t xml:space="preserve"> </w:t>
      </w:r>
      <w:r>
        <w:rPr>
          <w:rFonts w:hint="eastAsia" w:asciiTheme="minorEastAsia" w:hAnsiTheme="minorEastAsia" w:eastAsiaTheme="minorEastAsia" w:cstheme="minorEastAsia"/>
          <w:szCs w:val="24"/>
        </w:rPr>
        <w:t>包</w:t>
      </w:r>
      <w:r>
        <w:rPr>
          <w:rFonts w:asciiTheme="minorEastAsia" w:hAnsiTheme="minorEastAsia" w:eastAsiaTheme="minorEastAsia" w:cstheme="minorEastAsia"/>
          <w:spacing w:val="2"/>
          <w:szCs w:val="24"/>
        </w:rPr>
        <w:t xml:space="preserve"> </w:t>
      </w:r>
      <w:r>
        <w:rPr>
          <w:rFonts w:hint="eastAsia" w:asciiTheme="minorEastAsia" w:hAnsiTheme="minorEastAsia" w:eastAsiaTheme="minorEastAsia" w:cstheme="minorEastAsia"/>
          <w:szCs w:val="24"/>
        </w:rPr>
        <w:t>人：</w:t>
      </w:r>
      <w:r>
        <w:rPr>
          <w:rFonts w:hint="eastAsia" w:asciiTheme="minorEastAsia" w:hAnsiTheme="minorEastAsia" w:eastAsiaTheme="minorEastAsia" w:cstheme="minorEastAsia"/>
          <w:color w:val="auto"/>
          <w:szCs w:val="24"/>
          <w:u w:val="single"/>
          <w:lang w:eastAsia="zh-CN"/>
        </w:rPr>
        <w:t>杭州临江环境能源有限公司</w:t>
      </w:r>
      <w:r>
        <w:rPr>
          <w:rFonts w:asciiTheme="minorEastAsia" w:hAnsiTheme="minorEastAsia" w:eastAsiaTheme="minorEastAsia" w:cstheme="minorEastAsia"/>
          <w:szCs w:val="24"/>
        </w:rPr>
        <w:t xml:space="preserve"> </w:t>
      </w:r>
    </w:p>
    <w:p w14:paraId="7C0593FB">
      <w:pPr>
        <w:pStyle w:val="7"/>
        <w:tabs>
          <w:tab w:val="left" w:pos="4228"/>
          <w:tab w:val="left" w:pos="7975"/>
        </w:tabs>
        <w:autoSpaceDE/>
        <w:autoSpaceDN/>
        <w:adjustRightInd/>
        <w:snapToGrid/>
        <w:spacing w:line="400" w:lineRule="exact"/>
        <w:ind w:left="0" w:firstLine="480" w:firstLineChars="200"/>
        <w:jc w:val="both"/>
        <w:textAlignment w:val="auto"/>
        <w:rPr>
          <w:rFonts w:asciiTheme="minorEastAsia" w:hAnsiTheme="minorEastAsia" w:eastAsiaTheme="minorEastAsia" w:cstheme="minorEastAsia"/>
          <w:w w:val="28"/>
          <w:szCs w:val="24"/>
          <w:u w:val="single"/>
        </w:rPr>
      </w:pPr>
      <w:r>
        <w:rPr>
          <w:rFonts w:hint="eastAsia" w:asciiTheme="minorEastAsia" w:hAnsiTheme="minorEastAsia" w:eastAsiaTheme="minorEastAsia" w:cstheme="minorEastAsia"/>
          <w:szCs w:val="24"/>
        </w:rPr>
        <w:t>地</w:t>
      </w:r>
      <w:r>
        <w:rPr>
          <w:rFonts w:asciiTheme="minorEastAsia" w:hAnsiTheme="minorEastAsia" w:eastAsiaTheme="minorEastAsia" w:cstheme="minorEastAsia"/>
          <w:szCs w:val="24"/>
        </w:rPr>
        <w:t xml:space="preserve">    </w:t>
      </w:r>
      <w:r>
        <w:rPr>
          <w:rFonts w:hint="eastAsia" w:asciiTheme="minorEastAsia" w:hAnsiTheme="minorEastAsia" w:eastAsiaTheme="minorEastAsia" w:cstheme="minorEastAsia"/>
          <w:szCs w:val="24"/>
        </w:rPr>
        <w:t>址：</w:t>
      </w:r>
      <w:r>
        <w:rPr>
          <w:rFonts w:hint="eastAsia" w:asciiTheme="minorEastAsia" w:hAnsiTheme="minorEastAsia" w:eastAsiaTheme="minorEastAsia" w:cstheme="minorEastAsia"/>
          <w:color w:val="auto"/>
          <w:szCs w:val="24"/>
          <w:u w:val="single"/>
          <w:lang w:eastAsia="zh-CN"/>
        </w:rPr>
        <w:t>浙江省杭州市钱塘区临江街道红十五路10388-123号</w:t>
      </w:r>
      <w:r>
        <w:rPr>
          <w:rFonts w:asciiTheme="minorEastAsia" w:hAnsiTheme="minorEastAsia" w:eastAsiaTheme="minorEastAsia" w:cstheme="minorEastAsia"/>
          <w:szCs w:val="24"/>
        </w:rPr>
        <w:t xml:space="preserve"> </w:t>
      </w:r>
    </w:p>
    <w:p w14:paraId="5B3BAA35">
      <w:pPr>
        <w:pStyle w:val="7"/>
        <w:tabs>
          <w:tab w:val="left" w:pos="4228"/>
          <w:tab w:val="left" w:pos="7975"/>
        </w:tabs>
        <w:autoSpaceDE/>
        <w:autoSpaceDN/>
        <w:adjustRightInd/>
        <w:snapToGrid/>
        <w:spacing w:line="400" w:lineRule="exact"/>
        <w:ind w:left="0" w:firstLine="480" w:firstLineChars="200"/>
        <w:jc w:val="both"/>
        <w:textAlignment w:val="auto"/>
        <w:rPr>
          <w:rFonts w:asciiTheme="minorEastAsia" w:hAnsiTheme="minorEastAsia" w:eastAsiaTheme="minorEastAsia" w:cstheme="minorEastAsia"/>
          <w:w w:val="28"/>
          <w:szCs w:val="24"/>
          <w:u w:val="single"/>
        </w:rPr>
      </w:pPr>
      <w:r>
        <w:rPr>
          <w:rFonts w:hint="eastAsia" w:asciiTheme="minorEastAsia" w:hAnsiTheme="minorEastAsia" w:eastAsiaTheme="minorEastAsia" w:cstheme="minorEastAsia"/>
          <w:szCs w:val="24"/>
        </w:rPr>
        <w:t>联</w:t>
      </w:r>
      <w:r>
        <w:rPr>
          <w:rFonts w:asciiTheme="minorEastAsia" w:hAnsiTheme="minorEastAsia" w:eastAsiaTheme="minorEastAsia" w:cstheme="minorEastAsia"/>
          <w:szCs w:val="24"/>
        </w:rPr>
        <w:t xml:space="preserve"> </w:t>
      </w:r>
      <w:r>
        <w:rPr>
          <w:rFonts w:hint="eastAsia" w:asciiTheme="minorEastAsia" w:hAnsiTheme="minorEastAsia" w:eastAsiaTheme="minorEastAsia" w:cstheme="minorEastAsia"/>
          <w:szCs w:val="24"/>
        </w:rPr>
        <w:t>系</w:t>
      </w:r>
      <w:r>
        <w:rPr>
          <w:rFonts w:asciiTheme="minorEastAsia" w:hAnsiTheme="minorEastAsia" w:eastAsiaTheme="minorEastAsia" w:cstheme="minorEastAsia"/>
          <w:spacing w:val="2"/>
          <w:szCs w:val="24"/>
        </w:rPr>
        <w:t xml:space="preserve"> </w:t>
      </w:r>
      <w:r>
        <w:rPr>
          <w:rFonts w:hint="eastAsia" w:asciiTheme="minorEastAsia" w:hAnsiTheme="minorEastAsia" w:eastAsiaTheme="minorEastAsia" w:cstheme="minorEastAsia"/>
          <w:szCs w:val="24"/>
        </w:rPr>
        <w:t>人：</w:t>
      </w:r>
      <w:r>
        <w:rPr>
          <w:rFonts w:hint="eastAsia" w:asciiTheme="minorEastAsia" w:hAnsiTheme="minorEastAsia" w:eastAsiaTheme="minorEastAsia" w:cstheme="minorEastAsia"/>
          <w:color w:val="auto"/>
          <w:szCs w:val="24"/>
          <w:u w:val="single"/>
          <w:lang w:eastAsia="zh-CN"/>
        </w:rPr>
        <w:t>华工</w:t>
      </w:r>
      <w:r>
        <w:rPr>
          <w:rFonts w:asciiTheme="minorEastAsia" w:hAnsiTheme="minorEastAsia" w:eastAsiaTheme="minorEastAsia" w:cstheme="minorEastAsia"/>
          <w:szCs w:val="24"/>
        </w:rPr>
        <w:t xml:space="preserve"> </w:t>
      </w:r>
    </w:p>
    <w:p w14:paraId="65E4E4B9">
      <w:pPr>
        <w:pStyle w:val="7"/>
        <w:tabs>
          <w:tab w:val="left" w:pos="4228"/>
          <w:tab w:val="left" w:pos="7975"/>
        </w:tabs>
        <w:autoSpaceDE/>
        <w:autoSpaceDN/>
        <w:adjustRightInd/>
        <w:snapToGrid/>
        <w:spacing w:line="400" w:lineRule="exact"/>
        <w:ind w:left="0" w:firstLine="480" w:firstLineChars="200"/>
        <w:jc w:val="both"/>
        <w:textAlignment w:val="auto"/>
        <w:rPr>
          <w:rFonts w:asciiTheme="minorEastAsia" w:hAnsiTheme="minorEastAsia" w:eastAsiaTheme="minorEastAsia" w:cstheme="minorEastAsia"/>
          <w:w w:val="28"/>
          <w:szCs w:val="24"/>
          <w:u w:val="single"/>
        </w:rPr>
      </w:pPr>
      <w:r>
        <w:rPr>
          <w:rFonts w:hint="eastAsia" w:asciiTheme="minorEastAsia" w:hAnsiTheme="minorEastAsia" w:eastAsiaTheme="minorEastAsia" w:cstheme="minorEastAsia"/>
          <w:szCs w:val="24"/>
        </w:rPr>
        <w:t>电</w:t>
      </w:r>
      <w:r>
        <w:rPr>
          <w:rFonts w:asciiTheme="minorEastAsia" w:hAnsiTheme="minorEastAsia" w:eastAsiaTheme="minorEastAsia" w:cstheme="minorEastAsia"/>
          <w:szCs w:val="24"/>
        </w:rPr>
        <w:t xml:space="preserve">    </w:t>
      </w:r>
      <w:r>
        <w:rPr>
          <w:rFonts w:hint="eastAsia" w:asciiTheme="minorEastAsia" w:hAnsiTheme="minorEastAsia" w:eastAsiaTheme="minorEastAsia" w:cstheme="minorEastAsia"/>
          <w:szCs w:val="24"/>
        </w:rPr>
        <w:t>话：</w:t>
      </w:r>
      <w:r>
        <w:rPr>
          <w:rFonts w:hint="eastAsia" w:asciiTheme="minorEastAsia" w:hAnsiTheme="minorEastAsia" w:eastAsiaTheme="minorEastAsia" w:cstheme="minorEastAsia"/>
          <w:color w:val="auto"/>
          <w:szCs w:val="24"/>
          <w:u w:val="single"/>
          <w:lang w:eastAsia="zh-CN"/>
        </w:rPr>
        <w:t>0571-81997921</w:t>
      </w:r>
      <w:r>
        <w:rPr>
          <w:rFonts w:asciiTheme="minorEastAsia" w:hAnsiTheme="minorEastAsia" w:eastAsiaTheme="minorEastAsia" w:cstheme="minorEastAsia"/>
          <w:szCs w:val="24"/>
        </w:rPr>
        <w:t xml:space="preserve"> </w:t>
      </w:r>
    </w:p>
    <w:p w14:paraId="0D39E753">
      <w:pPr>
        <w:pStyle w:val="8"/>
        <w:ind w:firstLine="240"/>
        <w:rPr>
          <w:rFonts w:asciiTheme="minorEastAsia" w:hAnsiTheme="minorEastAsia" w:eastAsiaTheme="minorEastAsia" w:cstheme="minorEastAsia"/>
          <w:szCs w:val="24"/>
        </w:rPr>
      </w:pPr>
    </w:p>
    <w:p w14:paraId="5BFBDFAE">
      <w:pPr>
        <w:pStyle w:val="7"/>
        <w:rPr>
          <w:rFonts w:asciiTheme="minorEastAsia" w:hAnsiTheme="minorEastAsia" w:eastAsiaTheme="minorEastAsia" w:cstheme="minorEastAsia"/>
          <w:szCs w:val="24"/>
        </w:rPr>
      </w:pPr>
    </w:p>
    <w:p w14:paraId="55A2ACAA">
      <w:pPr>
        <w:pStyle w:val="8"/>
        <w:ind w:left="0" w:firstLine="480" w:firstLineChars="200"/>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代</w:t>
      </w:r>
      <w:r>
        <w:rPr>
          <w:rFonts w:asciiTheme="minorEastAsia" w:hAnsiTheme="minorEastAsia" w:eastAsiaTheme="minorEastAsia" w:cstheme="minorEastAsia"/>
          <w:szCs w:val="24"/>
        </w:rPr>
        <w:t xml:space="preserve"> </w:t>
      </w:r>
      <w:r>
        <w:rPr>
          <w:rFonts w:hint="eastAsia" w:asciiTheme="minorEastAsia" w:hAnsiTheme="minorEastAsia" w:eastAsiaTheme="minorEastAsia" w:cstheme="minorEastAsia"/>
          <w:szCs w:val="24"/>
        </w:rPr>
        <w:t>理</w:t>
      </w:r>
      <w:r>
        <w:rPr>
          <w:rFonts w:asciiTheme="minorEastAsia" w:hAnsiTheme="minorEastAsia" w:eastAsiaTheme="minorEastAsia" w:cstheme="minorEastAsia"/>
          <w:szCs w:val="24"/>
        </w:rPr>
        <w:t xml:space="preserve"> </w:t>
      </w:r>
      <w:r>
        <w:rPr>
          <w:rFonts w:hint="eastAsia" w:asciiTheme="minorEastAsia" w:hAnsiTheme="minorEastAsia" w:eastAsiaTheme="minorEastAsia" w:cstheme="minorEastAsia"/>
          <w:szCs w:val="24"/>
        </w:rPr>
        <w:t>机</w:t>
      </w:r>
      <w:r>
        <w:rPr>
          <w:rFonts w:asciiTheme="minorEastAsia" w:hAnsiTheme="minorEastAsia" w:eastAsiaTheme="minorEastAsia" w:cstheme="minorEastAsia"/>
          <w:szCs w:val="24"/>
        </w:rPr>
        <w:t xml:space="preserve"> </w:t>
      </w:r>
      <w:r>
        <w:rPr>
          <w:rFonts w:hint="eastAsia" w:asciiTheme="minorEastAsia" w:hAnsiTheme="minorEastAsia" w:eastAsiaTheme="minorEastAsia" w:cstheme="minorEastAsia"/>
          <w:szCs w:val="24"/>
        </w:rPr>
        <w:t>构：</w:t>
      </w:r>
      <w:r>
        <w:rPr>
          <w:rFonts w:hint="eastAsia" w:asciiTheme="minorEastAsia" w:hAnsiTheme="minorEastAsia" w:eastAsiaTheme="minorEastAsia" w:cstheme="minorEastAsia"/>
          <w:color w:val="auto"/>
          <w:szCs w:val="24"/>
          <w:u w:val="single"/>
          <w:lang w:eastAsia="zh-CN"/>
        </w:rPr>
        <w:t>浙江建友工程咨询有限公司</w:t>
      </w:r>
      <w:r>
        <w:rPr>
          <w:rFonts w:hint="eastAsia" w:asciiTheme="minorEastAsia" w:hAnsiTheme="minorEastAsia" w:eastAsiaTheme="minorEastAsia" w:cstheme="minorEastAsia"/>
          <w:szCs w:val="24"/>
        </w:rPr>
        <w:t xml:space="preserve"> </w:t>
      </w:r>
    </w:p>
    <w:p w14:paraId="52746E5A">
      <w:pPr>
        <w:pStyle w:val="7"/>
        <w:ind w:left="0" w:firstLine="480" w:firstLineChars="200"/>
        <w:jc w:val="both"/>
        <w:rPr>
          <w:rFonts w:asciiTheme="minorEastAsia" w:hAnsiTheme="minorEastAsia" w:eastAsiaTheme="minorEastAsia" w:cstheme="minorEastAsia"/>
          <w:color w:val="auto"/>
          <w:szCs w:val="24"/>
          <w:u w:val="single"/>
        </w:rPr>
      </w:pPr>
      <w:r>
        <w:rPr>
          <w:rFonts w:hint="eastAsia" w:asciiTheme="minorEastAsia" w:hAnsiTheme="minorEastAsia" w:eastAsiaTheme="minorEastAsia" w:cstheme="minorEastAsia"/>
          <w:szCs w:val="24"/>
        </w:rPr>
        <w:t xml:space="preserve">地    </w:t>
      </w:r>
      <w:r>
        <w:rPr>
          <w:rFonts w:asciiTheme="minorEastAsia" w:hAnsiTheme="minorEastAsia" w:eastAsiaTheme="minorEastAsia" w:cstheme="minorEastAsia"/>
          <w:spacing w:val="5"/>
          <w:szCs w:val="24"/>
        </w:rPr>
        <w:t xml:space="preserve"> </w:t>
      </w:r>
      <w:r>
        <w:rPr>
          <w:rFonts w:hint="eastAsia" w:asciiTheme="minorEastAsia" w:hAnsiTheme="minorEastAsia" w:eastAsiaTheme="minorEastAsia" w:cstheme="minorEastAsia"/>
          <w:spacing w:val="5"/>
          <w:szCs w:val="24"/>
        </w:rPr>
        <w:t xml:space="preserve"> </w:t>
      </w:r>
      <w:r>
        <w:rPr>
          <w:rFonts w:hint="eastAsia" w:asciiTheme="minorEastAsia" w:hAnsiTheme="minorEastAsia" w:eastAsiaTheme="minorEastAsia" w:cstheme="minorEastAsia"/>
          <w:szCs w:val="24"/>
        </w:rPr>
        <w:t>址：</w:t>
      </w:r>
      <w:r>
        <w:rPr>
          <w:rFonts w:hint="eastAsia" w:asciiTheme="minorEastAsia" w:hAnsiTheme="minorEastAsia" w:eastAsiaTheme="minorEastAsia" w:cstheme="minorEastAsia"/>
          <w:color w:val="auto"/>
          <w:szCs w:val="24"/>
          <w:u w:val="single"/>
          <w:lang w:eastAsia="zh-CN"/>
        </w:rPr>
        <w:t>杭州市西湖区振华路西港发展中心7幢7楼</w:t>
      </w:r>
      <w:r>
        <w:rPr>
          <w:rFonts w:hint="eastAsia" w:asciiTheme="minorEastAsia" w:hAnsiTheme="minorEastAsia" w:eastAsiaTheme="minorEastAsia" w:cstheme="minorEastAsia"/>
          <w:color w:val="auto"/>
          <w:szCs w:val="24"/>
          <w:u w:val="single"/>
        </w:rPr>
        <w:t xml:space="preserve"> </w:t>
      </w:r>
    </w:p>
    <w:p w14:paraId="50011A44">
      <w:pPr>
        <w:pStyle w:val="8"/>
        <w:ind w:left="0" w:firstLine="480" w:firstLineChars="200"/>
        <w:jc w:val="both"/>
        <w:rPr>
          <w:rFonts w:asciiTheme="minorEastAsia" w:hAnsiTheme="minorEastAsia" w:eastAsiaTheme="minorEastAsia" w:cstheme="minorEastAsia"/>
          <w:color w:val="auto"/>
          <w:szCs w:val="24"/>
          <w:u w:val="single"/>
        </w:rPr>
      </w:pPr>
      <w:r>
        <w:rPr>
          <w:rFonts w:hint="eastAsia" w:asciiTheme="minorEastAsia" w:hAnsiTheme="minorEastAsia" w:eastAsiaTheme="minorEastAsia" w:cstheme="minorEastAsia"/>
          <w:szCs w:val="24"/>
        </w:rPr>
        <w:t>联  系  人：</w:t>
      </w:r>
      <w:r>
        <w:rPr>
          <w:rFonts w:hint="eastAsia" w:asciiTheme="minorEastAsia" w:hAnsiTheme="minorEastAsia" w:eastAsiaTheme="minorEastAsia" w:cstheme="minorEastAsia"/>
          <w:color w:val="auto"/>
          <w:szCs w:val="24"/>
          <w:u w:val="single"/>
          <w:lang w:eastAsia="zh-CN"/>
        </w:rPr>
        <w:t>赵子恒</w:t>
      </w:r>
      <w:r>
        <w:rPr>
          <w:rFonts w:hint="eastAsia" w:asciiTheme="minorEastAsia" w:hAnsiTheme="minorEastAsia" w:eastAsiaTheme="minorEastAsia" w:cstheme="minorEastAsia"/>
          <w:color w:val="auto"/>
          <w:sz w:val="24"/>
          <w:szCs w:val="24"/>
          <w:highlight w:val="none"/>
          <w:u w:val="single"/>
        </w:rPr>
        <w:t>、董晓梦</w:t>
      </w:r>
    </w:p>
    <w:p w14:paraId="61649007">
      <w:pPr>
        <w:pStyle w:val="7"/>
        <w:ind w:left="0" w:firstLine="480" w:firstLineChars="200"/>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电      话：</w:t>
      </w:r>
      <w:r>
        <w:rPr>
          <w:rFonts w:hint="eastAsia" w:asciiTheme="minorEastAsia" w:hAnsiTheme="minorEastAsia" w:eastAsiaTheme="minorEastAsia" w:cstheme="minorEastAsia"/>
          <w:color w:val="auto"/>
          <w:szCs w:val="24"/>
          <w:u w:val="single"/>
          <w:lang w:eastAsia="zh-CN"/>
        </w:rPr>
        <w:t>0571-56075179</w:t>
      </w:r>
      <w:r>
        <w:rPr>
          <w:rFonts w:hint="eastAsia" w:asciiTheme="minorEastAsia" w:hAnsiTheme="minorEastAsia" w:eastAsiaTheme="minorEastAsia" w:cstheme="minorEastAsia"/>
          <w:szCs w:val="24"/>
          <w:u w:val="single"/>
          <w:lang w:eastAsia="zh-CN"/>
        </w:rPr>
        <w:t>、</w:t>
      </w:r>
      <w:r>
        <w:rPr>
          <w:rFonts w:hint="eastAsia" w:asciiTheme="minorEastAsia" w:hAnsiTheme="minorEastAsia" w:eastAsiaTheme="minorEastAsia" w:cstheme="minorEastAsia"/>
          <w:color w:val="auto"/>
          <w:sz w:val="24"/>
          <w:szCs w:val="24"/>
          <w:highlight w:val="none"/>
          <w:u w:val="single"/>
        </w:rPr>
        <w:t>13295535869</w:t>
      </w:r>
      <w:r>
        <w:rPr>
          <w:rFonts w:hint="eastAsia" w:asciiTheme="minorEastAsia" w:hAnsiTheme="minorEastAsia" w:eastAsiaTheme="minorEastAsia" w:cstheme="minorEastAsia"/>
          <w:szCs w:val="24"/>
        </w:rPr>
        <w:t xml:space="preserve"> </w:t>
      </w:r>
    </w:p>
    <w:p w14:paraId="2EC7FFDA">
      <w:pPr>
        <w:pStyle w:val="7"/>
        <w:rPr>
          <w:rFonts w:ascii="宋体" w:hAnsi="宋体" w:eastAsia="宋体" w:cs="宋体"/>
          <w:szCs w:val="24"/>
        </w:rPr>
      </w:pPr>
    </w:p>
    <w:p w14:paraId="03494D2B">
      <w:pPr>
        <w:pStyle w:val="8"/>
        <w:ind w:firstLine="240"/>
        <w:rPr>
          <w:rFonts w:ascii="宋体" w:hAnsi="宋体" w:eastAsia="宋体" w:cs="宋体"/>
          <w:szCs w:val="24"/>
        </w:rPr>
      </w:pPr>
    </w:p>
    <w:p w14:paraId="4D77CCD4">
      <w:pPr>
        <w:autoSpaceDE/>
        <w:autoSpaceDN/>
        <w:adjustRightInd/>
        <w:spacing w:line="360" w:lineRule="auto"/>
        <w:ind w:firstLine="480" w:firstLineChars="200"/>
        <w:jc w:val="both"/>
        <w:rPr>
          <w:rFonts w:ascii="宋体" w:hAnsi="宋体" w:eastAsia="宋体" w:cs="宋体"/>
          <w:szCs w:val="24"/>
          <w:u w:val="single"/>
        </w:rPr>
      </w:pPr>
      <w:r>
        <w:rPr>
          <w:rFonts w:hint="eastAsia" w:ascii="宋体" w:hAnsi="宋体" w:eastAsia="宋体" w:cs="宋体"/>
          <w:szCs w:val="24"/>
        </w:rPr>
        <w:t>监督部门：</w:t>
      </w:r>
      <w:r>
        <w:rPr>
          <w:rFonts w:hint="eastAsia" w:ascii="宋体" w:hAnsi="宋体" w:eastAsia="宋体" w:cs="宋体"/>
          <w:color w:val="auto"/>
          <w:sz w:val="24"/>
          <w:szCs w:val="24"/>
          <w:highlight w:val="none"/>
          <w:u w:val="single"/>
        </w:rPr>
        <w:t>杭州临江环境能源有限公司监察审计部</w:t>
      </w:r>
    </w:p>
    <w:p w14:paraId="3F9D3691">
      <w:pPr>
        <w:autoSpaceDE/>
        <w:autoSpaceDN/>
        <w:adjustRightInd/>
        <w:spacing w:line="360" w:lineRule="auto"/>
        <w:ind w:firstLine="480" w:firstLineChars="200"/>
        <w:jc w:val="both"/>
        <w:rPr>
          <w:rFonts w:ascii="宋体" w:hAnsi="宋体" w:eastAsia="宋体" w:cs="宋体"/>
          <w:szCs w:val="24"/>
          <w:u w:val="single"/>
        </w:rPr>
      </w:pPr>
      <w:r>
        <w:rPr>
          <w:rFonts w:hint="eastAsia" w:ascii="宋体" w:hAnsi="宋体" w:eastAsia="宋体" w:cs="宋体"/>
          <w:szCs w:val="24"/>
        </w:rPr>
        <w:t>联 系 人：</w:t>
      </w:r>
      <w:r>
        <w:rPr>
          <w:rFonts w:hint="eastAsia" w:asciiTheme="minorEastAsia" w:hAnsiTheme="minorEastAsia" w:eastAsiaTheme="minorEastAsia" w:cstheme="minorEastAsia"/>
          <w:snapToGrid w:val="0"/>
          <w:color w:val="000000"/>
          <w:sz w:val="24"/>
          <w:szCs w:val="24"/>
          <w:u w:val="single"/>
          <w:lang w:val="en-US" w:eastAsia="zh-CN" w:bidi="ar-SA"/>
        </w:rPr>
        <w:t>李工</w:t>
      </w:r>
    </w:p>
    <w:p w14:paraId="1B271825">
      <w:pPr>
        <w:pStyle w:val="7"/>
        <w:tabs>
          <w:tab w:val="left" w:pos="4228"/>
          <w:tab w:val="left" w:pos="7975"/>
        </w:tabs>
        <w:autoSpaceDE/>
        <w:autoSpaceDN/>
        <w:adjustRightInd/>
        <w:snapToGrid/>
        <w:spacing w:line="360" w:lineRule="auto"/>
        <w:ind w:left="0" w:firstLine="480" w:firstLineChars="200"/>
        <w:jc w:val="both"/>
        <w:textAlignment w:val="auto"/>
        <w:rPr>
          <w:rFonts w:ascii="宋体" w:hAnsi="宋体" w:eastAsia="宋体" w:cs="宋体"/>
          <w:szCs w:val="24"/>
          <w:u w:val="single"/>
        </w:rPr>
      </w:pPr>
      <w:r>
        <w:rPr>
          <w:rFonts w:hint="eastAsia" w:ascii="宋体" w:hAnsi="宋体" w:eastAsia="宋体" w:cs="宋体"/>
          <w:szCs w:val="24"/>
        </w:rPr>
        <w:t>电    话：</w:t>
      </w:r>
      <w:r>
        <w:rPr>
          <w:rFonts w:hint="eastAsia" w:ascii="宋体" w:hAnsi="宋体" w:eastAsia="宋体" w:cs="宋体"/>
          <w:color w:val="auto"/>
          <w:sz w:val="24"/>
          <w:szCs w:val="24"/>
          <w:highlight w:val="none"/>
          <w:u w:val="single"/>
        </w:rPr>
        <w:t>0571-81997962</w:t>
      </w:r>
    </w:p>
    <w:p w14:paraId="03B72AF6">
      <w:pPr>
        <w:pStyle w:val="8"/>
        <w:tabs>
          <w:tab w:val="left" w:pos="9360"/>
        </w:tabs>
        <w:spacing w:line="400" w:lineRule="exact"/>
        <w:ind w:left="0" w:firstLine="440" w:firstLineChars="200"/>
        <w:rPr>
          <w:rFonts w:ascii="宋体" w:hAnsi="宋体" w:eastAsia="宋体" w:cs="宋体"/>
          <w:sz w:val="22"/>
          <w:szCs w:val="22"/>
          <w:u w:val="single"/>
        </w:rPr>
      </w:pPr>
    </w:p>
    <w:p w14:paraId="7317E28A">
      <w:pPr>
        <w:pStyle w:val="7"/>
        <w:spacing w:line="400" w:lineRule="exact"/>
        <w:ind w:left="0" w:firstLine="440" w:firstLineChars="200"/>
        <w:jc w:val="right"/>
        <w:rPr>
          <w:rFonts w:ascii="宋体" w:hAnsi="宋体" w:eastAsia="宋体" w:cs="宋体"/>
          <w:sz w:val="22"/>
          <w:szCs w:val="22"/>
        </w:rPr>
      </w:pPr>
    </w:p>
    <w:p w14:paraId="33BD608D">
      <w:pPr>
        <w:tabs>
          <w:tab w:val="left" w:pos="4960"/>
        </w:tabs>
        <w:wordWrap w:val="0"/>
        <w:spacing w:line="360" w:lineRule="auto"/>
        <w:jc w:val="right"/>
        <w:rPr>
          <w:rFonts w:ascii="Times New Roman" w:hAnsi="Times New Roman" w:cs="Times New Roman"/>
          <w:sz w:val="22"/>
          <w:szCs w:val="22"/>
        </w:rPr>
      </w:pPr>
    </w:p>
    <w:p w14:paraId="076B3426">
      <w:pPr>
        <w:rPr>
          <w:rFonts w:ascii="Times New Roman" w:hAnsi="Times New Roman" w:cs="Times New Roman"/>
          <w:color w:val="auto"/>
          <w:spacing w:val="2"/>
          <w14:textOutline w14:w="8496" w14:cap="flat" w14:cmpd="sng" w14:algn="ctr">
            <w14:solidFill>
              <w14:srgbClr w14:val="000000"/>
            </w14:solidFill>
            <w14:prstDash w14:val="solid"/>
            <w14:miter w14:val="0"/>
          </w14:textOutline>
        </w:rPr>
      </w:pPr>
    </w:p>
    <w:p w14:paraId="57218E77">
      <w:pPr>
        <w:kinsoku/>
        <w:topLinePunct/>
        <w:rPr>
          <w:rFonts w:ascii="Times New Roman" w:hAnsi="Times New Roman" w:cs="Times New Roman"/>
          <w:color w:val="auto"/>
          <w:spacing w:val="4"/>
          <w14:textOutline w14:w="8496" w14:cap="flat" w14:cmpd="sng" w14:algn="ctr">
            <w14:solidFill>
              <w14:srgbClr w14:val="000000"/>
            </w14:solidFill>
            <w14:prstDash w14:val="solid"/>
            <w14:miter w14:val="0"/>
          </w14:textOutline>
        </w:rPr>
      </w:pPr>
      <w:r>
        <w:rPr>
          <w:rFonts w:ascii="Times New Roman" w:hAnsi="Times New Roman" w:cs="Times New Roman"/>
          <w:color w:val="auto"/>
          <w:spacing w:val="4"/>
          <w14:textOutline w14:w="8496" w14:cap="flat" w14:cmpd="sng" w14:algn="ctr">
            <w14:solidFill>
              <w14:srgbClr w14:val="000000"/>
            </w14:solidFill>
            <w14:prstDash w14:val="solid"/>
            <w14:miter w14:val="0"/>
          </w14:textOutline>
        </w:rPr>
        <w:br w:type="page"/>
      </w:r>
    </w:p>
    <w:p w14:paraId="06D2B34B">
      <w:pPr>
        <w:pStyle w:val="2"/>
        <w:kinsoku/>
        <w:topLinePunct/>
        <w:rPr>
          <w:rFonts w:ascii="Times New Roman" w:hAnsi="Times New Roman" w:cs="Times New Roman"/>
          <w:color w:val="auto"/>
        </w:rPr>
      </w:pPr>
      <w:r>
        <w:rPr>
          <w:rFonts w:ascii="Times New Roman" w:hAnsi="Times New Roman" w:cs="Times New Roman"/>
          <w:color w:val="auto"/>
          <w:spacing w:val="4"/>
          <w14:textOutline w14:w="8496" w14:cap="flat" w14:cmpd="sng" w14:algn="ctr">
            <w14:solidFill>
              <w14:srgbClr w14:val="000000"/>
            </w14:solidFill>
            <w14:prstDash w14:val="solid"/>
            <w14:miter w14:val="0"/>
          </w14:textOutline>
        </w:rPr>
        <w:t>第</w:t>
      </w:r>
      <w:r>
        <w:rPr>
          <w:rFonts w:ascii="Times New Roman" w:hAnsi="Times New Roman" w:cs="Times New Roman"/>
          <w:color w:val="auto"/>
          <w:spacing w:val="2"/>
          <w14:textOutline w14:w="8496" w14:cap="flat" w14:cmpd="sng" w14:algn="ctr">
            <w14:solidFill>
              <w14:srgbClr w14:val="000000"/>
            </w14:solidFill>
            <w14:prstDash w14:val="solid"/>
            <w14:miter w14:val="0"/>
          </w14:textOutline>
        </w:rPr>
        <w:t>二章</w:t>
      </w:r>
      <w:r>
        <w:rPr>
          <w:rFonts w:ascii="Times New Roman" w:hAnsi="Times New Roman" w:cs="Times New Roman"/>
          <w:color w:val="auto"/>
          <w:spacing w:val="2"/>
        </w:rPr>
        <w:t xml:space="preserve"> </w:t>
      </w:r>
      <w:r>
        <w:rPr>
          <w:rFonts w:ascii="Times New Roman" w:hAnsi="Times New Roman" w:cs="Times New Roman"/>
          <w:color w:val="auto"/>
          <w:spacing w:val="2"/>
          <w14:textOutline w14:w="8496" w14:cap="flat" w14:cmpd="sng" w14:algn="ctr">
            <w14:solidFill>
              <w14:srgbClr w14:val="000000"/>
            </w14:solidFill>
            <w14:prstDash w14:val="solid"/>
            <w14:miter w14:val="0"/>
          </w14:textOutline>
        </w:rPr>
        <w:t>交易须知</w:t>
      </w:r>
    </w:p>
    <w:p w14:paraId="61742EE1">
      <w:pPr>
        <w:kinsoku/>
        <w:wordWrap w:val="0"/>
        <w:topLinePunct/>
        <w:autoSpaceDE/>
        <w:autoSpaceDN/>
        <w:adjustRightInd/>
        <w:spacing w:line="277" w:lineRule="auto"/>
        <w:ind w:firstLine="420" w:firstLineChars="200"/>
        <w:rPr>
          <w:rFonts w:ascii="Times New Roman" w:hAnsi="Times New Roman" w:cs="Times New Roman"/>
          <w:color w:val="auto"/>
          <w:sz w:val="21"/>
        </w:rPr>
      </w:pPr>
    </w:p>
    <w:p w14:paraId="30B1D257">
      <w:pPr>
        <w:pStyle w:val="3"/>
        <w:kinsoku/>
        <w:topLinePunct/>
        <w:rPr>
          <w:rFonts w:ascii="Times New Roman" w:hAnsi="Times New Roman" w:cs="Times New Roman"/>
          <w:color w:val="auto"/>
        </w:rPr>
      </w:pPr>
      <w:r>
        <w:rPr>
          <w:rFonts w:ascii="Times New Roman" w:hAnsi="Times New Roman" w:eastAsia="宋体" w:cs="Times New Roman"/>
          <w:color w:val="auto"/>
          <w:spacing w:val="-1"/>
          <w14:textOutline w14:w="5321" w14:cap="flat" w14:cmpd="sng" w14:algn="ctr">
            <w14:solidFill>
              <w14:srgbClr w14:val="000000"/>
            </w14:solidFill>
            <w14:prstDash w14:val="solid"/>
            <w14:miter w14:val="0"/>
          </w14:textOutline>
        </w:rPr>
        <w:t>前附</w:t>
      </w:r>
      <w:r>
        <w:rPr>
          <w:rFonts w:ascii="Times New Roman" w:hAnsi="Times New Roman" w:eastAsia="宋体" w:cs="Times New Roman"/>
          <w:color w:val="auto"/>
          <w14:textOutline w14:w="5321" w14:cap="flat" w14:cmpd="sng" w14:algn="ctr">
            <w14:solidFill>
              <w14:srgbClr w14:val="000000"/>
            </w14:solidFill>
            <w14:prstDash w14:val="solid"/>
            <w14:miter w14:val="0"/>
          </w14:textOutline>
        </w:rPr>
        <w:t>表</w:t>
      </w:r>
    </w:p>
    <w:tbl>
      <w:tblPr>
        <w:tblStyle w:val="22"/>
        <w:tblpPr w:leftFromText="180" w:rightFromText="180" w:vertAnchor="text" w:horzAnchor="page" w:tblpX="1087" w:tblpY="116"/>
        <w:tblOverlap w:val="never"/>
        <w:tblW w:w="97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Layout w:type="fixed"/>
        <w:tblCellMar>
          <w:top w:w="0" w:type="dxa"/>
          <w:left w:w="0" w:type="dxa"/>
          <w:bottom w:w="0" w:type="dxa"/>
          <w:right w:w="0" w:type="dxa"/>
        </w:tblCellMar>
      </w:tblPr>
      <w:tblGrid>
        <w:gridCol w:w="810"/>
        <w:gridCol w:w="2460"/>
        <w:gridCol w:w="6480"/>
      </w:tblGrid>
      <w:tr w14:paraId="4A0C8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429" w:hRule="atLeast"/>
        </w:trPr>
        <w:tc>
          <w:tcPr>
            <w:tcW w:w="810" w:type="dxa"/>
            <w:tcBorders>
              <w:tl2br w:val="nil"/>
              <w:tr2bl w:val="nil"/>
            </w:tcBorders>
            <w:shd w:val="clear" w:color="auto" w:fill="FFFFFF"/>
          </w:tcPr>
          <w:p w14:paraId="2BF57306">
            <w:pPr>
              <w:kinsoku/>
              <w:wordWrap w:val="0"/>
              <w:topLinePunct/>
              <w:autoSpaceDE/>
              <w:autoSpaceDN/>
              <w:adjustRightInd/>
              <w:snapToGrid/>
              <w:spacing w:before="120" w:beforeLines="50"/>
              <w:ind w:left="120" w:leftChars="50"/>
              <w:jc w:val="center"/>
              <w:rPr>
                <w:rFonts w:ascii="Times New Roman" w:hAnsi="Times New Roman" w:eastAsia="仿宋" w:cs="Times New Roman"/>
                <w:color w:val="auto"/>
                <w:sz w:val="29"/>
                <w:szCs w:val="29"/>
                <w:highlight w:val="none"/>
                <w14:textOutline w14:w="5321" w14:cap="flat" w14:cmpd="sng" w14:algn="ctr">
                  <w14:solidFill>
                    <w14:srgbClr w14:val="000000"/>
                  </w14:solidFill>
                  <w14:prstDash w14:val="solid"/>
                  <w14:miter w14:val="0"/>
                </w14:textOutline>
              </w:rPr>
            </w:pPr>
            <w:r>
              <w:rPr>
                <w:rFonts w:ascii="Times New Roman" w:hAnsi="Times New Roman" w:eastAsia="仿宋" w:cs="Times New Roman"/>
                <w:color w:val="auto"/>
                <w:sz w:val="29"/>
                <w:szCs w:val="29"/>
                <w:highlight w:val="none"/>
                <w14:textOutline w14:w="5321" w14:cap="flat" w14:cmpd="sng" w14:algn="ctr">
                  <w14:solidFill>
                    <w14:srgbClr w14:val="000000"/>
                  </w14:solidFill>
                  <w14:prstDash w14:val="solid"/>
                  <w14:miter w14:val="0"/>
                </w14:textOutline>
              </w:rPr>
              <w:t>序号</w:t>
            </w:r>
          </w:p>
        </w:tc>
        <w:tc>
          <w:tcPr>
            <w:tcW w:w="2460" w:type="dxa"/>
            <w:tcBorders>
              <w:tl2br w:val="nil"/>
              <w:tr2bl w:val="nil"/>
            </w:tcBorders>
            <w:shd w:val="clear" w:color="auto" w:fill="FFFFFF"/>
          </w:tcPr>
          <w:p w14:paraId="4D46E9DE">
            <w:pPr>
              <w:kinsoku/>
              <w:wordWrap w:val="0"/>
              <w:topLinePunct/>
              <w:autoSpaceDE/>
              <w:autoSpaceDN/>
              <w:adjustRightInd/>
              <w:snapToGrid/>
              <w:spacing w:before="120" w:beforeLines="50"/>
              <w:ind w:left="120" w:leftChars="50"/>
              <w:jc w:val="center"/>
              <w:rPr>
                <w:rFonts w:ascii="Times New Roman" w:hAnsi="Times New Roman" w:eastAsia="仿宋" w:cs="Times New Roman"/>
                <w:color w:val="auto"/>
                <w:sz w:val="29"/>
                <w:szCs w:val="29"/>
                <w:highlight w:val="none"/>
                <w14:textOutline w14:w="5321" w14:cap="flat" w14:cmpd="sng" w14:algn="ctr">
                  <w14:solidFill>
                    <w14:srgbClr w14:val="000000"/>
                  </w14:solidFill>
                  <w14:prstDash w14:val="solid"/>
                  <w14:miter w14:val="0"/>
                </w14:textOutline>
              </w:rPr>
            </w:pPr>
            <w:r>
              <w:rPr>
                <w:rFonts w:hint="eastAsia" w:ascii="Times New Roman" w:hAnsi="Times New Roman" w:eastAsia="仿宋" w:cs="Times New Roman"/>
                <w:color w:val="auto"/>
                <w:sz w:val="29"/>
                <w:szCs w:val="29"/>
                <w:highlight w:val="none"/>
                <w14:textOutline w14:w="5321" w14:cap="flat" w14:cmpd="sng" w14:algn="ctr">
                  <w14:solidFill>
                    <w14:srgbClr w14:val="000000"/>
                  </w14:solidFill>
                  <w14:prstDash w14:val="solid"/>
                  <w14:miter w14:val="0"/>
                </w14:textOutline>
              </w:rPr>
              <w:t>事项</w:t>
            </w:r>
          </w:p>
        </w:tc>
        <w:tc>
          <w:tcPr>
            <w:tcW w:w="6480" w:type="dxa"/>
            <w:tcBorders>
              <w:tl2br w:val="nil"/>
              <w:tr2bl w:val="nil"/>
            </w:tcBorders>
            <w:shd w:val="clear" w:color="auto" w:fill="FFFFFF"/>
          </w:tcPr>
          <w:p w14:paraId="46C003BE">
            <w:pPr>
              <w:kinsoku/>
              <w:wordWrap w:val="0"/>
              <w:topLinePunct/>
              <w:autoSpaceDE/>
              <w:autoSpaceDN/>
              <w:adjustRightInd/>
              <w:snapToGrid/>
              <w:spacing w:before="120" w:beforeLines="50"/>
              <w:ind w:left="120" w:leftChars="50"/>
              <w:jc w:val="center"/>
              <w:rPr>
                <w:rFonts w:ascii="Times New Roman" w:hAnsi="Times New Roman" w:eastAsia="仿宋" w:cs="Times New Roman"/>
                <w:color w:val="auto"/>
                <w:sz w:val="29"/>
                <w:szCs w:val="29"/>
                <w:highlight w:val="none"/>
                <w14:textOutline w14:w="5321" w14:cap="flat" w14:cmpd="sng" w14:algn="ctr">
                  <w14:solidFill>
                    <w14:srgbClr w14:val="000000"/>
                  </w14:solidFill>
                  <w14:prstDash w14:val="solid"/>
                  <w14:miter w14:val="0"/>
                </w14:textOutline>
              </w:rPr>
            </w:pPr>
            <w:r>
              <w:rPr>
                <w:rFonts w:hint="eastAsia" w:ascii="Times New Roman" w:hAnsi="Times New Roman" w:eastAsia="仿宋" w:cs="Times New Roman"/>
                <w:color w:val="auto"/>
                <w:sz w:val="29"/>
                <w:szCs w:val="29"/>
                <w:highlight w:val="none"/>
                <w14:textOutline w14:w="5321" w14:cap="flat" w14:cmpd="sng" w14:algn="ctr">
                  <w14:solidFill>
                    <w14:srgbClr w14:val="000000"/>
                  </w14:solidFill>
                  <w14:prstDash w14:val="solid"/>
                  <w14:miter w14:val="0"/>
                </w14:textOutline>
              </w:rPr>
              <w:t>本项目的特别规定</w:t>
            </w:r>
          </w:p>
        </w:tc>
      </w:tr>
      <w:tr w14:paraId="28340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449" w:hRule="atLeast"/>
        </w:trPr>
        <w:tc>
          <w:tcPr>
            <w:tcW w:w="810" w:type="dxa"/>
            <w:tcBorders>
              <w:tl2br w:val="nil"/>
              <w:tr2bl w:val="nil"/>
            </w:tcBorders>
            <w:shd w:val="clear" w:color="auto" w:fill="FFFFFF"/>
            <w:vAlign w:val="center"/>
          </w:tcPr>
          <w:p w14:paraId="518F6662">
            <w:pPr>
              <w:pStyle w:val="9"/>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highlight w:val="none"/>
              </w:rPr>
            </w:pPr>
          </w:p>
        </w:tc>
        <w:tc>
          <w:tcPr>
            <w:tcW w:w="2460" w:type="dxa"/>
            <w:tcBorders>
              <w:tl2br w:val="nil"/>
              <w:tr2bl w:val="nil"/>
            </w:tcBorders>
            <w:shd w:val="clear" w:color="auto" w:fill="FFFFFF"/>
            <w:vAlign w:val="center"/>
          </w:tcPr>
          <w:p w14:paraId="33F1B267">
            <w:pPr>
              <w:wordWrap w:val="0"/>
              <w:jc w:val="center"/>
              <w:rPr>
                <w:rFonts w:ascii="宋体" w:hAnsi="宋体" w:eastAsia="宋体" w:cs="宋体"/>
                <w:color w:val="auto"/>
                <w:szCs w:val="24"/>
                <w:highlight w:val="none"/>
              </w:rPr>
            </w:pPr>
            <w:r>
              <w:rPr>
                <w:rFonts w:hint="eastAsia" w:ascii="宋体" w:hAnsi="宋体" w:eastAsia="宋体" w:cs="宋体"/>
                <w:szCs w:val="24"/>
                <w:highlight w:val="none"/>
              </w:rPr>
              <w:t>工程名称</w:t>
            </w:r>
          </w:p>
        </w:tc>
        <w:tc>
          <w:tcPr>
            <w:tcW w:w="6480" w:type="dxa"/>
            <w:tcBorders>
              <w:tl2br w:val="nil"/>
              <w:tr2bl w:val="nil"/>
            </w:tcBorders>
            <w:shd w:val="clear" w:color="auto" w:fill="FFFFFF"/>
            <w:vAlign w:val="center"/>
          </w:tcPr>
          <w:p w14:paraId="58F93DC2">
            <w:pPr>
              <w:wordWrap w:val="0"/>
              <w:spacing w:line="300" w:lineRule="auto"/>
              <w:ind w:left="120" w:leftChars="50"/>
              <w:jc w:val="center"/>
              <w:rPr>
                <w:rFonts w:hint="eastAsia" w:ascii="宋体" w:hAnsi="宋体" w:eastAsia="宋体" w:cs="宋体"/>
                <w:color w:val="auto"/>
                <w:szCs w:val="24"/>
                <w:highlight w:val="none"/>
                <w:lang w:eastAsia="zh-CN"/>
              </w:rPr>
            </w:pPr>
            <w:r>
              <w:rPr>
                <w:rFonts w:hint="eastAsia" w:ascii="宋体" w:hAnsi="宋体" w:eastAsia="宋体" w:cs="宋体"/>
                <w:bCs/>
                <w:szCs w:val="24"/>
                <w:highlight w:val="none"/>
                <w:lang w:eastAsia="zh-CN"/>
              </w:rPr>
              <w:t>临江环境2026年垃圾吊轨道大修项目施工</w:t>
            </w:r>
          </w:p>
        </w:tc>
      </w:tr>
      <w:tr w14:paraId="09106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740" w:hRule="atLeast"/>
        </w:trPr>
        <w:tc>
          <w:tcPr>
            <w:tcW w:w="810" w:type="dxa"/>
            <w:tcBorders>
              <w:tl2br w:val="nil"/>
              <w:tr2bl w:val="nil"/>
            </w:tcBorders>
            <w:shd w:val="clear" w:color="auto" w:fill="FFFFFF"/>
            <w:vAlign w:val="center"/>
          </w:tcPr>
          <w:p w14:paraId="6A0E761B">
            <w:pPr>
              <w:pStyle w:val="9"/>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highlight w:val="none"/>
              </w:rPr>
            </w:pPr>
          </w:p>
        </w:tc>
        <w:tc>
          <w:tcPr>
            <w:tcW w:w="2460" w:type="dxa"/>
            <w:tcBorders>
              <w:tl2br w:val="nil"/>
              <w:tr2bl w:val="nil"/>
            </w:tcBorders>
            <w:shd w:val="clear" w:color="auto" w:fill="FFFFFF"/>
            <w:vAlign w:val="center"/>
          </w:tcPr>
          <w:p w14:paraId="1DF6177D">
            <w:pPr>
              <w:kinsoku/>
              <w:wordWrap w:val="0"/>
              <w:topLinePunct/>
              <w:autoSpaceDE/>
              <w:autoSpaceDN/>
              <w:adjustRightInd/>
              <w:snapToGrid/>
              <w:spacing w:before="120" w:beforeLines="50"/>
              <w:ind w:left="120" w:leftChars="50"/>
              <w:jc w:val="center"/>
              <w:rPr>
                <w:rFonts w:ascii="宋体" w:hAnsi="宋体" w:eastAsia="宋体" w:cs="宋体"/>
                <w:color w:val="auto"/>
                <w:szCs w:val="24"/>
                <w:highlight w:val="none"/>
              </w:rPr>
            </w:pPr>
            <w:r>
              <w:rPr>
                <w:rFonts w:hint="eastAsia" w:ascii="宋体" w:hAnsi="宋体" w:eastAsia="宋体" w:cs="宋体"/>
                <w:color w:val="auto"/>
                <w:szCs w:val="24"/>
                <w:highlight w:val="none"/>
              </w:rPr>
              <w:t>计划工期要求</w:t>
            </w:r>
          </w:p>
        </w:tc>
        <w:tc>
          <w:tcPr>
            <w:tcW w:w="6480" w:type="dxa"/>
            <w:tcBorders>
              <w:tl2br w:val="nil"/>
              <w:tr2bl w:val="nil"/>
            </w:tcBorders>
            <w:shd w:val="clear" w:color="auto" w:fill="FFFFFF"/>
            <w:vAlign w:val="center"/>
          </w:tcPr>
          <w:p w14:paraId="1604C725">
            <w:pPr>
              <w:wordWrap w:val="0"/>
              <w:spacing w:line="400" w:lineRule="exact"/>
              <w:ind w:left="120" w:leftChars="50"/>
              <w:rPr>
                <w:rFonts w:ascii="宋体" w:hAnsi="宋体" w:eastAsia="宋体" w:cs="宋体"/>
                <w:szCs w:val="24"/>
                <w:highlight w:val="none"/>
                <w:u w:val="single"/>
              </w:rPr>
            </w:pPr>
            <w:r>
              <w:rPr>
                <w:rFonts w:hint="eastAsia" w:ascii="宋体" w:hAnsi="宋体" w:eastAsia="宋体" w:cs="宋体"/>
                <w:szCs w:val="24"/>
                <w:highlight w:val="none"/>
              </w:rPr>
              <w:t>计划工期：</w:t>
            </w:r>
            <w:r>
              <w:rPr>
                <w:rFonts w:hint="eastAsia" w:eastAsia="宋体"/>
                <w:b/>
                <w:bCs/>
                <w:color w:val="auto"/>
                <w:spacing w:val="-2"/>
                <w:highlight w:val="none"/>
                <w:u w:val="single" w:color="auto"/>
                <w:lang w:val="en-US" w:eastAsia="zh-CN"/>
              </w:rPr>
              <w:t>90</w:t>
            </w:r>
            <w:r>
              <w:rPr>
                <w:rFonts w:hint="eastAsia" w:ascii="宋体" w:hAnsi="宋体" w:eastAsia="宋体" w:cs="宋体"/>
                <w:szCs w:val="24"/>
                <w:highlight w:val="none"/>
              </w:rPr>
              <w:t>个日历天。承诺工期不得超过该计划工期。</w:t>
            </w:r>
          </w:p>
          <w:p w14:paraId="2C0277A5">
            <w:pPr>
              <w:wordWrap w:val="0"/>
              <w:spacing w:line="400" w:lineRule="exact"/>
              <w:ind w:left="120" w:leftChars="50"/>
              <w:rPr>
                <w:rFonts w:ascii="宋体" w:hAnsi="宋体" w:eastAsia="宋体" w:cs="宋体"/>
                <w:szCs w:val="24"/>
                <w:highlight w:val="none"/>
              </w:rPr>
            </w:pPr>
            <w:r>
              <w:rPr>
                <w:rFonts w:hint="eastAsia" w:ascii="宋体" w:hAnsi="宋体" w:eastAsia="宋体" w:cs="宋体"/>
                <w:szCs w:val="24"/>
                <w:highlight w:val="none"/>
              </w:rPr>
              <w:t>计划开工日期：</w:t>
            </w:r>
            <w:r>
              <w:rPr>
                <w:rFonts w:hint="eastAsia" w:ascii="宋体" w:hAnsi="宋体" w:eastAsia="宋体" w:cs="宋体"/>
                <w:b/>
                <w:color w:val="auto"/>
                <w:szCs w:val="24"/>
                <w:highlight w:val="none"/>
                <w:u w:val="single"/>
                <w:lang w:val="en-US" w:eastAsia="zh-CN"/>
              </w:rPr>
              <w:t>2026</w:t>
            </w:r>
            <w:r>
              <w:rPr>
                <w:rFonts w:hint="eastAsia" w:ascii="宋体" w:hAnsi="宋体" w:eastAsia="宋体" w:cs="宋体"/>
                <w:b/>
                <w:color w:val="auto"/>
                <w:szCs w:val="24"/>
                <w:highlight w:val="none"/>
                <w:u w:val="single"/>
              </w:rPr>
              <w:t xml:space="preserve"> </w:t>
            </w:r>
            <w:r>
              <w:rPr>
                <w:rFonts w:hint="eastAsia" w:ascii="宋体" w:hAnsi="宋体" w:eastAsia="宋体" w:cs="宋体"/>
                <w:szCs w:val="24"/>
                <w:highlight w:val="none"/>
              </w:rPr>
              <w:t>年</w:t>
            </w:r>
            <w:r>
              <w:rPr>
                <w:rFonts w:hint="eastAsia" w:ascii="宋体" w:hAnsi="宋体" w:eastAsia="宋体" w:cs="宋体"/>
                <w:szCs w:val="24"/>
                <w:highlight w:val="none"/>
                <w:u w:val="single"/>
              </w:rPr>
              <w:t xml:space="preserve"> </w:t>
            </w:r>
            <w:r>
              <w:rPr>
                <w:rFonts w:hint="eastAsia" w:ascii="宋体" w:hAnsi="宋体" w:eastAsia="宋体" w:cs="宋体"/>
                <w:b/>
                <w:color w:val="auto"/>
                <w:szCs w:val="24"/>
                <w:highlight w:val="none"/>
                <w:u w:val="single"/>
                <w:lang w:val="en-US" w:eastAsia="zh-CN"/>
              </w:rPr>
              <w:t xml:space="preserve">5 </w:t>
            </w:r>
            <w:r>
              <w:rPr>
                <w:rFonts w:hint="eastAsia" w:ascii="宋体" w:hAnsi="宋体" w:eastAsia="宋体" w:cs="宋体"/>
                <w:szCs w:val="24"/>
                <w:highlight w:val="none"/>
              </w:rPr>
              <w:t>月</w:t>
            </w:r>
            <w:r>
              <w:rPr>
                <w:rFonts w:hint="eastAsia" w:ascii="宋体" w:hAnsi="宋体" w:eastAsia="宋体" w:cs="宋体"/>
                <w:szCs w:val="24"/>
                <w:highlight w:val="none"/>
                <w:u w:val="single"/>
                <w:lang w:val="en-US" w:eastAsia="zh-CN"/>
              </w:rPr>
              <w:t xml:space="preserve"> </w:t>
            </w:r>
            <w:r>
              <w:rPr>
                <w:rFonts w:hint="eastAsia" w:ascii="宋体" w:hAnsi="宋体" w:eastAsia="宋体" w:cs="宋体"/>
                <w:b/>
                <w:color w:val="auto"/>
                <w:szCs w:val="24"/>
                <w:highlight w:val="none"/>
                <w:u w:val="single"/>
                <w:lang w:val="en-US" w:eastAsia="zh-CN"/>
              </w:rPr>
              <w:t xml:space="preserve">10 </w:t>
            </w:r>
            <w:r>
              <w:rPr>
                <w:rFonts w:hint="eastAsia" w:ascii="宋体" w:hAnsi="宋体" w:eastAsia="宋体" w:cs="宋体"/>
                <w:szCs w:val="24"/>
                <w:highlight w:val="none"/>
              </w:rPr>
              <w:t>日</w:t>
            </w:r>
            <w:r>
              <w:rPr>
                <w:rFonts w:hint="eastAsia"/>
                <w:highlight w:val="none"/>
              </w:rPr>
              <w:t>（具体时间以实际开工报告为准）。</w:t>
            </w:r>
          </w:p>
          <w:p w14:paraId="67DEB0C2">
            <w:pPr>
              <w:wordWrap w:val="0"/>
              <w:spacing w:line="400" w:lineRule="exact"/>
              <w:ind w:left="120" w:leftChars="50"/>
              <w:rPr>
                <w:rFonts w:ascii="宋体" w:hAnsi="宋体" w:eastAsia="宋体" w:cs="宋体"/>
                <w:szCs w:val="24"/>
                <w:highlight w:val="none"/>
                <w:u w:val="single"/>
              </w:rPr>
            </w:pPr>
            <w:r>
              <w:rPr>
                <w:rFonts w:hint="eastAsia" w:ascii="宋体" w:hAnsi="宋体" w:eastAsia="宋体" w:cs="宋体"/>
                <w:szCs w:val="24"/>
                <w:highlight w:val="none"/>
              </w:rPr>
              <w:t>计划竣工日期：</w:t>
            </w:r>
            <w:r>
              <w:rPr>
                <w:rFonts w:hint="eastAsia" w:ascii="宋体" w:hAnsi="宋体" w:eastAsia="宋体" w:cs="宋体"/>
                <w:b/>
                <w:color w:val="auto"/>
                <w:szCs w:val="24"/>
                <w:highlight w:val="none"/>
                <w:u w:val="single"/>
                <w:lang w:val="en-US" w:eastAsia="zh-CN"/>
              </w:rPr>
              <w:t>2026</w:t>
            </w:r>
            <w:r>
              <w:rPr>
                <w:rFonts w:hint="eastAsia" w:ascii="宋体" w:hAnsi="宋体" w:eastAsia="宋体" w:cs="宋体"/>
                <w:szCs w:val="24"/>
                <w:highlight w:val="none"/>
              </w:rPr>
              <w:t>年</w:t>
            </w:r>
            <w:r>
              <w:rPr>
                <w:rFonts w:hint="eastAsia" w:ascii="宋体" w:hAnsi="宋体" w:eastAsia="宋体" w:cs="宋体"/>
                <w:szCs w:val="24"/>
                <w:highlight w:val="none"/>
                <w:u w:val="single"/>
                <w:lang w:val="en-US" w:eastAsia="zh-CN"/>
              </w:rPr>
              <w:t xml:space="preserve"> </w:t>
            </w:r>
            <w:r>
              <w:rPr>
                <w:rFonts w:hint="eastAsia" w:ascii="宋体" w:hAnsi="宋体" w:eastAsia="宋体" w:cs="宋体"/>
                <w:szCs w:val="24"/>
                <w:highlight w:val="none"/>
                <w:u w:val="single"/>
              </w:rPr>
              <w:t xml:space="preserve"> </w:t>
            </w:r>
            <w:r>
              <w:rPr>
                <w:rFonts w:hint="eastAsia" w:ascii="宋体" w:hAnsi="宋体" w:eastAsia="宋体" w:cs="宋体"/>
                <w:b/>
                <w:color w:val="auto"/>
                <w:szCs w:val="24"/>
                <w:highlight w:val="none"/>
                <w:u w:val="single"/>
                <w:lang w:val="en-US" w:eastAsia="zh-CN"/>
              </w:rPr>
              <w:t xml:space="preserve">8 </w:t>
            </w:r>
            <w:r>
              <w:rPr>
                <w:rFonts w:hint="eastAsia" w:ascii="宋体" w:hAnsi="宋体" w:eastAsia="宋体" w:cs="宋体"/>
                <w:szCs w:val="24"/>
                <w:highlight w:val="none"/>
              </w:rPr>
              <w:t>月</w:t>
            </w:r>
            <w:r>
              <w:rPr>
                <w:rFonts w:hint="eastAsia" w:ascii="宋体" w:hAnsi="宋体" w:eastAsia="宋体" w:cs="宋体"/>
                <w:szCs w:val="24"/>
                <w:highlight w:val="none"/>
                <w:u w:val="single"/>
                <w:lang w:val="en-US" w:eastAsia="zh-CN"/>
              </w:rPr>
              <w:t xml:space="preserve"> </w:t>
            </w:r>
            <w:r>
              <w:rPr>
                <w:rFonts w:hint="eastAsia" w:ascii="宋体" w:hAnsi="宋体" w:eastAsia="宋体" w:cs="宋体"/>
                <w:b/>
                <w:color w:val="auto"/>
                <w:szCs w:val="24"/>
                <w:highlight w:val="none"/>
                <w:u w:val="single"/>
                <w:lang w:val="en-US" w:eastAsia="zh-CN"/>
              </w:rPr>
              <w:t xml:space="preserve">8 </w:t>
            </w:r>
            <w:r>
              <w:rPr>
                <w:rFonts w:hint="eastAsia" w:ascii="宋体" w:hAnsi="宋体" w:eastAsia="宋体" w:cs="宋体"/>
                <w:szCs w:val="24"/>
                <w:highlight w:val="none"/>
              </w:rPr>
              <w:t>日</w:t>
            </w:r>
          </w:p>
          <w:p w14:paraId="1412875A">
            <w:pPr>
              <w:spacing w:line="400" w:lineRule="exact"/>
              <w:ind w:left="120" w:leftChars="50"/>
              <w:rPr>
                <w:rFonts w:ascii="宋体" w:hAnsi="宋体" w:eastAsia="宋体" w:cs="宋体"/>
                <w:color w:val="auto"/>
                <w:szCs w:val="24"/>
                <w:highlight w:val="none"/>
              </w:rPr>
            </w:pPr>
            <w:r>
              <w:rPr>
                <w:rFonts w:hint="eastAsia" w:ascii="宋体" w:hAnsi="宋体" w:eastAsia="宋体" w:cs="宋体"/>
                <w:bCs/>
                <w:color w:val="auto"/>
                <w:kern w:val="2"/>
                <w:szCs w:val="24"/>
                <w:highlight w:val="none"/>
                <w:lang w:eastAsia="zh-CN"/>
              </w:rPr>
              <w:t>□</w:t>
            </w:r>
            <w:r>
              <w:rPr>
                <w:rFonts w:hint="eastAsia" w:ascii="宋体" w:hAnsi="宋体" w:eastAsia="宋体" w:cs="宋体"/>
                <w:szCs w:val="24"/>
                <w:highlight w:val="none"/>
              </w:rPr>
              <w:t>本工程定额施工工期：</w:t>
            </w:r>
            <w:r>
              <w:rPr>
                <w:rFonts w:hint="eastAsia" w:ascii="宋体" w:hAnsi="宋体" w:eastAsia="宋体" w:cs="宋体"/>
                <w:b/>
                <w:szCs w:val="24"/>
                <w:highlight w:val="none"/>
                <w:u w:val="single"/>
              </w:rPr>
              <w:t xml:space="preserve">         </w:t>
            </w:r>
            <w:r>
              <w:rPr>
                <w:rFonts w:hint="eastAsia" w:ascii="宋体" w:hAnsi="宋体" w:eastAsia="宋体" w:cs="宋体"/>
                <w:bCs/>
                <w:szCs w:val="24"/>
                <w:highlight w:val="none"/>
              </w:rPr>
              <w:t>个</w:t>
            </w:r>
            <w:r>
              <w:rPr>
                <w:rFonts w:hint="eastAsia" w:ascii="宋体" w:hAnsi="宋体" w:eastAsia="宋体" w:cs="宋体"/>
                <w:szCs w:val="24"/>
                <w:highlight w:val="none"/>
              </w:rPr>
              <w:t>日历天。</w:t>
            </w:r>
            <w:r>
              <w:rPr>
                <w:rFonts w:hint="eastAsia" w:ascii="宋体" w:hAnsi="宋体" w:eastAsia="宋体" w:cs="宋体"/>
                <w:color w:val="auto"/>
                <w:szCs w:val="24"/>
                <w:highlight w:val="none"/>
              </w:rPr>
              <w:t>应依据相关工程的工期定额合理计算工期，压缩的工期天数不得超过定额工期的20％。超过的应在交易文件中明示增加赶工费用。</w:t>
            </w:r>
          </w:p>
        </w:tc>
      </w:tr>
      <w:tr w14:paraId="24410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810" w:type="dxa"/>
            <w:tcBorders>
              <w:tl2br w:val="nil"/>
              <w:tr2bl w:val="nil"/>
            </w:tcBorders>
            <w:shd w:val="clear" w:color="auto" w:fill="FFFFFF"/>
            <w:vAlign w:val="center"/>
          </w:tcPr>
          <w:p w14:paraId="57F51CA2">
            <w:pPr>
              <w:pStyle w:val="9"/>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highlight w:val="none"/>
              </w:rPr>
            </w:pPr>
          </w:p>
        </w:tc>
        <w:tc>
          <w:tcPr>
            <w:tcW w:w="2460" w:type="dxa"/>
            <w:tcBorders>
              <w:tl2br w:val="nil"/>
              <w:tr2bl w:val="nil"/>
            </w:tcBorders>
            <w:shd w:val="clear" w:color="auto" w:fill="FFFFFF"/>
            <w:vAlign w:val="center"/>
          </w:tcPr>
          <w:p w14:paraId="4B977923">
            <w:pPr>
              <w:wordWrap w:val="0"/>
              <w:jc w:val="center"/>
              <w:rPr>
                <w:rFonts w:ascii="宋体" w:hAnsi="宋体" w:eastAsia="宋体" w:cs="宋体"/>
                <w:color w:val="auto"/>
                <w:szCs w:val="24"/>
                <w:highlight w:val="none"/>
              </w:rPr>
            </w:pPr>
            <w:r>
              <w:rPr>
                <w:rFonts w:hint="eastAsia" w:ascii="宋体" w:hAnsi="宋体" w:eastAsia="宋体" w:cs="宋体"/>
                <w:szCs w:val="24"/>
                <w:highlight w:val="none"/>
              </w:rPr>
              <w:t>工程承包方式</w:t>
            </w:r>
          </w:p>
        </w:tc>
        <w:tc>
          <w:tcPr>
            <w:tcW w:w="6480" w:type="dxa"/>
            <w:tcBorders>
              <w:tl2br w:val="nil"/>
              <w:tr2bl w:val="nil"/>
            </w:tcBorders>
            <w:shd w:val="clear" w:color="auto" w:fill="FFFFFF"/>
            <w:vAlign w:val="center"/>
          </w:tcPr>
          <w:p w14:paraId="6CE72869">
            <w:pPr>
              <w:wordWrap w:val="0"/>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包工、包料、包工期、包质量、包安全、包文明施工等。</w:t>
            </w:r>
          </w:p>
        </w:tc>
      </w:tr>
      <w:tr w14:paraId="2361C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565" w:hRule="atLeast"/>
        </w:trPr>
        <w:tc>
          <w:tcPr>
            <w:tcW w:w="810" w:type="dxa"/>
            <w:tcBorders>
              <w:tl2br w:val="nil"/>
              <w:tr2bl w:val="nil"/>
            </w:tcBorders>
            <w:shd w:val="clear" w:color="auto" w:fill="FFFFFF"/>
            <w:vAlign w:val="center"/>
          </w:tcPr>
          <w:p w14:paraId="015C3956">
            <w:pPr>
              <w:pStyle w:val="9"/>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highlight w:val="none"/>
              </w:rPr>
            </w:pPr>
          </w:p>
        </w:tc>
        <w:tc>
          <w:tcPr>
            <w:tcW w:w="2460" w:type="dxa"/>
            <w:tcBorders>
              <w:tl2br w:val="nil"/>
              <w:tr2bl w:val="nil"/>
            </w:tcBorders>
            <w:shd w:val="clear" w:color="auto" w:fill="FFFFFF"/>
            <w:vAlign w:val="center"/>
          </w:tcPr>
          <w:p w14:paraId="7FAE409B">
            <w:pPr>
              <w:kinsoku/>
              <w:wordWrap w:val="0"/>
              <w:topLinePunct/>
              <w:autoSpaceDE/>
              <w:autoSpaceDN/>
              <w:adjustRightInd/>
              <w:snapToGrid/>
              <w:spacing w:before="120" w:beforeLines="50"/>
              <w:ind w:left="120" w:leftChars="50"/>
              <w:jc w:val="center"/>
              <w:rPr>
                <w:rFonts w:ascii="宋体" w:hAnsi="宋体" w:eastAsia="宋体" w:cs="宋体"/>
                <w:color w:val="auto"/>
                <w:szCs w:val="24"/>
                <w:highlight w:val="none"/>
              </w:rPr>
            </w:pPr>
            <w:r>
              <w:rPr>
                <w:rFonts w:hint="eastAsia" w:ascii="宋体" w:hAnsi="宋体" w:eastAsia="宋体" w:cs="宋体"/>
                <w:color w:val="auto"/>
                <w:szCs w:val="24"/>
                <w:highlight w:val="none"/>
              </w:rPr>
              <w:t>质量要求</w:t>
            </w:r>
          </w:p>
        </w:tc>
        <w:tc>
          <w:tcPr>
            <w:tcW w:w="6480" w:type="dxa"/>
            <w:tcBorders>
              <w:tl2br w:val="nil"/>
              <w:tr2bl w:val="nil"/>
            </w:tcBorders>
            <w:shd w:val="clear" w:color="auto" w:fill="FFFFFF"/>
            <w:vAlign w:val="center"/>
          </w:tcPr>
          <w:p w14:paraId="5A8D8AD7">
            <w:pPr>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符合现行国家有关工程施工验收规范和标准的合格要求。</w:t>
            </w:r>
          </w:p>
        </w:tc>
      </w:tr>
      <w:tr w14:paraId="3C4D8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565" w:hRule="atLeast"/>
        </w:trPr>
        <w:tc>
          <w:tcPr>
            <w:tcW w:w="810" w:type="dxa"/>
            <w:tcBorders>
              <w:tl2br w:val="nil"/>
              <w:tr2bl w:val="nil"/>
            </w:tcBorders>
            <w:shd w:val="clear" w:color="auto" w:fill="FFFFFF"/>
            <w:vAlign w:val="center"/>
          </w:tcPr>
          <w:p w14:paraId="45B832E8">
            <w:pPr>
              <w:pStyle w:val="9"/>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highlight w:val="none"/>
              </w:rPr>
            </w:pPr>
          </w:p>
        </w:tc>
        <w:tc>
          <w:tcPr>
            <w:tcW w:w="2460" w:type="dxa"/>
            <w:tcBorders>
              <w:tl2br w:val="nil"/>
              <w:tr2bl w:val="nil"/>
            </w:tcBorders>
            <w:shd w:val="clear" w:color="auto" w:fill="FFFFFF"/>
            <w:vAlign w:val="center"/>
          </w:tcPr>
          <w:p w14:paraId="7561F920">
            <w:pPr>
              <w:kinsoku/>
              <w:wordWrap w:val="0"/>
              <w:topLinePunct/>
              <w:autoSpaceDE/>
              <w:autoSpaceDN/>
              <w:adjustRightInd/>
              <w:snapToGrid/>
              <w:spacing w:before="120" w:beforeLines="50"/>
              <w:ind w:left="120" w:leftChars="50"/>
              <w:jc w:val="center"/>
              <w:rPr>
                <w:rFonts w:ascii="宋体" w:hAnsi="宋体" w:eastAsia="宋体" w:cs="宋体"/>
                <w:color w:val="auto"/>
                <w:szCs w:val="24"/>
                <w:highlight w:val="none"/>
              </w:rPr>
            </w:pPr>
            <w:r>
              <w:rPr>
                <w:rFonts w:hint="eastAsia" w:ascii="宋体" w:hAnsi="宋体" w:eastAsia="宋体" w:cs="宋体"/>
                <w:color w:val="auto"/>
                <w:szCs w:val="24"/>
                <w:highlight w:val="none"/>
                <w:lang w:val="zh-CN"/>
              </w:rPr>
              <w:t>本项目需要至少配备的人员情况</w:t>
            </w:r>
          </w:p>
        </w:tc>
        <w:tc>
          <w:tcPr>
            <w:tcW w:w="6480" w:type="dxa"/>
            <w:tcBorders>
              <w:tl2br w:val="nil"/>
              <w:tr2bl w:val="nil"/>
            </w:tcBorders>
            <w:shd w:val="clear" w:color="auto" w:fill="FFFFFF"/>
            <w:vAlign w:val="center"/>
          </w:tcPr>
          <w:p w14:paraId="05BEB873">
            <w:pPr>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本项目需至少配置：</w:t>
            </w:r>
          </w:p>
          <w:p w14:paraId="1F68344C">
            <w:pPr>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项目经理（</w:t>
            </w: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rPr>
              <w:t>）人、技术负责人（</w:t>
            </w: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rPr>
              <w:t>）人、质量员（</w:t>
            </w: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rPr>
              <w:t>）人、安全员（</w:t>
            </w: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rPr>
              <w:t>）人 ；其他：专职安全监护人员（2）人（持特种设备安全管理证）、起重机械作业人员（不少于4人，持起重机械安装/维修作业证）、焊接作业人员（不少于2人，持熔化焊接与热切割作业证+铝热焊操作证）、测量人员（不少于2人，持工程测量员证）；所有作业人员均需持证上岗，且证书在有效期内。</w:t>
            </w:r>
          </w:p>
        </w:tc>
      </w:tr>
      <w:tr w14:paraId="4DE5C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810" w:type="dxa"/>
            <w:tcBorders>
              <w:tl2br w:val="nil"/>
              <w:tr2bl w:val="nil"/>
            </w:tcBorders>
            <w:shd w:val="clear" w:color="auto" w:fill="FFFFFF"/>
            <w:vAlign w:val="center"/>
          </w:tcPr>
          <w:p w14:paraId="75AB72E5">
            <w:pPr>
              <w:pStyle w:val="9"/>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highlight w:val="none"/>
              </w:rPr>
            </w:pPr>
          </w:p>
        </w:tc>
        <w:tc>
          <w:tcPr>
            <w:tcW w:w="2460" w:type="dxa"/>
            <w:tcBorders>
              <w:tl2br w:val="nil"/>
              <w:tr2bl w:val="nil"/>
            </w:tcBorders>
            <w:shd w:val="clear" w:color="auto" w:fill="FFFFFF"/>
            <w:vAlign w:val="center"/>
          </w:tcPr>
          <w:p w14:paraId="395BEC94">
            <w:pPr>
              <w:kinsoku/>
              <w:wordWrap w:val="0"/>
              <w:topLinePunct/>
              <w:autoSpaceDE/>
              <w:autoSpaceDN/>
              <w:adjustRightInd/>
              <w:snapToGrid/>
              <w:spacing w:before="120" w:beforeLines="50"/>
              <w:ind w:left="120" w:leftChars="50"/>
              <w:jc w:val="center"/>
              <w:rPr>
                <w:rFonts w:ascii="宋体" w:hAnsi="宋体" w:eastAsia="宋体" w:cs="宋体"/>
                <w:color w:val="auto"/>
                <w:szCs w:val="24"/>
                <w:highlight w:val="none"/>
              </w:rPr>
            </w:pPr>
            <w:r>
              <w:rPr>
                <w:rFonts w:hint="eastAsia" w:ascii="宋体" w:hAnsi="宋体" w:eastAsia="宋体" w:cs="宋体"/>
                <w:color w:val="auto"/>
                <w:szCs w:val="24"/>
                <w:highlight w:val="none"/>
              </w:rPr>
              <w:t>是否允许分包</w:t>
            </w:r>
          </w:p>
        </w:tc>
        <w:tc>
          <w:tcPr>
            <w:tcW w:w="6480" w:type="dxa"/>
            <w:tcBorders>
              <w:tl2br w:val="nil"/>
              <w:tr2bl w:val="nil"/>
            </w:tcBorders>
            <w:shd w:val="clear" w:color="auto" w:fill="FFFFFF"/>
          </w:tcPr>
          <w:p w14:paraId="6CDA5021">
            <w:pPr>
              <w:kinsoku/>
              <w:topLinePunct/>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■不允许。</w:t>
            </w:r>
          </w:p>
          <w:p w14:paraId="75EFDA09">
            <w:pPr>
              <w:kinsoku/>
              <w:topLinePunct/>
              <w:autoSpaceDE/>
              <w:autoSpaceDN/>
              <w:spacing w:line="400" w:lineRule="exact"/>
              <w:ind w:left="120" w:leftChars="50"/>
              <w:rPr>
                <w:rFonts w:ascii="宋体" w:hAnsi="宋体" w:eastAsia="宋体" w:cs="宋体"/>
                <w:color w:val="auto"/>
                <w:szCs w:val="24"/>
                <w:highlight w:val="none"/>
              </w:rPr>
            </w:pPr>
            <w:r>
              <w:rPr>
                <w:rFonts w:hint="eastAsia" w:ascii="宋体" w:hAnsi="宋体" w:eastAsia="宋体" w:cs="宋体"/>
                <w:bCs/>
                <w:color w:val="auto"/>
                <w:kern w:val="2"/>
                <w:szCs w:val="24"/>
                <w:highlight w:val="none"/>
                <w:lang w:eastAsia="zh-CN"/>
              </w:rPr>
              <w:t>□</w:t>
            </w:r>
            <w:r>
              <w:rPr>
                <w:rFonts w:hint="eastAsia" w:ascii="宋体" w:hAnsi="宋体" w:eastAsia="宋体" w:cs="宋体"/>
                <w:color w:val="auto"/>
                <w:szCs w:val="24"/>
                <w:highlight w:val="none"/>
              </w:rPr>
              <w:t>允许。分包的工程内容：</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分包企业应符合规定的资格要求。允许分包的，成交后以分包方式履行合同的需提供分包意向协议。</w:t>
            </w:r>
          </w:p>
        </w:tc>
      </w:tr>
      <w:tr w14:paraId="03C32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542" w:hRule="atLeast"/>
        </w:trPr>
        <w:tc>
          <w:tcPr>
            <w:tcW w:w="810" w:type="dxa"/>
            <w:tcBorders>
              <w:tl2br w:val="nil"/>
              <w:tr2bl w:val="nil"/>
            </w:tcBorders>
            <w:shd w:val="clear" w:color="auto" w:fill="FFFFFF"/>
            <w:vAlign w:val="center"/>
          </w:tcPr>
          <w:p w14:paraId="30E233BD">
            <w:pPr>
              <w:pStyle w:val="9"/>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highlight w:val="none"/>
              </w:rPr>
            </w:pPr>
          </w:p>
        </w:tc>
        <w:tc>
          <w:tcPr>
            <w:tcW w:w="2460" w:type="dxa"/>
            <w:tcBorders>
              <w:tl2br w:val="nil"/>
              <w:tr2bl w:val="nil"/>
            </w:tcBorders>
            <w:shd w:val="clear" w:color="auto" w:fill="FFFFFF"/>
            <w:vAlign w:val="center"/>
          </w:tcPr>
          <w:p w14:paraId="3198C08D">
            <w:pPr>
              <w:kinsoku/>
              <w:wordWrap w:val="0"/>
              <w:topLinePunct/>
              <w:autoSpaceDE/>
              <w:autoSpaceDN/>
              <w:adjustRightInd/>
              <w:snapToGrid/>
              <w:spacing w:before="120" w:beforeLines="50"/>
              <w:ind w:left="120" w:leftChars="50"/>
              <w:jc w:val="center"/>
              <w:rPr>
                <w:rFonts w:ascii="宋体" w:hAnsi="宋体" w:eastAsia="宋体" w:cs="宋体"/>
                <w:color w:val="auto"/>
                <w:szCs w:val="24"/>
                <w:highlight w:val="none"/>
              </w:rPr>
            </w:pPr>
            <w:r>
              <w:rPr>
                <w:rFonts w:hint="eastAsia" w:ascii="宋体" w:hAnsi="宋体" w:eastAsia="宋体" w:cs="宋体"/>
                <w:color w:val="auto"/>
                <w:kern w:val="2"/>
                <w:szCs w:val="24"/>
                <w:highlight w:val="none"/>
              </w:rPr>
              <w:t>潜在承包人要求澄清交易文件</w:t>
            </w:r>
          </w:p>
        </w:tc>
        <w:tc>
          <w:tcPr>
            <w:tcW w:w="6480" w:type="dxa"/>
            <w:tcBorders>
              <w:tl2br w:val="nil"/>
              <w:tr2bl w:val="nil"/>
            </w:tcBorders>
            <w:shd w:val="clear" w:color="auto" w:fill="FFFFFF"/>
          </w:tcPr>
          <w:p w14:paraId="54A7E3D6">
            <w:pPr>
              <w:kinsoku/>
              <w:topLinePunct/>
              <w:autoSpaceDE/>
              <w:autoSpaceDN/>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详见交易公告或响应邀请书。</w:t>
            </w:r>
          </w:p>
          <w:p w14:paraId="26E7B566">
            <w:pPr>
              <w:kinsoku/>
              <w:topLinePunct/>
              <w:autoSpaceDE/>
              <w:autoSpaceDN/>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注：采用最低价法、合理低价法的邀请竞标项目，原则上不作澄清或提疑，默认提出问题截止时间同响应文件递交截止时间；如确需澄清的，由受邀潜在承包人书面提交异议至发包人或代理机构，经确认需修改交易文件的，由发包人发布更正答疑公告并延期。</w:t>
            </w:r>
          </w:p>
        </w:tc>
      </w:tr>
      <w:tr w14:paraId="485A1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542" w:hRule="atLeast"/>
        </w:trPr>
        <w:tc>
          <w:tcPr>
            <w:tcW w:w="810" w:type="dxa"/>
            <w:tcBorders>
              <w:tl2br w:val="nil"/>
              <w:tr2bl w:val="nil"/>
            </w:tcBorders>
            <w:shd w:val="clear" w:color="auto" w:fill="FFFFFF"/>
            <w:vAlign w:val="center"/>
          </w:tcPr>
          <w:p w14:paraId="6DF941F4">
            <w:pPr>
              <w:pStyle w:val="9"/>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highlight w:val="none"/>
              </w:rPr>
            </w:pPr>
          </w:p>
        </w:tc>
        <w:tc>
          <w:tcPr>
            <w:tcW w:w="2460" w:type="dxa"/>
            <w:tcBorders>
              <w:tl2br w:val="nil"/>
              <w:tr2bl w:val="nil"/>
            </w:tcBorders>
            <w:shd w:val="clear" w:color="auto" w:fill="FFFFFF"/>
            <w:vAlign w:val="center"/>
          </w:tcPr>
          <w:p w14:paraId="6CF092B8">
            <w:pPr>
              <w:pStyle w:val="23"/>
              <w:kinsoku/>
              <w:wordWrap w:val="0"/>
              <w:spacing w:before="107"/>
              <w:jc w:val="center"/>
              <w:rPr>
                <w:rFonts w:ascii="宋体" w:hAnsi="宋体" w:eastAsia="宋体" w:cs="宋体"/>
                <w:szCs w:val="24"/>
                <w:highlight w:val="none"/>
              </w:rPr>
            </w:pPr>
            <w:r>
              <w:rPr>
                <w:rFonts w:hint="eastAsia" w:ascii="宋体" w:hAnsi="宋体" w:eastAsia="宋体" w:cs="宋体"/>
                <w:szCs w:val="24"/>
                <w:highlight w:val="none"/>
              </w:rPr>
              <w:t>交易文件澄清</w:t>
            </w:r>
          </w:p>
          <w:p w14:paraId="4DDB9CA0">
            <w:pPr>
              <w:pStyle w:val="23"/>
              <w:kinsoku/>
              <w:wordWrap w:val="0"/>
              <w:spacing w:before="107"/>
              <w:jc w:val="center"/>
              <w:rPr>
                <w:rFonts w:ascii="宋体" w:hAnsi="宋体" w:eastAsia="宋体" w:cs="宋体"/>
                <w:color w:val="auto"/>
                <w:szCs w:val="24"/>
                <w:highlight w:val="none"/>
              </w:rPr>
            </w:pPr>
            <w:r>
              <w:rPr>
                <w:rFonts w:hint="eastAsia" w:ascii="宋体" w:hAnsi="宋体" w:eastAsia="宋体" w:cs="宋体"/>
                <w:szCs w:val="24"/>
                <w:highlight w:val="none"/>
              </w:rPr>
              <w:t>发出的形式</w:t>
            </w:r>
          </w:p>
        </w:tc>
        <w:tc>
          <w:tcPr>
            <w:tcW w:w="6480" w:type="dxa"/>
            <w:tcBorders>
              <w:tl2br w:val="nil"/>
              <w:tr2bl w:val="nil"/>
            </w:tcBorders>
            <w:shd w:val="clear" w:color="auto" w:fill="FFFFFF"/>
            <w:vAlign w:val="center"/>
          </w:tcPr>
          <w:p w14:paraId="06203824">
            <w:pPr>
              <w:kinsoku/>
              <w:topLinePunct/>
              <w:autoSpaceDE/>
              <w:autoSpaceDN/>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详见交易公告或响应邀请书。</w:t>
            </w:r>
          </w:p>
          <w:p w14:paraId="7A296E9D">
            <w:pPr>
              <w:wordWrap w:val="0"/>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补充更正文件将在</w:t>
            </w:r>
            <w:r>
              <w:rPr>
                <w:rFonts w:hint="eastAsia" w:ascii="宋体" w:hAnsi="宋体" w:eastAsia="宋体" w:cs="宋体"/>
                <w:color w:val="auto"/>
                <w:szCs w:val="24"/>
                <w:highlight w:val="none"/>
                <w:u w:val="single"/>
              </w:rPr>
              <w:t>杭州城投采购平台（</w:t>
            </w:r>
            <w:r>
              <w:rPr>
                <w:rFonts w:ascii="宋体" w:hAnsi="宋体" w:eastAsia="宋体" w:cs="宋体"/>
                <w:color w:val="auto"/>
                <w:szCs w:val="24"/>
                <w:highlight w:val="none"/>
                <w:u w:val="single"/>
              </w:rPr>
              <w:t>https://jczx.hzcjtz.com）</w:t>
            </w:r>
            <w:r>
              <w:rPr>
                <w:rFonts w:hint="eastAsia" w:ascii="宋体" w:hAnsi="宋体" w:eastAsia="宋体" w:cs="宋体"/>
                <w:color w:val="auto"/>
                <w:szCs w:val="24"/>
                <w:highlight w:val="none"/>
                <w:u w:val="single"/>
              </w:rPr>
              <w:t>、招必得</w:t>
            </w:r>
            <w:r>
              <w:rPr>
                <w:rFonts w:ascii="宋体" w:hAnsi="宋体" w:eastAsia="宋体" w:cs="宋体"/>
                <w:color w:val="auto"/>
                <w:szCs w:val="24"/>
                <w:highlight w:val="none"/>
                <w:u w:val="single"/>
              </w:rPr>
              <w:t>-建易招标采购平台城投集团专区（www.zhaobide.com）</w:t>
            </w:r>
            <w:r>
              <w:rPr>
                <w:rFonts w:hint="eastAsia" w:ascii="宋体" w:hAnsi="宋体" w:eastAsia="宋体" w:cs="宋体"/>
                <w:color w:val="auto"/>
                <w:szCs w:val="24"/>
                <w:highlight w:val="none"/>
              </w:rPr>
              <w:t>上发布。在响应开启前，潜在承包人须随时关注网站的最新答疑澄清信息，自行下载。</w:t>
            </w:r>
          </w:p>
        </w:tc>
      </w:tr>
      <w:tr w14:paraId="5C544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542" w:hRule="atLeast"/>
        </w:trPr>
        <w:tc>
          <w:tcPr>
            <w:tcW w:w="810" w:type="dxa"/>
            <w:tcBorders>
              <w:tl2br w:val="nil"/>
              <w:tr2bl w:val="nil"/>
            </w:tcBorders>
            <w:shd w:val="clear" w:color="auto" w:fill="FFFFFF"/>
            <w:vAlign w:val="center"/>
          </w:tcPr>
          <w:p w14:paraId="707FF3FE">
            <w:pPr>
              <w:pStyle w:val="9"/>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highlight w:val="none"/>
              </w:rPr>
            </w:pPr>
          </w:p>
        </w:tc>
        <w:tc>
          <w:tcPr>
            <w:tcW w:w="2460" w:type="dxa"/>
            <w:tcBorders>
              <w:tl2br w:val="nil"/>
              <w:tr2bl w:val="nil"/>
            </w:tcBorders>
            <w:shd w:val="clear" w:color="auto" w:fill="FFFFFF"/>
            <w:vAlign w:val="center"/>
          </w:tcPr>
          <w:p w14:paraId="44CE467F">
            <w:pPr>
              <w:pStyle w:val="23"/>
              <w:kinsoku/>
              <w:wordWrap w:val="0"/>
              <w:jc w:val="center"/>
              <w:rPr>
                <w:rFonts w:ascii="宋体" w:hAnsi="宋体" w:eastAsia="宋体" w:cs="宋体"/>
                <w:szCs w:val="24"/>
                <w:highlight w:val="none"/>
              </w:rPr>
            </w:pPr>
            <w:r>
              <w:rPr>
                <w:rFonts w:hint="eastAsia" w:ascii="宋体" w:hAnsi="宋体" w:eastAsia="宋体" w:cs="宋体"/>
                <w:color w:val="auto"/>
                <w:szCs w:val="24"/>
                <w:highlight w:val="none"/>
              </w:rPr>
              <w:t>潜在承包人</w:t>
            </w:r>
            <w:r>
              <w:rPr>
                <w:rFonts w:hint="eastAsia" w:ascii="宋体" w:hAnsi="宋体" w:eastAsia="宋体" w:cs="宋体"/>
                <w:szCs w:val="24"/>
                <w:highlight w:val="none"/>
              </w:rPr>
              <w:t>确认</w:t>
            </w:r>
          </w:p>
          <w:p w14:paraId="08544ABE">
            <w:pPr>
              <w:pStyle w:val="23"/>
              <w:kinsoku/>
              <w:wordWrap w:val="0"/>
              <w:jc w:val="center"/>
              <w:rPr>
                <w:rFonts w:ascii="宋体" w:hAnsi="宋体" w:eastAsia="宋体" w:cs="宋体"/>
                <w:color w:val="auto"/>
                <w:szCs w:val="24"/>
                <w:highlight w:val="none"/>
              </w:rPr>
            </w:pPr>
            <w:r>
              <w:rPr>
                <w:rFonts w:hint="eastAsia" w:ascii="宋体" w:hAnsi="宋体" w:eastAsia="宋体" w:cs="宋体"/>
                <w:szCs w:val="24"/>
                <w:highlight w:val="none"/>
              </w:rPr>
              <w:t>收到</w:t>
            </w:r>
            <w:r>
              <w:rPr>
                <w:rFonts w:hint="eastAsia" w:ascii="宋体" w:hAnsi="宋体" w:eastAsia="宋体" w:cs="宋体"/>
                <w:color w:val="auto"/>
                <w:szCs w:val="24"/>
                <w:highlight w:val="none"/>
              </w:rPr>
              <w:t>补充更正文件</w:t>
            </w:r>
          </w:p>
        </w:tc>
        <w:tc>
          <w:tcPr>
            <w:tcW w:w="6480" w:type="dxa"/>
            <w:tcBorders>
              <w:tl2br w:val="nil"/>
              <w:tr2bl w:val="nil"/>
            </w:tcBorders>
            <w:shd w:val="clear" w:color="auto" w:fill="FFFFFF"/>
            <w:vAlign w:val="center"/>
          </w:tcPr>
          <w:p w14:paraId="2DC863B2">
            <w:pPr>
              <w:wordWrap w:val="0"/>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潜在承包人应自行关注</w:t>
            </w:r>
            <w:r>
              <w:rPr>
                <w:rFonts w:hint="eastAsia" w:ascii="宋体" w:hAnsi="宋体" w:eastAsia="宋体" w:cs="宋体"/>
                <w:color w:val="auto"/>
                <w:szCs w:val="24"/>
                <w:highlight w:val="none"/>
                <w:u w:val="single"/>
              </w:rPr>
              <w:t>杭州城投采购平台（</w:t>
            </w:r>
            <w:r>
              <w:rPr>
                <w:rFonts w:ascii="宋体" w:hAnsi="宋体" w:eastAsia="宋体" w:cs="宋体"/>
                <w:color w:val="auto"/>
                <w:szCs w:val="24"/>
                <w:highlight w:val="none"/>
                <w:u w:val="single"/>
              </w:rPr>
              <w:t>https://jczx.hzcjtz.com）</w:t>
            </w:r>
            <w:r>
              <w:rPr>
                <w:rFonts w:hint="eastAsia" w:ascii="宋体" w:hAnsi="宋体" w:eastAsia="宋体" w:cs="宋体"/>
                <w:color w:val="auto"/>
                <w:szCs w:val="24"/>
                <w:highlight w:val="none"/>
                <w:u w:val="single"/>
              </w:rPr>
              <w:t>、招必得</w:t>
            </w:r>
            <w:r>
              <w:rPr>
                <w:rFonts w:ascii="宋体" w:hAnsi="宋体" w:eastAsia="宋体" w:cs="宋体"/>
                <w:color w:val="auto"/>
                <w:szCs w:val="24"/>
                <w:highlight w:val="none"/>
                <w:u w:val="single"/>
              </w:rPr>
              <w:t>-建易招标采购平台城投集团专区（www.zhaobide.com）</w:t>
            </w:r>
            <w:r>
              <w:rPr>
                <w:rFonts w:hint="eastAsia" w:ascii="宋体" w:hAnsi="宋体" w:eastAsia="宋体" w:cs="宋体"/>
                <w:color w:val="auto"/>
                <w:szCs w:val="24"/>
                <w:highlight w:val="none"/>
              </w:rPr>
              <w:t>发布的补充文件信息，发包人不再逐一通知。潜在承包人因自身贻误行为导致响应失败的，责任自负。</w:t>
            </w:r>
          </w:p>
        </w:tc>
      </w:tr>
      <w:tr w14:paraId="53DDD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1316" w:hRule="atLeast"/>
        </w:trPr>
        <w:tc>
          <w:tcPr>
            <w:tcW w:w="810" w:type="dxa"/>
            <w:tcBorders>
              <w:tl2br w:val="nil"/>
              <w:tr2bl w:val="nil"/>
            </w:tcBorders>
            <w:shd w:val="clear" w:color="auto" w:fill="FFFFFF"/>
            <w:vAlign w:val="center"/>
          </w:tcPr>
          <w:p w14:paraId="3A010CAC">
            <w:pPr>
              <w:pStyle w:val="9"/>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highlight w:val="none"/>
              </w:rPr>
            </w:pPr>
          </w:p>
        </w:tc>
        <w:tc>
          <w:tcPr>
            <w:tcW w:w="2460" w:type="dxa"/>
            <w:tcBorders>
              <w:tl2br w:val="nil"/>
              <w:tr2bl w:val="nil"/>
            </w:tcBorders>
            <w:shd w:val="clear" w:color="auto" w:fill="FFFFFF"/>
            <w:vAlign w:val="center"/>
          </w:tcPr>
          <w:p w14:paraId="7AB626E4">
            <w:pPr>
              <w:kinsoku/>
              <w:wordWrap w:val="0"/>
              <w:topLinePunct/>
              <w:autoSpaceDE/>
              <w:autoSpaceDN/>
              <w:adjustRightInd/>
              <w:snapToGrid/>
              <w:spacing w:before="120" w:beforeLines="50"/>
              <w:ind w:left="120" w:leftChars="50"/>
              <w:jc w:val="center"/>
              <w:rPr>
                <w:rFonts w:ascii="宋体" w:hAnsi="宋体" w:eastAsia="宋体" w:cs="宋体"/>
                <w:color w:val="auto"/>
                <w:szCs w:val="24"/>
                <w:highlight w:val="none"/>
              </w:rPr>
            </w:pPr>
            <w:r>
              <w:rPr>
                <w:rFonts w:hint="eastAsia" w:ascii="宋体" w:hAnsi="宋体" w:eastAsia="宋体" w:cs="宋体"/>
                <w:color w:val="auto"/>
                <w:szCs w:val="24"/>
                <w:highlight w:val="none"/>
              </w:rPr>
              <w:t>响应文件的组成</w:t>
            </w:r>
          </w:p>
        </w:tc>
        <w:tc>
          <w:tcPr>
            <w:tcW w:w="6480" w:type="dxa"/>
            <w:tcBorders>
              <w:tl2br w:val="nil"/>
              <w:tr2bl w:val="nil"/>
            </w:tcBorders>
            <w:shd w:val="clear" w:color="auto" w:fill="FFFFFF"/>
          </w:tcPr>
          <w:p w14:paraId="037D82AF">
            <w:pPr>
              <w:kinsoku/>
              <w:wordWrap w:val="0"/>
              <w:autoSpaceDE/>
              <w:autoSpaceDN/>
              <w:spacing w:line="400" w:lineRule="exact"/>
              <w:ind w:left="120" w:leftChars="50"/>
              <w:rPr>
                <w:rFonts w:ascii="宋体" w:hAnsi="宋体" w:eastAsia="宋体" w:cs="宋体"/>
                <w:bCs/>
                <w:color w:val="auto"/>
                <w:szCs w:val="24"/>
                <w:highlight w:val="none"/>
              </w:rPr>
            </w:pPr>
            <w:r>
              <w:rPr>
                <w:rFonts w:hint="eastAsia" w:ascii="宋体" w:hAnsi="宋体" w:eastAsia="宋体" w:cs="宋体"/>
                <w:bCs/>
                <w:szCs w:val="24"/>
                <w:highlight w:val="none"/>
              </w:rPr>
              <w:t>（1）资信标及资格审查文件；</w:t>
            </w:r>
            <w:r>
              <w:rPr>
                <w:rFonts w:hint="eastAsia" w:ascii="宋体" w:hAnsi="宋体" w:eastAsia="宋体" w:cs="宋体"/>
                <w:color w:val="auto"/>
                <w:szCs w:val="24"/>
                <w:highlight w:val="none"/>
              </w:rPr>
              <w:t>■企业分管安全生产副经理、企业经理、技术负责人的任命书复制件；■</w:t>
            </w:r>
            <w:r>
              <w:rPr>
                <w:rFonts w:hint="eastAsia" w:ascii="宋体" w:hAnsi="宋体" w:eastAsia="宋体" w:cs="宋体"/>
                <w:bCs/>
                <w:szCs w:val="24"/>
                <w:highlight w:val="none"/>
              </w:rPr>
              <w:t>其他响应资料：</w:t>
            </w:r>
            <w:r>
              <w:rPr>
                <w:rFonts w:hint="eastAsia" w:ascii="宋体" w:hAnsi="宋体" w:eastAsia="宋体" w:cs="宋体"/>
                <w:bCs/>
                <w:szCs w:val="24"/>
                <w:highlight w:val="none"/>
                <w:u w:val="single"/>
              </w:rPr>
              <w:t xml:space="preserve"> </w:t>
            </w:r>
            <w:r>
              <w:rPr>
                <w:rFonts w:hint="eastAsia" w:ascii="宋体" w:hAnsi="宋体" w:eastAsia="宋体" w:cs="宋体"/>
                <w:bCs/>
                <w:color w:val="auto"/>
                <w:szCs w:val="24"/>
                <w:highlight w:val="none"/>
                <w:u w:val="single"/>
              </w:rPr>
              <w:t xml:space="preserve">  资质证书、</w:t>
            </w:r>
            <w:r>
              <w:rPr>
                <w:rFonts w:hint="eastAsia" w:ascii="宋体" w:hAnsi="宋体" w:eastAsia="宋体" w:cs="宋体"/>
                <w:color w:val="auto"/>
                <w:szCs w:val="24"/>
                <w:highlight w:val="none"/>
                <w:u w:val="single"/>
              </w:rPr>
              <w:t>安全生产许可证</w:t>
            </w:r>
            <w:r>
              <w:rPr>
                <w:rFonts w:hint="eastAsia" w:ascii="宋体" w:hAnsi="宋体" w:eastAsia="宋体" w:cs="宋体"/>
                <w:bCs/>
                <w:color w:val="auto"/>
                <w:szCs w:val="24"/>
                <w:highlight w:val="none"/>
                <w:u w:val="single"/>
              </w:rPr>
              <w:t xml:space="preserve">等相关资格要求材料  </w:t>
            </w:r>
            <w:r>
              <w:rPr>
                <w:rFonts w:hint="eastAsia" w:ascii="宋体" w:hAnsi="宋体" w:eastAsia="宋体" w:cs="宋体"/>
                <w:bCs/>
                <w:color w:val="auto"/>
                <w:szCs w:val="24"/>
                <w:highlight w:val="none"/>
              </w:rPr>
              <w:t>。</w:t>
            </w:r>
          </w:p>
          <w:p w14:paraId="12C72359">
            <w:pPr>
              <w:kinsoku/>
              <w:wordWrap w:val="0"/>
              <w:autoSpaceDE/>
              <w:autoSpaceDN/>
              <w:spacing w:line="400" w:lineRule="exact"/>
              <w:ind w:left="120" w:leftChars="50"/>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（2）技术标（仅提供技术响应承诺书，无需编制其他技术标内容）；</w:t>
            </w:r>
            <w:r>
              <w:rPr>
                <w:rFonts w:hint="eastAsia"/>
                <w:color w:val="auto"/>
                <w:sz w:val="22"/>
                <w:szCs w:val="22"/>
                <w:highlight w:val="none"/>
                <w:shd w:val="pct10" w:color="auto" w:fill="FFFFFF"/>
                <w:lang w:eastAsia="zh-CN"/>
              </w:rPr>
              <w:t>□</w:t>
            </w:r>
            <w:r>
              <w:rPr>
                <w:rFonts w:hint="eastAsia" w:ascii="宋体" w:hAnsi="宋体" w:eastAsia="宋体" w:cs="宋体"/>
                <w:bCs/>
                <w:color w:val="auto"/>
                <w:szCs w:val="24"/>
                <w:highlight w:val="none"/>
              </w:rPr>
              <w:t>技术标其他响应资料：</w:t>
            </w:r>
            <w:r>
              <w:rPr>
                <w:rFonts w:hint="eastAsia" w:ascii="宋体" w:hAnsi="宋体" w:eastAsia="宋体" w:cs="宋体"/>
                <w:bCs/>
                <w:color w:val="auto"/>
                <w:szCs w:val="24"/>
                <w:highlight w:val="none"/>
                <w:u w:val="single"/>
              </w:rPr>
              <w:t xml:space="preserve">             </w:t>
            </w:r>
            <w:r>
              <w:rPr>
                <w:rFonts w:hint="eastAsia" w:ascii="宋体" w:hAnsi="宋体" w:eastAsia="宋体" w:cs="宋体"/>
                <w:bCs/>
                <w:color w:val="auto"/>
                <w:szCs w:val="24"/>
                <w:highlight w:val="none"/>
              </w:rPr>
              <w:t>。</w:t>
            </w:r>
          </w:p>
          <w:p w14:paraId="12B6687F">
            <w:pPr>
              <w:kinsoku/>
              <w:wordWrap w:val="0"/>
              <w:spacing w:line="400" w:lineRule="exact"/>
              <w:ind w:left="120" w:leftChars="50"/>
              <w:rPr>
                <w:rFonts w:ascii="宋体" w:hAnsi="宋体" w:eastAsia="宋体" w:cs="宋体"/>
                <w:color w:val="auto"/>
                <w:szCs w:val="24"/>
                <w:highlight w:val="none"/>
                <w:lang w:val="zh-CN"/>
              </w:rPr>
            </w:pPr>
            <w:r>
              <w:rPr>
                <w:rFonts w:hint="eastAsia" w:ascii="宋体" w:hAnsi="宋体" w:eastAsia="宋体" w:cs="宋体"/>
                <w:bCs/>
                <w:color w:val="auto"/>
                <w:szCs w:val="24"/>
                <w:highlight w:val="none"/>
              </w:rPr>
              <w:t>（3）商务标；</w:t>
            </w:r>
            <w:r>
              <w:rPr>
                <w:rFonts w:hint="eastAsia"/>
                <w:color w:val="auto"/>
                <w:sz w:val="22"/>
                <w:szCs w:val="22"/>
                <w:highlight w:val="none"/>
                <w:shd w:val="pct10" w:color="auto" w:fill="FFFFFF"/>
                <w:lang w:eastAsia="zh-CN"/>
              </w:rPr>
              <w:t>□</w:t>
            </w:r>
            <w:r>
              <w:rPr>
                <w:rFonts w:hint="eastAsia" w:ascii="宋体" w:hAnsi="宋体" w:eastAsia="宋体" w:cs="宋体"/>
                <w:bCs/>
                <w:color w:val="auto"/>
                <w:szCs w:val="24"/>
                <w:highlight w:val="none"/>
              </w:rPr>
              <w:t>其他响应资料：</w:t>
            </w:r>
            <w:r>
              <w:rPr>
                <w:rFonts w:hint="eastAsia" w:ascii="宋体" w:hAnsi="宋体" w:eastAsia="宋体" w:cs="宋体"/>
                <w:bCs/>
                <w:color w:val="auto"/>
                <w:szCs w:val="24"/>
                <w:highlight w:val="none"/>
                <w:u w:val="single"/>
              </w:rPr>
              <w:t xml:space="preserve">        </w:t>
            </w:r>
            <w:r>
              <w:rPr>
                <w:rFonts w:hint="eastAsia" w:ascii="宋体" w:hAnsi="宋体" w:eastAsia="宋体" w:cs="宋体"/>
                <w:bCs/>
                <w:color w:val="auto"/>
                <w:szCs w:val="24"/>
                <w:highlight w:val="none"/>
              </w:rPr>
              <w:t>。</w:t>
            </w:r>
          </w:p>
          <w:p w14:paraId="14433582">
            <w:pPr>
              <w:kinsoku/>
              <w:wordWrap w:val="0"/>
              <w:autoSpaceDE/>
              <w:autoSpaceDN/>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注：</w:t>
            </w:r>
          </w:p>
          <w:p w14:paraId="5A1C5382">
            <w:pPr>
              <w:numPr>
                <w:ilvl w:val="0"/>
                <w:numId w:val="3"/>
              </w:numPr>
              <w:kinsoku/>
              <w:wordWrap w:val="0"/>
              <w:autoSpaceDE/>
              <w:autoSpaceDN/>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以上内容都必须使用交易文件提供的格式或大纲，除另有规定外，潜在承包人不得修改，并要求按照上述次序编制，否则视作</w:t>
            </w:r>
            <w:r>
              <w:rPr>
                <w:rFonts w:hint="eastAsia" w:ascii="宋体" w:hAnsi="宋体" w:eastAsia="宋体" w:cs="宋体"/>
                <w:color w:val="auto"/>
                <w:szCs w:val="24"/>
                <w:highlight w:val="none"/>
                <w:lang w:val="zh-CN"/>
              </w:rPr>
              <w:t>响应</w:t>
            </w:r>
            <w:r>
              <w:rPr>
                <w:rFonts w:hint="eastAsia" w:ascii="宋体" w:hAnsi="宋体" w:eastAsia="宋体" w:cs="宋体"/>
                <w:color w:val="auto"/>
                <w:szCs w:val="24"/>
                <w:highlight w:val="none"/>
              </w:rPr>
              <w:t>文件未按交易文件规定的格式填写，关键内容缺失。未提供格式的内容请各潜在承包人自拟。</w:t>
            </w:r>
          </w:p>
          <w:p w14:paraId="27B5B837">
            <w:pPr>
              <w:kinsoku/>
              <w:wordWrap w:val="0"/>
              <w:autoSpaceDE/>
              <w:autoSpaceDN/>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kern w:val="2"/>
                <w:szCs w:val="24"/>
                <w:highlight w:val="none"/>
              </w:rPr>
              <w:t>2.</w:t>
            </w:r>
            <w:r>
              <w:rPr>
                <w:rFonts w:hint="eastAsia" w:ascii="宋体" w:hAnsi="宋体" w:eastAsia="宋体" w:cs="宋体"/>
                <w:color w:val="auto"/>
                <w:szCs w:val="24"/>
                <w:highlight w:val="none"/>
              </w:rPr>
              <w:t>本项目采用最低价法或合理低价法，实行技术响应承诺制。技术标文件可仅提供技术响应承诺书。</w:t>
            </w:r>
          </w:p>
          <w:p w14:paraId="592BE725">
            <w:pPr>
              <w:kinsoku/>
              <w:wordWrap w:val="0"/>
              <w:autoSpaceDE/>
              <w:autoSpaceDN/>
              <w:spacing w:line="400" w:lineRule="exact"/>
              <w:ind w:left="120" w:leftChars="50"/>
              <w:rPr>
                <w:rFonts w:ascii="宋体" w:hAnsi="宋体" w:eastAsia="宋体" w:cs="宋体"/>
                <w:color w:val="auto"/>
                <w:szCs w:val="24"/>
                <w:highlight w:val="none"/>
              </w:rPr>
            </w:pPr>
            <w:r>
              <w:rPr>
                <w:rFonts w:hint="eastAsia" w:ascii="宋体" w:hAnsi="宋体" w:eastAsia="宋体" w:cs="宋体"/>
                <w:bCs/>
                <w:color w:val="auto"/>
                <w:kern w:val="2"/>
                <w:szCs w:val="24"/>
                <w:highlight w:val="none"/>
                <w:lang w:eastAsia="zh-CN"/>
              </w:rPr>
              <w:t>□</w:t>
            </w:r>
            <w:r>
              <w:rPr>
                <w:rFonts w:hint="eastAsia" w:ascii="宋体" w:hAnsi="宋体" w:eastAsia="宋体" w:cs="宋体"/>
                <w:szCs w:val="24"/>
                <w:highlight w:val="none"/>
              </w:rPr>
              <w:t>3.本项目技术标采用暗标。技术标（暗标）文件需上传至投标工具内，暗标文件中不得出现直接反映潜在承包人身份或人员姓名的信息，不得出现直接反映潜在承包人身份或人员姓名的标记。</w:t>
            </w:r>
          </w:p>
        </w:tc>
      </w:tr>
      <w:tr w14:paraId="19A5B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542" w:hRule="atLeast"/>
        </w:trPr>
        <w:tc>
          <w:tcPr>
            <w:tcW w:w="810" w:type="dxa"/>
            <w:tcBorders>
              <w:tl2br w:val="nil"/>
              <w:tr2bl w:val="nil"/>
            </w:tcBorders>
            <w:shd w:val="clear" w:color="auto" w:fill="FFFFFF"/>
            <w:vAlign w:val="center"/>
          </w:tcPr>
          <w:p w14:paraId="6371D27B">
            <w:pPr>
              <w:pStyle w:val="9"/>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highlight w:val="none"/>
              </w:rPr>
            </w:pPr>
          </w:p>
        </w:tc>
        <w:tc>
          <w:tcPr>
            <w:tcW w:w="2460" w:type="dxa"/>
            <w:tcBorders>
              <w:tl2br w:val="nil"/>
              <w:tr2bl w:val="nil"/>
            </w:tcBorders>
            <w:shd w:val="clear" w:color="auto" w:fill="FFFFFF"/>
            <w:vAlign w:val="center"/>
          </w:tcPr>
          <w:p w14:paraId="0EDA017E">
            <w:pPr>
              <w:kinsoku/>
              <w:wordWrap w:val="0"/>
              <w:topLinePunct/>
              <w:autoSpaceDE/>
              <w:autoSpaceDN/>
              <w:adjustRightInd/>
              <w:snapToGrid/>
              <w:spacing w:before="120" w:beforeLines="50"/>
              <w:ind w:left="120" w:leftChars="50"/>
              <w:jc w:val="center"/>
              <w:rPr>
                <w:rFonts w:ascii="宋体" w:hAnsi="宋体" w:eastAsia="宋体" w:cs="宋体"/>
                <w:color w:val="auto"/>
                <w:szCs w:val="24"/>
                <w:highlight w:val="none"/>
              </w:rPr>
            </w:pPr>
            <w:r>
              <w:rPr>
                <w:rFonts w:hint="eastAsia" w:ascii="宋体" w:hAnsi="宋体" w:eastAsia="宋体" w:cs="宋体"/>
                <w:color w:val="auto"/>
                <w:szCs w:val="24"/>
                <w:highlight w:val="none"/>
              </w:rPr>
              <w:t>最高报价限价</w:t>
            </w:r>
          </w:p>
        </w:tc>
        <w:tc>
          <w:tcPr>
            <w:tcW w:w="6480" w:type="dxa"/>
            <w:tcBorders>
              <w:tl2br w:val="nil"/>
              <w:tr2bl w:val="nil"/>
            </w:tcBorders>
            <w:shd w:val="clear" w:color="auto" w:fill="FFFFFF"/>
            <w:vAlign w:val="center"/>
          </w:tcPr>
          <w:p w14:paraId="14B7DFBE">
            <w:pPr>
              <w:pStyle w:val="6"/>
              <w:kinsoku/>
              <w:wordWrap w:val="0"/>
              <w:topLinePunct/>
              <w:autoSpaceDE/>
              <w:autoSpaceDN/>
              <w:spacing w:line="400" w:lineRule="exact"/>
              <w:ind w:left="120" w:leftChars="50" w:firstLine="0" w:firstLineChars="0"/>
              <w:rPr>
                <w:rFonts w:ascii="宋体" w:hAnsi="宋体" w:eastAsia="宋体" w:cs="宋体"/>
                <w:color w:val="auto"/>
                <w:szCs w:val="24"/>
                <w:highlight w:val="none"/>
              </w:rPr>
            </w:pPr>
            <w:r>
              <w:rPr>
                <w:rFonts w:hint="eastAsia" w:ascii="宋体" w:hAnsi="宋体" w:eastAsia="宋体" w:cs="宋体"/>
                <w:color w:val="auto"/>
                <w:szCs w:val="24"/>
                <w:highlight w:val="none"/>
              </w:rPr>
              <w:t>(1)最高报价限价为</w:t>
            </w:r>
            <w:r>
              <w:rPr>
                <w:rFonts w:hint="eastAsia" w:ascii="宋体" w:hAnsi="宋体" w:eastAsia="宋体" w:cs="宋体"/>
                <w:color w:val="auto"/>
                <w:szCs w:val="24"/>
                <w:highlight w:val="none"/>
                <w:u w:val="single"/>
                <w:lang w:val="en-US" w:eastAsia="zh-CN"/>
              </w:rPr>
              <w:t>139.7169</w:t>
            </w:r>
            <w:r>
              <w:rPr>
                <w:rFonts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万元。</w:t>
            </w:r>
          </w:p>
          <w:p w14:paraId="28F7A32F">
            <w:pPr>
              <w:pStyle w:val="6"/>
              <w:kinsoku/>
              <w:wordWrap w:val="0"/>
              <w:topLinePunct/>
              <w:autoSpaceDE/>
              <w:autoSpaceDN/>
              <w:spacing w:line="400" w:lineRule="exact"/>
              <w:ind w:left="120" w:leftChars="50" w:firstLine="0" w:firstLineChars="0"/>
              <w:rPr>
                <w:rFonts w:ascii="宋体" w:hAnsi="宋体" w:eastAsia="宋体" w:cs="宋体"/>
                <w:color w:val="auto"/>
                <w:szCs w:val="24"/>
                <w:highlight w:val="none"/>
              </w:rPr>
            </w:pPr>
            <w:r>
              <w:rPr>
                <w:rFonts w:hint="eastAsia" w:ascii="宋体" w:hAnsi="宋体" w:eastAsia="宋体" w:cs="宋体"/>
                <w:color w:val="auto"/>
                <w:szCs w:val="24"/>
                <w:highlight w:val="none"/>
              </w:rPr>
              <w:t>(2)暂列金额为：</w:t>
            </w:r>
            <w:r>
              <w:rPr>
                <w:rFonts w:hint="eastAsia" w:ascii="宋体" w:hAnsi="宋体" w:eastAsia="宋体" w:cs="宋体"/>
                <w:color w:val="auto"/>
                <w:szCs w:val="24"/>
                <w:highlight w:val="none"/>
                <w:u w:val="single"/>
                <w:lang w:val="en-US" w:eastAsia="zh-CN"/>
              </w:rPr>
              <w:t>5.869112</w:t>
            </w:r>
            <w:r>
              <w:rPr>
                <w:rFonts w:hint="eastAsia" w:ascii="宋体" w:hAnsi="宋体" w:eastAsia="宋体" w:cs="宋体"/>
                <w:color w:val="auto"/>
                <w:szCs w:val="24"/>
                <w:highlight w:val="none"/>
              </w:rPr>
              <w:t>万元</w:t>
            </w:r>
            <w:r>
              <w:rPr>
                <w:rFonts w:hint="eastAsia" w:ascii="宋体" w:hAnsi="宋体" w:eastAsia="宋体" w:cs="宋体"/>
                <w:color w:val="auto"/>
                <w:szCs w:val="24"/>
                <w:highlight w:val="none"/>
                <w:lang w:eastAsia="zh-CN"/>
              </w:rPr>
              <w:t>（不含税，税率</w:t>
            </w:r>
            <w:r>
              <w:rPr>
                <w:rFonts w:hint="eastAsia" w:ascii="宋体" w:hAnsi="宋体" w:eastAsia="宋体" w:cs="宋体"/>
                <w:color w:val="auto"/>
                <w:szCs w:val="24"/>
                <w:highlight w:val="none"/>
                <w:lang w:val="en-US" w:eastAsia="zh-CN"/>
              </w:rPr>
              <w:t>9%</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u w:val="none"/>
              </w:rPr>
              <w:t>。</w:t>
            </w:r>
          </w:p>
          <w:p w14:paraId="3102BFD3">
            <w:pPr>
              <w:pStyle w:val="6"/>
              <w:kinsoku/>
              <w:wordWrap w:val="0"/>
              <w:topLinePunct/>
              <w:autoSpaceDE/>
              <w:autoSpaceDN/>
              <w:spacing w:line="400" w:lineRule="exact"/>
              <w:ind w:left="120" w:leftChars="50" w:firstLine="0" w:firstLineChars="0"/>
              <w:rPr>
                <w:rFonts w:ascii="宋体" w:hAnsi="宋体" w:eastAsia="宋体" w:cs="宋体"/>
                <w:color w:val="auto"/>
                <w:szCs w:val="24"/>
                <w:highlight w:val="none"/>
              </w:rPr>
            </w:pPr>
            <w:r>
              <w:rPr>
                <w:rFonts w:hint="eastAsia" w:ascii="宋体" w:hAnsi="宋体" w:eastAsia="宋体" w:cs="宋体"/>
                <w:bCs/>
                <w:color w:val="auto"/>
                <w:kern w:val="2"/>
                <w:szCs w:val="24"/>
                <w:highlight w:val="none"/>
                <w:lang w:eastAsia="zh-CN"/>
              </w:rPr>
              <w:t>□</w:t>
            </w:r>
            <w:r>
              <w:rPr>
                <w:rFonts w:hint="eastAsia" w:ascii="宋体" w:hAnsi="宋体" w:eastAsia="宋体" w:cs="宋体"/>
                <w:color w:val="auto"/>
                <w:szCs w:val="24"/>
                <w:highlight w:val="none"/>
              </w:rPr>
              <w:t>(3)风险控制价</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rPr>
              <w:t>万元，为防止恶意低价竞争，最高报价限价的</w:t>
            </w:r>
            <w:r>
              <w:rPr>
                <w:rFonts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lang w:val="en-US" w:eastAsia="zh-CN"/>
              </w:rPr>
              <w:t>/</w:t>
            </w:r>
            <w:r>
              <w:rPr>
                <w:rFonts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％作为风险控制价，成交价低于风险控制价的，成交人还须向发包人提供风险控制价和成交价的差额担保。 </w:t>
            </w:r>
          </w:p>
          <w:p w14:paraId="07B83968">
            <w:pPr>
              <w:pStyle w:val="6"/>
              <w:kinsoku/>
              <w:wordWrap w:val="0"/>
              <w:topLinePunct/>
              <w:autoSpaceDE/>
              <w:autoSpaceDN/>
              <w:spacing w:line="400" w:lineRule="exact"/>
              <w:ind w:left="120" w:leftChars="50" w:firstLine="0" w:firstLineChars="0"/>
              <w:rPr>
                <w:rFonts w:ascii="宋体" w:hAnsi="宋体" w:eastAsia="宋体" w:cs="宋体"/>
                <w:color w:val="auto"/>
                <w:szCs w:val="24"/>
                <w:highlight w:val="none"/>
              </w:rPr>
            </w:pPr>
            <w:r>
              <w:rPr>
                <w:rFonts w:hint="eastAsia" w:ascii="宋体" w:hAnsi="宋体" w:eastAsia="宋体" w:cs="宋体"/>
                <w:color w:val="auto"/>
                <w:szCs w:val="24"/>
                <w:highlight w:val="none"/>
              </w:rPr>
              <w:t>注：采用最低价法或合理低价法的，不设置风险控制价；采用综合评估法的，发包人可以参照《关于公布杭州市房屋建筑和市政基础设施项目风险控制价设定幅度的通知》（杭建市通知〔2025〕24号），根据项目实际情况设定风险控制价。</w:t>
            </w:r>
          </w:p>
        </w:tc>
      </w:tr>
      <w:tr w14:paraId="20002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810" w:type="dxa"/>
            <w:tcBorders>
              <w:tl2br w:val="nil"/>
              <w:tr2bl w:val="nil"/>
            </w:tcBorders>
            <w:shd w:val="clear" w:color="auto" w:fill="FFFFFF"/>
            <w:vAlign w:val="center"/>
          </w:tcPr>
          <w:p w14:paraId="1B2A759C">
            <w:pPr>
              <w:pStyle w:val="9"/>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highlight w:val="none"/>
              </w:rPr>
            </w:pPr>
          </w:p>
        </w:tc>
        <w:tc>
          <w:tcPr>
            <w:tcW w:w="2460" w:type="dxa"/>
            <w:tcBorders>
              <w:tl2br w:val="nil"/>
              <w:tr2bl w:val="nil"/>
            </w:tcBorders>
            <w:shd w:val="clear" w:color="auto" w:fill="FFFFFF"/>
            <w:vAlign w:val="center"/>
          </w:tcPr>
          <w:p w14:paraId="5DDCE6F7">
            <w:pPr>
              <w:kinsoku/>
              <w:wordWrap w:val="0"/>
              <w:topLinePunct/>
              <w:autoSpaceDE/>
              <w:autoSpaceDN/>
              <w:adjustRightInd/>
              <w:snapToGrid/>
              <w:spacing w:before="120" w:beforeLines="50"/>
              <w:ind w:left="120" w:leftChars="50"/>
              <w:jc w:val="center"/>
              <w:rPr>
                <w:rFonts w:ascii="宋体" w:hAnsi="宋体" w:eastAsia="宋体" w:cs="宋体"/>
                <w:color w:val="auto"/>
                <w:szCs w:val="24"/>
                <w:highlight w:val="none"/>
              </w:rPr>
            </w:pPr>
            <w:r>
              <w:rPr>
                <w:rFonts w:hint="eastAsia" w:ascii="宋体" w:hAnsi="宋体" w:eastAsia="宋体" w:cs="宋体"/>
                <w:color w:val="auto"/>
                <w:szCs w:val="24"/>
                <w:highlight w:val="none"/>
              </w:rPr>
              <w:t>响应文件有效期</w:t>
            </w:r>
          </w:p>
        </w:tc>
        <w:tc>
          <w:tcPr>
            <w:tcW w:w="6480" w:type="dxa"/>
            <w:tcBorders>
              <w:tl2br w:val="nil"/>
              <w:tr2bl w:val="nil"/>
            </w:tcBorders>
            <w:shd w:val="clear" w:color="auto" w:fill="FFFFFF"/>
          </w:tcPr>
          <w:p w14:paraId="5C327442">
            <w:pPr>
              <w:tabs>
                <w:tab w:val="left" w:pos="895"/>
              </w:tabs>
              <w:kinsoku/>
              <w:wordWrap w:val="0"/>
              <w:topLinePunct/>
              <w:autoSpaceDE/>
              <w:autoSpaceDN/>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u w:val="single"/>
              </w:rPr>
              <w:t>90</w:t>
            </w:r>
            <w:r>
              <w:rPr>
                <w:rFonts w:hint="eastAsia" w:ascii="宋体" w:hAnsi="宋体" w:eastAsia="宋体" w:cs="宋体"/>
                <w:color w:val="auto"/>
                <w:szCs w:val="24"/>
                <w:highlight w:val="none"/>
              </w:rPr>
              <w:t>日历天 (从响应截止之日起算)。</w:t>
            </w:r>
          </w:p>
        </w:tc>
      </w:tr>
      <w:tr w14:paraId="7DA42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810" w:type="dxa"/>
            <w:tcBorders>
              <w:tl2br w:val="nil"/>
              <w:tr2bl w:val="nil"/>
            </w:tcBorders>
            <w:shd w:val="clear" w:color="auto" w:fill="FFFFFF"/>
            <w:vAlign w:val="center"/>
          </w:tcPr>
          <w:p w14:paraId="219EF8A7">
            <w:pPr>
              <w:pStyle w:val="9"/>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highlight w:val="none"/>
              </w:rPr>
            </w:pPr>
          </w:p>
        </w:tc>
        <w:tc>
          <w:tcPr>
            <w:tcW w:w="2460" w:type="dxa"/>
            <w:tcBorders>
              <w:tl2br w:val="nil"/>
              <w:tr2bl w:val="nil"/>
            </w:tcBorders>
            <w:shd w:val="clear" w:color="auto" w:fill="FFFFFF"/>
            <w:vAlign w:val="center"/>
          </w:tcPr>
          <w:p w14:paraId="1FD1EFFB">
            <w:pPr>
              <w:kinsoku/>
              <w:wordWrap w:val="0"/>
              <w:topLinePunct/>
              <w:autoSpaceDE/>
              <w:autoSpaceDN/>
              <w:adjustRightInd/>
              <w:snapToGrid/>
              <w:spacing w:before="120" w:beforeLines="50"/>
              <w:ind w:left="120" w:leftChars="50"/>
              <w:jc w:val="center"/>
              <w:rPr>
                <w:rFonts w:ascii="宋体" w:hAnsi="宋体" w:eastAsia="宋体" w:cs="宋体"/>
                <w:color w:val="auto"/>
                <w:szCs w:val="24"/>
                <w:highlight w:val="none"/>
              </w:rPr>
            </w:pPr>
            <w:r>
              <w:rPr>
                <w:rFonts w:hint="eastAsia" w:ascii="宋体" w:hAnsi="宋体" w:eastAsia="宋体" w:cs="宋体"/>
                <w:color w:val="auto"/>
                <w:szCs w:val="24"/>
                <w:highlight w:val="none"/>
              </w:rPr>
              <w:t>交易担保</w:t>
            </w:r>
          </w:p>
        </w:tc>
        <w:tc>
          <w:tcPr>
            <w:tcW w:w="6480" w:type="dxa"/>
            <w:tcBorders>
              <w:tl2br w:val="nil"/>
              <w:tr2bl w:val="nil"/>
            </w:tcBorders>
            <w:shd w:val="clear" w:color="auto" w:fill="FFFFFF"/>
            <w:vAlign w:val="center"/>
          </w:tcPr>
          <w:p w14:paraId="2BFAF4AE">
            <w:pPr>
              <w:tabs>
                <w:tab w:val="left" w:pos="895"/>
              </w:tabs>
              <w:kinsoku/>
              <w:wordWrap w:val="0"/>
              <w:topLinePunct/>
              <w:autoSpaceDE/>
              <w:autoSpaceDN/>
              <w:spacing w:line="400" w:lineRule="exact"/>
              <w:ind w:left="120" w:leftChars="50"/>
              <w:rPr>
                <w:rFonts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1.</w:t>
            </w:r>
            <w:r>
              <w:rPr>
                <w:rFonts w:hint="eastAsia" w:asciiTheme="minorEastAsia" w:hAnsiTheme="minorEastAsia" w:eastAsiaTheme="minorEastAsia" w:cstheme="minorEastAsia"/>
                <w:color w:val="auto"/>
                <w:szCs w:val="24"/>
                <w:highlight w:val="none"/>
              </w:rPr>
              <w:t>是否提供交易保证金：</w:t>
            </w:r>
            <w:r>
              <w:rPr>
                <w:rFonts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u w:val="single"/>
                <w:lang w:eastAsia="zh-CN"/>
              </w:rPr>
              <w:t>是</w:t>
            </w:r>
            <w:r>
              <w:rPr>
                <w:rFonts w:asciiTheme="minorEastAsia" w:hAnsiTheme="minorEastAsia" w:eastAsiaTheme="minorEastAsia" w:cstheme="minorEastAsia"/>
                <w:color w:val="auto"/>
                <w:szCs w:val="24"/>
                <w:highlight w:val="none"/>
                <w:u w:val="single"/>
              </w:rPr>
              <w:t xml:space="preserve">   </w:t>
            </w:r>
          </w:p>
          <w:p w14:paraId="3995B388">
            <w:pPr>
              <w:tabs>
                <w:tab w:val="left" w:pos="895"/>
              </w:tabs>
              <w:kinsoku/>
              <w:wordWrap w:val="0"/>
              <w:topLinePunct/>
              <w:autoSpaceDE/>
              <w:autoSpaceDN/>
              <w:spacing w:line="400" w:lineRule="exact"/>
              <w:ind w:left="120" w:leftChars="50"/>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2.金额：人民币</w:t>
            </w:r>
            <w:r>
              <w:rPr>
                <w:rFonts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u w:val="single"/>
                <w:lang w:eastAsia="zh-CN"/>
              </w:rPr>
              <w:t>20000</w:t>
            </w:r>
            <w:r>
              <w:rPr>
                <w:rFonts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元（不得超过项目控制价的2%，且最高不得超过50万元）</w:t>
            </w:r>
          </w:p>
          <w:p w14:paraId="703E8F63">
            <w:pPr>
              <w:tabs>
                <w:tab w:val="left" w:pos="895"/>
              </w:tabs>
              <w:kinsoku/>
              <w:wordWrap w:val="0"/>
              <w:topLinePunct/>
              <w:autoSpaceDE/>
              <w:autoSpaceDN/>
              <w:spacing w:line="400" w:lineRule="exact"/>
              <w:ind w:left="120" w:leftChars="50"/>
              <w:rPr>
                <w:rFonts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3.</w:t>
            </w:r>
            <w:r>
              <w:rPr>
                <w:rFonts w:hint="eastAsia" w:asciiTheme="minorEastAsia" w:hAnsiTheme="minorEastAsia" w:eastAsiaTheme="minorEastAsia" w:cstheme="minorEastAsia"/>
                <w:color w:val="auto"/>
                <w:szCs w:val="24"/>
                <w:highlight w:val="none"/>
              </w:rPr>
              <w:t>交纳</w:t>
            </w:r>
            <w:r>
              <w:rPr>
                <w:rFonts w:hint="eastAsia" w:ascii="宋体" w:hAnsi="宋体" w:eastAsia="宋体" w:cs="宋体"/>
                <w:highlight w:val="none"/>
              </w:rPr>
              <w:t>截止</w:t>
            </w:r>
            <w:r>
              <w:rPr>
                <w:rFonts w:hint="eastAsia" w:asciiTheme="minorEastAsia" w:hAnsiTheme="minorEastAsia" w:eastAsiaTheme="minorEastAsia" w:cstheme="minorEastAsia"/>
                <w:color w:val="auto"/>
                <w:szCs w:val="24"/>
                <w:highlight w:val="none"/>
              </w:rPr>
              <w:t>期限：</w:t>
            </w:r>
            <w:r>
              <w:rPr>
                <w:rFonts w:hint="eastAsia" w:asciiTheme="minorEastAsia" w:hAnsiTheme="minorEastAsia" w:eastAsiaTheme="minorEastAsia" w:cstheme="minorEastAsia"/>
                <w:color w:val="auto"/>
                <w:szCs w:val="24"/>
                <w:highlight w:val="none"/>
                <w:u w:val="single"/>
              </w:rPr>
              <w:t xml:space="preserve">     见交易公告或响应邀请书      </w:t>
            </w:r>
            <w:r>
              <w:rPr>
                <w:rFonts w:hint="eastAsia" w:asciiTheme="minorEastAsia" w:hAnsiTheme="minorEastAsia" w:eastAsiaTheme="minorEastAsia" w:cstheme="minorEastAsia"/>
                <w:color w:val="auto"/>
                <w:szCs w:val="24"/>
                <w:highlight w:val="none"/>
              </w:rPr>
              <w:t>。</w:t>
            </w:r>
          </w:p>
          <w:p w14:paraId="044F89BB">
            <w:pPr>
              <w:tabs>
                <w:tab w:val="left" w:pos="895"/>
              </w:tabs>
              <w:kinsoku/>
              <w:wordWrap w:val="0"/>
              <w:topLinePunct/>
              <w:autoSpaceDE/>
              <w:autoSpaceDN/>
              <w:spacing w:line="400" w:lineRule="exact"/>
              <w:ind w:left="120" w:leftChars="50"/>
              <w:rPr>
                <w:rFonts w:hint="eastAsia" w:asciiTheme="minorEastAsia" w:hAnsiTheme="minorEastAsia" w:eastAsiaTheme="minorEastAsia" w:cstheme="minorEastAsia"/>
                <w:b/>
                <w:bCs/>
                <w:color w:val="auto"/>
                <w:szCs w:val="24"/>
                <w:highlight w:val="none"/>
                <w:lang w:eastAsia="zh-CN"/>
              </w:rPr>
            </w:pPr>
            <w:r>
              <w:rPr>
                <w:rFonts w:hint="eastAsia" w:asciiTheme="minorEastAsia" w:hAnsiTheme="minorEastAsia" w:eastAsiaTheme="minorEastAsia" w:cstheme="minorEastAsia"/>
                <w:color w:val="auto"/>
                <w:szCs w:val="24"/>
                <w:highlight w:val="none"/>
                <w:lang w:bidi="ar"/>
              </w:rPr>
              <w:t>4.交纳方式：</w:t>
            </w:r>
            <w:r>
              <w:rPr>
                <w:rFonts w:asciiTheme="minorEastAsia" w:hAnsiTheme="minorEastAsia" w:eastAsiaTheme="minorEastAsia" w:cstheme="minorEastAsia"/>
                <w:color w:val="auto"/>
                <w:szCs w:val="24"/>
                <w:highlight w:val="none"/>
                <w:u w:val="single"/>
                <w:lang w:bidi="ar"/>
              </w:rPr>
              <w:t xml:space="preserve"> </w:t>
            </w:r>
            <w:r>
              <w:rPr>
                <w:rFonts w:hint="eastAsia" w:asciiTheme="minorEastAsia" w:hAnsiTheme="minorEastAsia" w:eastAsiaTheme="minorEastAsia" w:cstheme="minorEastAsia"/>
                <w:b/>
                <w:bCs/>
                <w:highlight w:val="none"/>
                <w:u w:val="single"/>
                <w:lang w:eastAsia="zh-CN"/>
              </w:rPr>
              <w:t>银行转账</w:t>
            </w:r>
          </w:p>
          <w:p w14:paraId="5D1A404C">
            <w:pPr>
              <w:pStyle w:val="9"/>
              <w:widowControl w:val="0"/>
              <w:tabs>
                <w:tab w:val="left" w:pos="312"/>
              </w:tabs>
              <w:kinsoku/>
              <w:autoSpaceDE/>
              <w:autoSpaceDN/>
              <w:spacing w:line="400" w:lineRule="exact"/>
              <w:ind w:left="120" w:leftChars="50"/>
              <w:rPr>
                <w:rFonts w:hAnsi="宋体" w:eastAsia="宋体" w:cs="宋体"/>
                <w:color w:val="auto"/>
                <w:szCs w:val="24"/>
                <w:highlight w:val="none"/>
              </w:rPr>
            </w:pPr>
            <w:r>
              <w:rPr>
                <w:rFonts w:hint="eastAsia" w:ascii="宋体" w:hAnsi="宋体" w:eastAsia="宋体" w:cs="宋体"/>
                <w:color w:val="auto"/>
                <w:szCs w:val="24"/>
                <w:highlight w:val="none"/>
              </w:rPr>
              <w:t>■</w:t>
            </w:r>
            <w:r>
              <w:rPr>
                <w:rFonts w:hint="eastAsia"/>
                <w:b/>
                <w:bCs/>
                <w:szCs w:val="24"/>
                <w:highlight w:val="none"/>
                <w:shd w:val="pct10" w:color="auto" w:fill="FFFFFF"/>
                <w:lang w:bidi="ar"/>
              </w:rPr>
              <w:t>（1）</w:t>
            </w:r>
            <w:r>
              <w:rPr>
                <w:rFonts w:hint="eastAsia"/>
                <w:b/>
                <w:bCs/>
                <w:szCs w:val="24"/>
                <w:highlight w:val="none"/>
                <w:shd w:val="pct10" w:color="auto" w:fill="FFFFFF"/>
              </w:rPr>
              <w:t>银行转账（通过建易投标保证金平台进行缴存确认</w:t>
            </w:r>
            <w:r>
              <w:rPr>
                <w:rFonts w:hint="eastAsia" w:hAnsi="宋体" w:eastAsia="宋体" w:cs="宋体"/>
                <w:b/>
                <w:bCs/>
                <w:color w:val="auto"/>
                <w:szCs w:val="24"/>
                <w:highlight w:val="none"/>
              </w:rPr>
              <w:t>）：</w:t>
            </w:r>
            <w:r>
              <w:rPr>
                <w:rFonts w:hAnsi="宋体" w:eastAsia="宋体" w:cs="宋体"/>
                <w:color w:val="auto"/>
                <w:szCs w:val="24"/>
                <w:highlight w:val="none"/>
              </w:rPr>
              <w:t xml:space="preserve"> </w:t>
            </w:r>
          </w:p>
          <w:p w14:paraId="513DCBBE">
            <w:pPr>
              <w:pStyle w:val="9"/>
              <w:widowControl w:val="0"/>
              <w:tabs>
                <w:tab w:val="left" w:pos="312"/>
              </w:tabs>
              <w:kinsoku/>
              <w:autoSpaceDE/>
              <w:autoSpaceDN/>
              <w:spacing w:line="400" w:lineRule="exact"/>
              <w:ind w:left="120" w:leftChars="50"/>
              <w:rPr>
                <w:rFonts w:hAnsi="宋体" w:eastAsia="宋体" w:cs="宋体"/>
                <w:color w:val="auto"/>
                <w:szCs w:val="24"/>
                <w:highlight w:val="none"/>
              </w:rPr>
            </w:pPr>
            <w:r>
              <w:rPr>
                <w:rFonts w:hint="eastAsia" w:hAnsi="宋体" w:eastAsia="宋体" w:cs="宋体"/>
                <w:color w:val="auto"/>
                <w:szCs w:val="24"/>
                <w:highlight w:val="none"/>
              </w:rPr>
              <w:t>户名：</w:t>
            </w:r>
            <w:r>
              <w:rPr>
                <w:rFonts w:hAnsi="宋体" w:eastAsia="宋体" w:cs="宋体"/>
                <w:color w:val="auto"/>
                <w:szCs w:val="24"/>
                <w:highlight w:val="none"/>
                <w:u w:val="single"/>
              </w:rPr>
              <w:t xml:space="preserve">   </w:t>
            </w:r>
            <w:r>
              <w:rPr>
                <w:rFonts w:hint="eastAsia" w:hAnsi="宋体" w:eastAsia="宋体"/>
                <w:highlight w:val="none"/>
                <w:u w:val="single"/>
                <w:lang w:eastAsia="zh-CN"/>
              </w:rPr>
              <w:t>杭州市安居集团有限公司交易保证金专户</w:t>
            </w:r>
            <w:r>
              <w:rPr>
                <w:rFonts w:hAnsi="宋体" w:eastAsia="宋体" w:cs="宋体"/>
                <w:color w:val="auto"/>
                <w:szCs w:val="24"/>
                <w:highlight w:val="none"/>
                <w:u w:val="single"/>
              </w:rPr>
              <w:t xml:space="preserve">      </w:t>
            </w:r>
            <w:r>
              <w:rPr>
                <w:rFonts w:hint="eastAsia" w:hAnsi="宋体" w:eastAsia="宋体" w:cs="宋体"/>
                <w:color w:val="auto"/>
                <w:szCs w:val="24"/>
                <w:highlight w:val="none"/>
              </w:rPr>
              <w:t>。</w:t>
            </w:r>
          </w:p>
          <w:p w14:paraId="784D40CB">
            <w:pPr>
              <w:pStyle w:val="9"/>
              <w:widowControl w:val="0"/>
              <w:tabs>
                <w:tab w:val="left" w:pos="312"/>
              </w:tabs>
              <w:kinsoku/>
              <w:autoSpaceDE/>
              <w:autoSpaceDN/>
              <w:spacing w:line="400" w:lineRule="exact"/>
              <w:ind w:left="120" w:leftChars="50"/>
              <w:rPr>
                <w:rFonts w:hAnsi="宋体" w:eastAsia="宋体" w:cs="宋体"/>
                <w:color w:val="auto"/>
                <w:szCs w:val="24"/>
                <w:highlight w:val="none"/>
              </w:rPr>
            </w:pPr>
            <w:r>
              <w:rPr>
                <w:rFonts w:hint="eastAsia" w:hAnsi="宋体" w:eastAsia="宋体" w:cs="宋体"/>
                <w:color w:val="auto"/>
                <w:szCs w:val="24"/>
                <w:highlight w:val="none"/>
              </w:rPr>
              <w:t>帐户：</w:t>
            </w:r>
            <w:r>
              <w:rPr>
                <w:rFonts w:hAnsi="宋体" w:eastAsia="宋体" w:cs="宋体"/>
                <w:color w:val="auto"/>
                <w:szCs w:val="24"/>
                <w:highlight w:val="none"/>
                <w:u w:val="single"/>
              </w:rPr>
              <w:t xml:space="preserve">    </w:t>
            </w:r>
            <w:r>
              <w:rPr>
                <w:rFonts w:hint="eastAsia" w:hAnsi="宋体" w:eastAsia="宋体"/>
                <w:highlight w:val="none"/>
                <w:u w:val="single"/>
                <w:lang w:eastAsia="zh-CN"/>
              </w:rPr>
              <w:t>33050161823500003627</w:t>
            </w:r>
            <w:r>
              <w:rPr>
                <w:rFonts w:asciiTheme="minorEastAsia" w:hAnsiTheme="minorEastAsia" w:eastAsiaTheme="minorEastAsia" w:cstheme="minorEastAsia"/>
                <w:color w:val="auto"/>
                <w:szCs w:val="24"/>
                <w:highlight w:val="none"/>
                <w:u w:val="single"/>
                <w:lang w:bidi="ar"/>
              </w:rPr>
              <w:t xml:space="preserve"> </w:t>
            </w:r>
            <w:r>
              <w:rPr>
                <w:rFonts w:hAnsi="宋体" w:eastAsia="宋体" w:cs="宋体"/>
                <w:color w:val="auto"/>
                <w:szCs w:val="24"/>
                <w:highlight w:val="none"/>
                <w:u w:val="single"/>
              </w:rPr>
              <w:t xml:space="preserve">               </w:t>
            </w:r>
            <w:r>
              <w:rPr>
                <w:rFonts w:hint="eastAsia" w:hAnsi="宋体" w:eastAsia="宋体" w:cs="宋体"/>
                <w:color w:val="auto"/>
                <w:szCs w:val="24"/>
                <w:highlight w:val="none"/>
              </w:rPr>
              <w:t>。</w:t>
            </w:r>
          </w:p>
          <w:p w14:paraId="60CBE2FD">
            <w:pPr>
              <w:pStyle w:val="9"/>
              <w:widowControl w:val="0"/>
              <w:tabs>
                <w:tab w:val="left" w:pos="312"/>
              </w:tabs>
              <w:kinsoku/>
              <w:autoSpaceDE/>
              <w:autoSpaceDN/>
              <w:spacing w:line="400" w:lineRule="exact"/>
              <w:ind w:left="120" w:leftChars="50"/>
              <w:rPr>
                <w:rFonts w:hAnsi="宋体" w:eastAsia="宋体" w:cs="宋体"/>
                <w:color w:val="auto"/>
                <w:szCs w:val="24"/>
                <w:highlight w:val="none"/>
              </w:rPr>
            </w:pPr>
            <w:r>
              <w:rPr>
                <w:rFonts w:hint="eastAsia" w:hAnsi="宋体" w:eastAsia="宋体" w:cs="宋体"/>
                <w:color w:val="auto"/>
                <w:szCs w:val="24"/>
                <w:highlight w:val="none"/>
              </w:rPr>
              <w:t>开户银行：</w:t>
            </w:r>
            <w:r>
              <w:rPr>
                <w:rFonts w:hint="eastAsia" w:hAnsi="宋体" w:eastAsia="宋体" w:cs="宋体"/>
                <w:color w:val="auto"/>
                <w:szCs w:val="24"/>
                <w:highlight w:val="none"/>
                <w:u w:val="single"/>
                <w:lang w:eastAsia="zh-CN"/>
              </w:rPr>
              <w:t>中国建设银行股份有限公司杭州中山支行</w:t>
            </w:r>
            <w:r>
              <w:rPr>
                <w:rFonts w:hAnsi="宋体" w:eastAsia="宋体" w:cs="宋体"/>
                <w:color w:val="auto"/>
                <w:szCs w:val="24"/>
                <w:highlight w:val="none"/>
                <w:u w:val="single"/>
              </w:rPr>
              <w:t xml:space="preserve">            </w:t>
            </w:r>
            <w:r>
              <w:rPr>
                <w:rFonts w:hint="eastAsia" w:hAnsi="宋体" w:eastAsia="宋体" w:cs="宋体"/>
                <w:color w:val="auto"/>
                <w:szCs w:val="24"/>
                <w:highlight w:val="none"/>
              </w:rPr>
              <w:t>。</w:t>
            </w:r>
          </w:p>
          <w:p w14:paraId="0AA99779">
            <w:pPr>
              <w:pStyle w:val="9"/>
              <w:widowControl w:val="0"/>
              <w:tabs>
                <w:tab w:val="left" w:pos="312"/>
              </w:tabs>
              <w:spacing w:line="400" w:lineRule="exact"/>
              <w:ind w:left="120" w:leftChars="50"/>
              <w:rPr>
                <w:rFonts w:hAnsi="宋体" w:eastAsia="宋体" w:cs="宋体"/>
                <w:color w:val="auto"/>
                <w:szCs w:val="24"/>
                <w:highlight w:val="none"/>
              </w:rPr>
            </w:pPr>
            <w:r>
              <w:rPr>
                <w:rFonts w:hint="eastAsia" w:hAnsi="宋体" w:eastAsia="宋体" w:cs="宋体"/>
                <w:color w:val="auto"/>
                <w:szCs w:val="24"/>
                <w:highlight w:val="none"/>
              </w:rPr>
              <w:t>重要提醒：</w:t>
            </w:r>
          </w:p>
          <w:p w14:paraId="3F2C8F37">
            <w:pPr>
              <w:pStyle w:val="9"/>
              <w:widowControl w:val="0"/>
              <w:numPr>
                <w:ilvl w:val="0"/>
                <w:numId w:val="4"/>
              </w:numPr>
              <w:tabs>
                <w:tab w:val="left" w:pos="312"/>
              </w:tabs>
              <w:kinsoku/>
              <w:autoSpaceDE/>
              <w:autoSpaceDN/>
              <w:spacing w:line="400" w:lineRule="exact"/>
              <w:ind w:left="120" w:leftChars="50" w:firstLine="0"/>
              <w:rPr>
                <w:rFonts w:hAnsi="宋体" w:eastAsia="宋体" w:cs="宋体"/>
                <w:color w:val="auto"/>
                <w:szCs w:val="24"/>
                <w:highlight w:val="none"/>
              </w:rPr>
            </w:pPr>
            <w:r>
              <w:rPr>
                <w:rFonts w:hint="eastAsia" w:hAnsi="宋体" w:eastAsia="宋体" w:cs="宋体"/>
                <w:color w:val="auto"/>
                <w:szCs w:val="24"/>
                <w:highlight w:val="none"/>
              </w:rPr>
              <w:t>保证金缴存关联相关路径：用户可登录招必得建易招标采购平台（https://www.zhaobide.com/），点击导航栏的“保证金”模块，跳转至建易投标保证金平台，根据项目进行保证金缴存申请及缴存关联确认，可点击“操作手册”查看保证金平台操作手册，平台咨询电话：400-0666-571，QQ：3007923378。</w:t>
            </w:r>
          </w:p>
          <w:p w14:paraId="674CD06A">
            <w:pPr>
              <w:pStyle w:val="9"/>
              <w:widowControl w:val="0"/>
              <w:numPr>
                <w:ilvl w:val="0"/>
                <w:numId w:val="4"/>
              </w:numPr>
              <w:tabs>
                <w:tab w:val="left" w:pos="312"/>
              </w:tabs>
              <w:kinsoku/>
              <w:autoSpaceDE/>
              <w:autoSpaceDN/>
              <w:spacing w:line="400" w:lineRule="exact"/>
              <w:ind w:left="120" w:leftChars="50" w:firstLine="0"/>
              <w:rPr>
                <w:rFonts w:hAnsi="宋体" w:eastAsia="宋体" w:cs="宋体"/>
                <w:b/>
                <w:bCs/>
                <w:color w:val="auto"/>
                <w:szCs w:val="24"/>
                <w:highlight w:val="none"/>
              </w:rPr>
            </w:pPr>
            <w:r>
              <w:rPr>
                <w:rFonts w:hint="eastAsia" w:hAnsi="宋体" w:eastAsia="宋体" w:cs="宋体"/>
                <w:b/>
                <w:bCs/>
                <w:color w:val="auto"/>
                <w:szCs w:val="24"/>
                <w:highlight w:val="none"/>
              </w:rPr>
              <w:t>应当从潜在承包人基本账户转出，转账完成后须在建易交易保证金平台上进行项目关联操作后才可认为项目保证金交纳成功，并可下载缴存确认单（根据项目进行单笔转账，不支持合并转账）。</w:t>
            </w:r>
          </w:p>
          <w:p w14:paraId="254EDEE2">
            <w:pPr>
              <w:pStyle w:val="9"/>
              <w:widowControl w:val="0"/>
              <w:numPr>
                <w:ilvl w:val="0"/>
                <w:numId w:val="4"/>
              </w:numPr>
              <w:tabs>
                <w:tab w:val="left" w:pos="312"/>
              </w:tabs>
              <w:kinsoku/>
              <w:autoSpaceDE/>
              <w:autoSpaceDN/>
              <w:spacing w:line="400" w:lineRule="exact"/>
              <w:ind w:left="120" w:leftChars="50" w:firstLine="0"/>
              <w:rPr>
                <w:rFonts w:hAnsi="宋体" w:eastAsia="宋体" w:cs="宋体"/>
                <w:color w:val="auto"/>
                <w:szCs w:val="24"/>
                <w:highlight w:val="none"/>
              </w:rPr>
            </w:pPr>
            <w:r>
              <w:rPr>
                <w:rFonts w:hint="eastAsia" w:hAnsi="宋体" w:eastAsia="宋体" w:cs="宋体"/>
                <w:b/>
                <w:bCs/>
                <w:color w:val="auto"/>
                <w:szCs w:val="24"/>
                <w:highlight w:val="none"/>
              </w:rPr>
              <w:t>开标时，以招必得建易招标采购平台的保证金缴存关联数据回传作为交易保证金交纳的依据。</w:t>
            </w:r>
          </w:p>
          <w:p w14:paraId="74F1EC93">
            <w:pPr>
              <w:widowControl w:val="0"/>
              <w:tabs>
                <w:tab w:val="left" w:pos="312"/>
              </w:tabs>
              <w:kinsoku/>
              <w:wordWrap w:val="0"/>
              <w:ind w:left="120" w:leftChars="50"/>
              <w:rPr>
                <w:sz w:val="22"/>
                <w:szCs w:val="22"/>
                <w:highlight w:val="none"/>
                <w:shd w:val="pct10" w:color="auto" w:fill="FFFFFF"/>
              </w:rPr>
            </w:pPr>
          </w:p>
          <w:p w14:paraId="1D8FDBAB">
            <w:pPr>
              <w:pStyle w:val="9"/>
              <w:widowControl w:val="0"/>
              <w:tabs>
                <w:tab w:val="left" w:pos="312"/>
              </w:tabs>
              <w:kinsoku/>
              <w:autoSpaceDE/>
              <w:autoSpaceDN/>
              <w:spacing w:line="400" w:lineRule="exact"/>
              <w:rPr>
                <w:szCs w:val="24"/>
                <w:highlight w:val="none"/>
                <w:shd w:val="pct10" w:color="auto" w:fill="FFFFFF"/>
              </w:rPr>
            </w:pPr>
            <w:r>
              <w:rPr>
                <w:rFonts w:hint="eastAsia" w:hAnsi="宋体" w:eastAsia="宋体" w:cs="宋体"/>
                <w:bCs/>
                <w:color w:val="auto"/>
                <w:kern w:val="2"/>
                <w:szCs w:val="24"/>
                <w:highlight w:val="none"/>
                <w:lang w:eastAsia="zh-CN"/>
              </w:rPr>
              <w:t>□</w:t>
            </w:r>
            <w:r>
              <w:rPr>
                <w:rFonts w:hint="eastAsia"/>
                <w:b/>
                <w:bCs/>
                <w:szCs w:val="24"/>
                <w:highlight w:val="none"/>
                <w:shd w:val="pct10" w:color="auto" w:fill="FFFFFF"/>
                <w:lang w:bidi="ar"/>
              </w:rPr>
              <w:t>（2）</w:t>
            </w:r>
            <w:r>
              <w:rPr>
                <w:rFonts w:hint="eastAsia"/>
                <w:b/>
                <w:bCs/>
                <w:szCs w:val="24"/>
                <w:highlight w:val="none"/>
                <w:shd w:val="pct10" w:color="auto" w:fill="FFFFFF"/>
              </w:rPr>
              <w:t>保证保险（通过建易投标保证金平台申请）：</w:t>
            </w:r>
          </w:p>
          <w:p w14:paraId="375AA26F">
            <w:pPr>
              <w:pStyle w:val="9"/>
              <w:widowControl w:val="0"/>
              <w:tabs>
                <w:tab w:val="left" w:pos="312"/>
              </w:tabs>
              <w:spacing w:line="400" w:lineRule="exact"/>
              <w:ind w:left="120" w:leftChars="50"/>
              <w:rPr>
                <w:rFonts w:hAnsi="宋体" w:eastAsia="宋体" w:cs="宋体"/>
                <w:color w:val="auto"/>
                <w:szCs w:val="24"/>
                <w:highlight w:val="none"/>
              </w:rPr>
            </w:pPr>
            <w:r>
              <w:rPr>
                <w:rFonts w:hint="eastAsia" w:hAnsi="宋体" w:eastAsia="宋体" w:cs="宋体"/>
                <w:color w:val="auto"/>
                <w:szCs w:val="24"/>
                <w:highlight w:val="none"/>
              </w:rPr>
              <w:t>重要提醒：</w:t>
            </w:r>
          </w:p>
          <w:p w14:paraId="7C900FE9">
            <w:pPr>
              <w:pStyle w:val="9"/>
              <w:widowControl w:val="0"/>
              <w:numPr>
                <w:ilvl w:val="0"/>
                <w:numId w:val="5"/>
              </w:numPr>
              <w:tabs>
                <w:tab w:val="left" w:pos="312"/>
              </w:tabs>
              <w:kinsoku/>
              <w:autoSpaceDE/>
              <w:autoSpaceDN/>
              <w:spacing w:line="400" w:lineRule="exact"/>
              <w:ind w:left="0" w:firstLine="480"/>
              <w:rPr>
                <w:rFonts w:hAnsi="宋体" w:eastAsia="宋体" w:cs="宋体"/>
                <w:snapToGrid/>
                <w:color w:val="auto"/>
                <w:szCs w:val="24"/>
                <w:highlight w:val="none"/>
              </w:rPr>
            </w:pPr>
            <w:r>
              <w:rPr>
                <w:rFonts w:hint="eastAsia" w:hAnsi="宋体" w:eastAsia="宋体" w:cs="宋体"/>
                <w:color w:val="auto"/>
                <w:szCs w:val="24"/>
                <w:highlight w:val="none"/>
              </w:rPr>
              <w:t>申请保证保险相关路径：用户可登录招必得建易招标采购平台（https://www.zhaobide.com/），点击导航栏的“保证金”模块，跳转至建易投标保证金平台，选择“电子投标保证保险[立即申请]”进入金联安保证保险平台，通过项目编号或项目名称“引入项目”按提示操作，可点击“查看操作指引”查看操作手册，平台咨询电话：400-0666-571，QQ：3007923378。</w:t>
            </w:r>
          </w:p>
          <w:p w14:paraId="002EF837">
            <w:pPr>
              <w:pStyle w:val="9"/>
              <w:widowControl w:val="0"/>
              <w:numPr>
                <w:ilvl w:val="0"/>
                <w:numId w:val="5"/>
              </w:numPr>
              <w:tabs>
                <w:tab w:val="left" w:pos="312"/>
              </w:tabs>
              <w:kinsoku/>
              <w:autoSpaceDE/>
              <w:autoSpaceDN/>
              <w:spacing w:line="400" w:lineRule="exact"/>
              <w:ind w:left="0" w:firstLine="480"/>
              <w:rPr>
                <w:rFonts w:hAnsi="宋体" w:eastAsia="宋体" w:cs="宋体"/>
                <w:snapToGrid/>
                <w:color w:val="auto"/>
                <w:szCs w:val="24"/>
                <w:highlight w:val="none"/>
              </w:rPr>
            </w:pPr>
            <w:r>
              <w:rPr>
                <w:rFonts w:hint="eastAsia" w:hAnsi="宋体" w:eastAsia="宋体" w:cs="宋体"/>
                <w:color w:val="auto"/>
                <w:szCs w:val="24"/>
                <w:highlight w:val="none"/>
              </w:rPr>
              <w:t>申请保证保险相关链接：https://bzj.zhaobide.com，申请保证保险选择城投集团小额电子标（或登录招必得APP，申请保证保险），平台咨询电话：400-0666-571，QQ：3007923378。</w:t>
            </w:r>
          </w:p>
          <w:p w14:paraId="02E18CDC">
            <w:pPr>
              <w:pStyle w:val="9"/>
              <w:widowControl w:val="0"/>
              <w:numPr>
                <w:ilvl w:val="0"/>
                <w:numId w:val="5"/>
              </w:numPr>
              <w:tabs>
                <w:tab w:val="left" w:pos="312"/>
              </w:tabs>
              <w:kinsoku/>
              <w:autoSpaceDE/>
              <w:autoSpaceDN/>
              <w:spacing w:line="400" w:lineRule="exact"/>
              <w:ind w:left="0" w:firstLine="480"/>
              <w:rPr>
                <w:rFonts w:hAnsi="宋体" w:eastAsia="宋体" w:cs="宋体"/>
                <w:snapToGrid/>
                <w:color w:val="auto"/>
                <w:szCs w:val="24"/>
                <w:highlight w:val="none"/>
              </w:rPr>
            </w:pPr>
            <w:r>
              <w:rPr>
                <w:rFonts w:hint="eastAsia" w:hAnsi="宋体" w:eastAsia="宋体" w:cs="宋体"/>
                <w:color w:val="auto"/>
                <w:szCs w:val="24"/>
                <w:highlight w:val="none"/>
              </w:rPr>
              <w:t>申请保证保险，用户需完成以下所有步骤：资料申请、信息确认提交、缴纳保费、关联确认、自动核保/生成保单、查看并下载保单。</w:t>
            </w:r>
          </w:p>
          <w:p w14:paraId="48B9C596">
            <w:pPr>
              <w:pStyle w:val="9"/>
              <w:widowControl w:val="0"/>
              <w:numPr>
                <w:ilvl w:val="0"/>
                <w:numId w:val="5"/>
              </w:numPr>
              <w:tabs>
                <w:tab w:val="left" w:pos="312"/>
              </w:tabs>
              <w:kinsoku/>
              <w:autoSpaceDE/>
              <w:autoSpaceDN/>
              <w:spacing w:line="400" w:lineRule="exact"/>
              <w:ind w:left="0" w:firstLine="482"/>
              <w:rPr>
                <w:rFonts w:hAnsi="宋体" w:eastAsia="宋体" w:cs="宋体"/>
                <w:b/>
                <w:bCs/>
                <w:color w:val="auto"/>
                <w:szCs w:val="24"/>
                <w:highlight w:val="none"/>
              </w:rPr>
            </w:pPr>
            <w:r>
              <w:rPr>
                <w:rFonts w:hint="eastAsia" w:hAnsi="宋体" w:eastAsia="宋体" w:cs="宋体"/>
                <w:b/>
                <w:bCs/>
                <w:color w:val="auto"/>
                <w:szCs w:val="24"/>
                <w:highlight w:val="none"/>
              </w:rPr>
              <w:t>注意：缴纳保费请使用招必得</w:t>
            </w:r>
            <w:r>
              <w:rPr>
                <w:rFonts w:hAnsi="宋体" w:eastAsia="宋体" w:cs="宋体"/>
                <w:b/>
                <w:bCs/>
                <w:color w:val="auto"/>
                <w:szCs w:val="24"/>
                <w:highlight w:val="none"/>
              </w:rPr>
              <w:t>-建易投标保证金平台，右上角“我的信息”中的企业银行账户进行打款；</w:t>
            </w:r>
            <w:r>
              <w:rPr>
                <w:rFonts w:hint="eastAsia" w:hAnsi="宋体" w:eastAsia="宋体" w:cs="宋体"/>
                <w:b/>
                <w:bCs/>
                <w:color w:val="auto"/>
                <w:szCs w:val="24"/>
                <w:highlight w:val="none"/>
              </w:rPr>
              <w:t>打款完成请根据提示继续完成投标保证保险的关联（根据项目进行单笔缴纳，不支持合并缴纳），确认后可打印保单。</w:t>
            </w:r>
          </w:p>
          <w:p w14:paraId="07EC8369">
            <w:pPr>
              <w:pStyle w:val="9"/>
              <w:widowControl w:val="0"/>
              <w:numPr>
                <w:ilvl w:val="0"/>
                <w:numId w:val="5"/>
              </w:numPr>
              <w:tabs>
                <w:tab w:val="left" w:pos="312"/>
              </w:tabs>
              <w:kinsoku/>
              <w:autoSpaceDE/>
              <w:autoSpaceDN/>
              <w:spacing w:line="400" w:lineRule="exact"/>
              <w:ind w:left="0" w:firstLine="482"/>
              <w:rPr>
                <w:rFonts w:hAnsi="宋体" w:eastAsia="宋体" w:cs="宋体"/>
                <w:b/>
                <w:bCs/>
                <w:color w:val="auto"/>
                <w:szCs w:val="24"/>
                <w:highlight w:val="none"/>
              </w:rPr>
            </w:pPr>
            <w:r>
              <w:rPr>
                <w:rFonts w:hint="eastAsia" w:hAnsi="宋体" w:eastAsia="宋体" w:cs="宋体"/>
                <w:b/>
                <w:bCs/>
                <w:color w:val="auto"/>
                <w:szCs w:val="24"/>
                <w:highlight w:val="none"/>
              </w:rPr>
              <w:t>开标时，保证保险方式以招必得建易招标采购平台的保证保险数据回传作为交易保证金缴存的依据。</w:t>
            </w:r>
          </w:p>
          <w:p w14:paraId="57C02901">
            <w:pPr>
              <w:pStyle w:val="9"/>
              <w:widowControl w:val="0"/>
              <w:tabs>
                <w:tab w:val="left" w:pos="312"/>
              </w:tabs>
              <w:kinsoku/>
              <w:wordWrap w:val="0"/>
              <w:topLinePunct/>
              <w:autoSpaceDE/>
              <w:autoSpaceDN/>
              <w:spacing w:line="400" w:lineRule="exact"/>
              <w:ind w:left="120" w:leftChars="50"/>
              <w:rPr>
                <w:rFonts w:hAnsi="宋体" w:eastAsia="宋体" w:cs="宋体"/>
                <w:color w:val="auto"/>
                <w:szCs w:val="24"/>
                <w:highlight w:val="none"/>
              </w:rPr>
            </w:pPr>
            <w:r>
              <w:rPr>
                <w:rFonts w:hint="eastAsia" w:hAnsi="宋体" w:eastAsia="宋体" w:cs="宋体"/>
                <w:color w:val="auto"/>
                <w:szCs w:val="24"/>
                <w:highlight w:val="none"/>
              </w:rPr>
              <w:t>5.其他说明：重新发包项目，参与交易的潜在承包人仍需按上述规定要求重新递交交易担保。</w:t>
            </w:r>
          </w:p>
        </w:tc>
      </w:tr>
      <w:tr w14:paraId="6FD9F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810" w:type="dxa"/>
            <w:tcBorders>
              <w:tl2br w:val="nil"/>
              <w:tr2bl w:val="nil"/>
            </w:tcBorders>
            <w:shd w:val="clear" w:color="auto" w:fill="FFFFFF"/>
            <w:vAlign w:val="center"/>
          </w:tcPr>
          <w:p w14:paraId="457C64E5">
            <w:pPr>
              <w:pStyle w:val="9"/>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highlight w:val="none"/>
              </w:rPr>
            </w:pPr>
          </w:p>
        </w:tc>
        <w:tc>
          <w:tcPr>
            <w:tcW w:w="2460" w:type="dxa"/>
            <w:tcBorders>
              <w:tl2br w:val="nil"/>
              <w:tr2bl w:val="nil"/>
            </w:tcBorders>
            <w:shd w:val="clear" w:color="auto" w:fill="FFFFFF"/>
            <w:vAlign w:val="center"/>
          </w:tcPr>
          <w:p w14:paraId="4BA7C931">
            <w:pPr>
              <w:kinsoku/>
              <w:wordWrap w:val="0"/>
              <w:topLinePunct/>
              <w:autoSpaceDE/>
              <w:autoSpaceDN/>
              <w:adjustRightInd/>
              <w:snapToGrid/>
              <w:spacing w:before="120" w:beforeLines="50"/>
              <w:ind w:left="120" w:leftChars="50" w:right="242" w:rightChars="101"/>
              <w:jc w:val="center"/>
              <w:rPr>
                <w:rFonts w:ascii="宋体" w:hAnsi="宋体" w:eastAsia="宋体" w:cs="宋体"/>
                <w:color w:val="auto"/>
                <w:szCs w:val="24"/>
                <w:highlight w:val="none"/>
              </w:rPr>
            </w:pPr>
            <w:r>
              <w:rPr>
                <w:rFonts w:hint="eastAsia" w:ascii="宋体" w:hAnsi="宋体" w:eastAsia="宋体" w:cs="宋体"/>
                <w:color w:val="auto"/>
                <w:szCs w:val="24"/>
                <w:highlight w:val="none"/>
              </w:rPr>
              <w:t>电子响应文件的制作、加密和盖章要求</w:t>
            </w:r>
          </w:p>
        </w:tc>
        <w:tc>
          <w:tcPr>
            <w:tcW w:w="6480" w:type="dxa"/>
            <w:tcBorders>
              <w:tl2br w:val="nil"/>
              <w:tr2bl w:val="nil"/>
            </w:tcBorders>
            <w:shd w:val="clear" w:color="auto" w:fill="FFFFFF"/>
          </w:tcPr>
          <w:p w14:paraId="24C58412">
            <w:pPr>
              <w:numPr>
                <w:ilvl w:val="0"/>
                <w:numId w:val="6"/>
              </w:numPr>
              <w:kinsoku/>
              <w:wordWrap w:val="0"/>
              <w:autoSpaceDE/>
              <w:autoSpaceDN/>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下载最新版“招必得-电子投标工具”并安装，完成响应文件制作，生成后缀名为“.加密投标书”的电子响应文件。电子投标工具详见招必得网站（</w:t>
            </w:r>
            <w:r>
              <w:rPr>
                <w:highlight w:val="none"/>
              </w:rPr>
              <w:fldChar w:fldCharType="begin"/>
            </w:r>
            <w:r>
              <w:rPr>
                <w:highlight w:val="none"/>
              </w:rPr>
              <w:instrText xml:space="preserve"> HYPERLINK "https://zhaobide.com/Web/DownloadPage" \t "_blank" </w:instrText>
            </w:r>
            <w:r>
              <w:rPr>
                <w:highlight w:val="none"/>
              </w:rPr>
              <w:fldChar w:fldCharType="separate"/>
            </w:r>
            <w:r>
              <w:rPr>
                <w:rFonts w:ascii="宋体" w:hAnsi="宋体" w:eastAsia="宋体" w:cs="宋体"/>
                <w:color w:val="auto"/>
                <w:szCs w:val="24"/>
                <w:highlight w:val="none"/>
              </w:rPr>
              <w:t>https://www.zhaobide.com/Web/DownloadPage</w:t>
            </w:r>
            <w:r>
              <w:rPr>
                <w:rFonts w:ascii="宋体" w:hAnsi="宋体" w:eastAsia="宋体" w:cs="宋体"/>
                <w:color w:val="auto"/>
                <w:szCs w:val="24"/>
                <w:highlight w:val="none"/>
              </w:rPr>
              <w:fldChar w:fldCharType="end"/>
            </w:r>
            <w:r>
              <w:rPr>
                <w:rFonts w:hint="eastAsia" w:ascii="宋体" w:hAnsi="宋体" w:eastAsia="宋体" w:cs="宋体"/>
                <w:color w:val="auto"/>
                <w:szCs w:val="24"/>
                <w:highlight w:val="none"/>
              </w:rPr>
              <w:t>）首页并进入</w:t>
            </w:r>
            <w:r>
              <w:rPr>
                <w:rFonts w:ascii="宋体" w:hAnsi="宋体" w:eastAsia="宋体" w:cs="宋体"/>
                <w:color w:val="auto"/>
                <w:szCs w:val="24"/>
                <w:highlight w:val="none"/>
              </w:rPr>
              <w:t>“</w:t>
            </w:r>
            <w:r>
              <w:rPr>
                <w:rFonts w:hint="eastAsia" w:ascii="宋体" w:hAnsi="宋体" w:eastAsia="宋体" w:cs="宋体"/>
                <w:color w:val="auto"/>
                <w:szCs w:val="24"/>
                <w:highlight w:val="none"/>
              </w:rPr>
              <w:t>工具下载”页面。</w:t>
            </w:r>
          </w:p>
          <w:p w14:paraId="017AC8C9">
            <w:pPr>
              <w:kinsoku/>
              <w:wordWrap w:val="0"/>
              <w:autoSpaceDE/>
              <w:autoSpaceDN/>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注：生成的电子响应文件在投标工具中打开，查看是否可以正常打开，否则影响响应文件正常解密。</w:t>
            </w:r>
          </w:p>
          <w:p w14:paraId="74E81555">
            <w:pPr>
              <w:numPr>
                <w:ilvl w:val="0"/>
                <w:numId w:val="6"/>
              </w:numPr>
              <w:kinsoku/>
              <w:wordWrap w:val="0"/>
              <w:autoSpaceDE/>
              <w:autoSpaceDN/>
              <w:spacing w:line="400" w:lineRule="exact"/>
              <w:ind w:left="120" w:leftChars="50"/>
              <w:rPr>
                <w:rFonts w:ascii="宋体" w:hAnsi="宋体" w:eastAsia="宋体" w:cs="宋体"/>
                <w:color w:val="auto"/>
                <w:szCs w:val="24"/>
                <w:highlight w:val="none"/>
              </w:rPr>
            </w:pPr>
            <w:r>
              <w:rPr>
                <w:rFonts w:hint="eastAsia" w:ascii="宋体" w:hAnsi="宋体" w:eastAsia="宋体" w:cs="宋体"/>
                <w:szCs w:val="24"/>
                <w:highlight w:val="none"/>
              </w:rPr>
              <w:t>电子响应文件包括</w:t>
            </w:r>
            <w:r>
              <w:rPr>
                <w:rFonts w:hint="eastAsia" w:ascii="宋体" w:hAnsi="宋体" w:eastAsia="宋体" w:cs="宋体"/>
                <w:bCs/>
                <w:szCs w:val="24"/>
                <w:highlight w:val="none"/>
              </w:rPr>
              <w:t>资信标及资格审查文件、</w:t>
            </w:r>
            <w:r>
              <w:rPr>
                <w:rFonts w:hint="eastAsia" w:ascii="宋体" w:hAnsi="宋体" w:eastAsia="宋体" w:cs="宋体"/>
                <w:szCs w:val="24"/>
                <w:highlight w:val="none"/>
              </w:rPr>
              <w:t>技术标、商务标</w:t>
            </w:r>
            <w:r>
              <w:rPr>
                <w:rFonts w:ascii="宋体" w:hAnsi="宋体" w:eastAsia="宋体" w:cs="宋体"/>
                <w:szCs w:val="24"/>
                <w:highlight w:val="none"/>
              </w:rPr>
              <w:t>3</w:t>
            </w:r>
            <w:r>
              <w:rPr>
                <w:rFonts w:hint="eastAsia" w:ascii="宋体" w:hAnsi="宋体" w:eastAsia="宋体" w:cs="宋体"/>
                <w:szCs w:val="24"/>
                <w:highlight w:val="none"/>
              </w:rPr>
              <w:t>个部分，应分别放入投标工具相应的模块。</w:t>
            </w:r>
          </w:p>
          <w:p w14:paraId="49D0D2DA">
            <w:pPr>
              <w:numPr>
                <w:ilvl w:val="0"/>
                <w:numId w:val="6"/>
              </w:numPr>
              <w:kinsoku/>
              <w:wordWrap w:val="0"/>
              <w:autoSpaceDE/>
              <w:autoSpaceDN/>
              <w:spacing w:line="400" w:lineRule="exact"/>
              <w:ind w:left="120" w:leftChars="50"/>
              <w:rPr>
                <w:rFonts w:ascii="宋体" w:hAnsi="宋体" w:eastAsia="宋体" w:cs="宋体"/>
                <w:szCs w:val="24"/>
                <w:highlight w:val="none"/>
              </w:rPr>
            </w:pPr>
            <w:r>
              <w:rPr>
                <w:rFonts w:hint="eastAsia" w:ascii="宋体" w:hAnsi="宋体" w:eastAsia="宋体" w:cs="宋体"/>
                <w:szCs w:val="24"/>
                <w:highlight w:val="none"/>
              </w:rPr>
              <w:t>响应文件格式文件要求潜在承包人盖章、法定代表人印章的地方，潜在承包人均应使用CA数字证书加盖潜在承包人的单位电子印章、法定代表人个人电子印章。联合体响应的，除联合体协议书、响应函格式之外的仅由联合体牵头人加盖单位电子印章、法定代表人个人电子印章即可。</w:t>
            </w:r>
          </w:p>
          <w:p w14:paraId="2ADF1D36">
            <w:pPr>
              <w:numPr>
                <w:ilvl w:val="0"/>
                <w:numId w:val="6"/>
              </w:numPr>
              <w:kinsoku/>
              <w:wordWrap w:val="0"/>
              <w:autoSpaceDE/>
              <w:autoSpaceDN/>
              <w:spacing w:line="400" w:lineRule="exact"/>
              <w:ind w:left="120" w:leftChars="50"/>
              <w:rPr>
                <w:rFonts w:ascii="宋体" w:hAnsi="宋体" w:eastAsia="宋体" w:cs="宋体"/>
                <w:snapToGrid/>
                <w:szCs w:val="24"/>
                <w:highlight w:val="none"/>
              </w:rPr>
            </w:pPr>
            <w:r>
              <w:rPr>
                <w:rFonts w:hint="eastAsia" w:ascii="宋体" w:hAnsi="宋体" w:eastAsia="宋体" w:cs="宋体"/>
                <w:color w:val="auto"/>
                <w:szCs w:val="24"/>
                <w:highlight w:val="none"/>
              </w:rPr>
              <w:t>■</w:t>
            </w:r>
            <w:r>
              <w:rPr>
                <w:rFonts w:hint="eastAsia" w:ascii="宋体" w:hAnsi="宋体" w:eastAsia="宋体" w:cs="宋体"/>
                <w:szCs w:val="24"/>
                <w:highlight w:val="none"/>
              </w:rPr>
              <w:t>响应文件所附证书证件、业绩证明文件、交易保证金等证明材料用原件复制件并加盖潜在承包人电子印章。</w:t>
            </w:r>
          </w:p>
        </w:tc>
      </w:tr>
      <w:tr w14:paraId="6A34D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542" w:hRule="atLeast"/>
        </w:trPr>
        <w:tc>
          <w:tcPr>
            <w:tcW w:w="810" w:type="dxa"/>
            <w:tcBorders>
              <w:tl2br w:val="nil"/>
              <w:tr2bl w:val="nil"/>
            </w:tcBorders>
            <w:shd w:val="clear" w:color="auto" w:fill="FFFFFF"/>
            <w:vAlign w:val="center"/>
          </w:tcPr>
          <w:p w14:paraId="559E7A2C">
            <w:pPr>
              <w:pStyle w:val="9"/>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highlight w:val="none"/>
              </w:rPr>
            </w:pPr>
          </w:p>
        </w:tc>
        <w:tc>
          <w:tcPr>
            <w:tcW w:w="2460" w:type="dxa"/>
            <w:tcBorders>
              <w:tl2br w:val="nil"/>
              <w:tr2bl w:val="nil"/>
            </w:tcBorders>
            <w:shd w:val="clear" w:color="auto" w:fill="FFFFFF"/>
            <w:vAlign w:val="center"/>
          </w:tcPr>
          <w:p w14:paraId="47B68DA7">
            <w:pPr>
              <w:kinsoku/>
              <w:wordWrap w:val="0"/>
              <w:topLinePunct/>
              <w:autoSpaceDE/>
              <w:autoSpaceDN/>
              <w:adjustRightInd/>
              <w:snapToGrid/>
              <w:spacing w:before="120" w:beforeLines="50"/>
              <w:ind w:left="120" w:leftChars="50" w:right="242" w:rightChars="101"/>
              <w:jc w:val="center"/>
              <w:rPr>
                <w:rFonts w:ascii="宋体" w:hAnsi="宋体" w:eastAsia="宋体" w:cs="宋体"/>
                <w:color w:val="auto"/>
                <w:szCs w:val="24"/>
                <w:highlight w:val="none"/>
              </w:rPr>
            </w:pPr>
            <w:r>
              <w:rPr>
                <w:rFonts w:hint="eastAsia" w:ascii="宋体" w:hAnsi="宋体" w:eastAsia="宋体" w:cs="宋体"/>
                <w:color w:val="auto"/>
                <w:szCs w:val="24"/>
                <w:highlight w:val="none"/>
              </w:rPr>
              <w:t>开标准备</w:t>
            </w:r>
          </w:p>
        </w:tc>
        <w:tc>
          <w:tcPr>
            <w:tcW w:w="6480" w:type="dxa"/>
            <w:tcBorders>
              <w:tl2br w:val="nil"/>
              <w:tr2bl w:val="nil"/>
            </w:tcBorders>
            <w:shd w:val="clear" w:color="auto" w:fill="FFFFFF"/>
          </w:tcPr>
          <w:p w14:paraId="3762466A">
            <w:pPr>
              <w:pStyle w:val="10"/>
              <w:kinsoku/>
              <w:spacing w:line="400" w:lineRule="exact"/>
              <w:ind w:left="120" w:leftChars="50"/>
              <w:rPr>
                <w:rFonts w:ascii="宋体" w:hAnsi="宋体" w:eastAsia="宋体" w:cs="宋体"/>
                <w:color w:val="auto"/>
                <w:szCs w:val="24"/>
                <w:highlight w:val="none"/>
              </w:rPr>
            </w:pPr>
          </w:p>
          <w:p w14:paraId="0EC00942">
            <w:pPr>
              <w:pStyle w:val="10"/>
              <w:kinsoku/>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发包人或代理机构在进入开标前应开启项目直播，直播工具可在电子交易平台下载；潜在承包人可在开标时进入“城投云上开标大厅”（网址）观看开标情况。</w:t>
            </w:r>
          </w:p>
          <w:p w14:paraId="17800C7A">
            <w:pPr>
              <w:pStyle w:val="10"/>
              <w:kinsoku/>
              <w:spacing w:line="400" w:lineRule="exact"/>
              <w:ind w:left="120" w:leftChars="50"/>
              <w:rPr>
                <w:rFonts w:ascii="宋体" w:hAnsi="宋体" w:eastAsia="宋体" w:cs="宋体"/>
                <w:color w:val="auto"/>
                <w:szCs w:val="24"/>
                <w:highlight w:val="none"/>
              </w:rPr>
            </w:pPr>
          </w:p>
        </w:tc>
      </w:tr>
      <w:tr w14:paraId="6F1AE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542" w:hRule="atLeast"/>
        </w:trPr>
        <w:tc>
          <w:tcPr>
            <w:tcW w:w="810" w:type="dxa"/>
            <w:tcBorders>
              <w:tl2br w:val="nil"/>
              <w:tr2bl w:val="nil"/>
            </w:tcBorders>
            <w:shd w:val="clear" w:color="auto" w:fill="FFFFFF"/>
            <w:vAlign w:val="center"/>
          </w:tcPr>
          <w:p w14:paraId="12500E61">
            <w:pPr>
              <w:pStyle w:val="9"/>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highlight w:val="none"/>
              </w:rPr>
            </w:pPr>
          </w:p>
        </w:tc>
        <w:tc>
          <w:tcPr>
            <w:tcW w:w="2460" w:type="dxa"/>
            <w:tcBorders>
              <w:tl2br w:val="nil"/>
              <w:tr2bl w:val="nil"/>
            </w:tcBorders>
            <w:shd w:val="clear" w:color="auto" w:fill="FFFFFF"/>
            <w:vAlign w:val="center"/>
          </w:tcPr>
          <w:p w14:paraId="50B54D09">
            <w:pPr>
              <w:tabs>
                <w:tab w:val="left" w:pos="434"/>
              </w:tabs>
              <w:kinsoku/>
              <w:wordWrap w:val="0"/>
              <w:topLinePunct/>
              <w:autoSpaceDE/>
              <w:autoSpaceDN/>
              <w:adjustRightInd/>
              <w:snapToGrid/>
              <w:spacing w:before="120" w:beforeLines="50"/>
              <w:ind w:left="120" w:leftChars="50"/>
              <w:jc w:val="center"/>
              <w:rPr>
                <w:rFonts w:ascii="宋体" w:hAnsi="宋体" w:eastAsia="宋体" w:cs="宋体"/>
                <w:color w:val="auto"/>
                <w:szCs w:val="24"/>
                <w:highlight w:val="none"/>
              </w:rPr>
            </w:pPr>
            <w:r>
              <w:rPr>
                <w:rFonts w:hint="eastAsia" w:ascii="宋体" w:hAnsi="宋体" w:eastAsia="宋体" w:cs="宋体"/>
                <w:color w:val="auto"/>
                <w:szCs w:val="24"/>
                <w:highlight w:val="none"/>
              </w:rPr>
              <w:t>评审办法</w:t>
            </w:r>
          </w:p>
        </w:tc>
        <w:tc>
          <w:tcPr>
            <w:tcW w:w="6480" w:type="dxa"/>
            <w:tcBorders>
              <w:tl2br w:val="nil"/>
              <w:tr2bl w:val="nil"/>
            </w:tcBorders>
            <w:shd w:val="clear" w:color="auto" w:fill="FFFFFF"/>
          </w:tcPr>
          <w:p w14:paraId="477D7477">
            <w:pPr>
              <w:tabs>
                <w:tab w:val="left" w:pos="434"/>
              </w:tabs>
              <w:kinsoku/>
              <w:wordWrap w:val="0"/>
              <w:topLinePunct/>
              <w:autoSpaceDE/>
              <w:autoSpaceDN/>
              <w:spacing w:line="400" w:lineRule="exact"/>
              <w:ind w:left="120" w:leftChars="50"/>
              <w:rPr>
                <w:rFonts w:ascii="宋体" w:hAnsi="宋体" w:eastAsia="宋体" w:cs="宋体"/>
                <w:szCs w:val="24"/>
                <w:highlight w:val="none"/>
              </w:rPr>
            </w:pPr>
            <w:r>
              <w:rPr>
                <w:rFonts w:hint="eastAsia" w:ascii="宋体" w:hAnsi="宋体" w:eastAsia="宋体" w:cs="宋体"/>
                <w:bCs/>
                <w:color w:val="auto"/>
                <w:kern w:val="2"/>
                <w:szCs w:val="24"/>
                <w:highlight w:val="none"/>
                <w:lang w:eastAsia="zh-CN"/>
              </w:rPr>
              <w:t>□</w:t>
            </w:r>
            <w:r>
              <w:rPr>
                <w:rFonts w:hint="eastAsia" w:ascii="宋体" w:hAnsi="宋体" w:eastAsia="宋体" w:cs="宋体"/>
                <w:szCs w:val="24"/>
                <w:highlight w:val="none"/>
              </w:rPr>
              <w:t>最低价法</w:t>
            </w:r>
          </w:p>
          <w:p w14:paraId="48D9495A">
            <w:pPr>
              <w:tabs>
                <w:tab w:val="left" w:pos="434"/>
              </w:tabs>
              <w:kinsoku/>
              <w:wordWrap w:val="0"/>
              <w:topLinePunct/>
              <w:autoSpaceDE/>
              <w:autoSpaceDN/>
              <w:spacing w:line="400" w:lineRule="exact"/>
              <w:ind w:left="120" w:leftChars="50"/>
              <w:rPr>
                <w:rFonts w:ascii="宋体" w:hAnsi="宋体" w:eastAsia="宋体" w:cs="宋体"/>
                <w:szCs w:val="24"/>
                <w:highlight w:val="none"/>
              </w:rPr>
            </w:pPr>
            <w:r>
              <w:rPr>
                <w:rFonts w:hint="eastAsia" w:ascii="宋体" w:hAnsi="宋体" w:eastAsia="宋体" w:cs="宋体"/>
                <w:color w:val="auto"/>
                <w:szCs w:val="24"/>
                <w:highlight w:val="none"/>
              </w:rPr>
              <w:t>■</w:t>
            </w:r>
            <w:r>
              <w:rPr>
                <w:rFonts w:hint="eastAsia" w:ascii="宋体" w:hAnsi="宋体" w:eastAsia="宋体" w:cs="宋体"/>
                <w:szCs w:val="24"/>
                <w:highlight w:val="none"/>
              </w:rPr>
              <w:t>合理低价法</w:t>
            </w:r>
          </w:p>
          <w:p w14:paraId="1ADCEC72">
            <w:pPr>
              <w:tabs>
                <w:tab w:val="left" w:pos="434"/>
              </w:tabs>
              <w:kinsoku/>
              <w:wordWrap w:val="0"/>
              <w:topLinePunct/>
              <w:autoSpaceDE/>
              <w:autoSpaceDN/>
              <w:spacing w:line="400" w:lineRule="exact"/>
              <w:ind w:left="120" w:leftChars="50"/>
              <w:rPr>
                <w:rFonts w:ascii="宋体" w:hAnsi="宋体" w:eastAsia="宋体" w:cs="宋体"/>
                <w:szCs w:val="24"/>
                <w:highlight w:val="none"/>
              </w:rPr>
            </w:pPr>
            <w:r>
              <w:rPr>
                <w:rFonts w:hint="eastAsia" w:ascii="宋体" w:hAnsi="宋体" w:eastAsia="宋体" w:cs="宋体"/>
                <w:bCs/>
                <w:color w:val="auto"/>
                <w:kern w:val="2"/>
                <w:szCs w:val="24"/>
                <w:highlight w:val="none"/>
                <w:lang w:eastAsia="zh-CN"/>
              </w:rPr>
              <w:t>□</w:t>
            </w:r>
            <w:r>
              <w:rPr>
                <w:rFonts w:hint="eastAsia" w:ascii="宋体" w:hAnsi="宋体" w:eastAsia="宋体" w:cs="宋体"/>
                <w:szCs w:val="24"/>
                <w:highlight w:val="none"/>
              </w:rPr>
              <w:t>综合评估法A（技术标通过制）</w:t>
            </w:r>
          </w:p>
          <w:p w14:paraId="23BB171F">
            <w:pPr>
              <w:tabs>
                <w:tab w:val="left" w:pos="434"/>
              </w:tabs>
              <w:kinsoku/>
              <w:wordWrap w:val="0"/>
              <w:topLinePunct/>
              <w:autoSpaceDE/>
              <w:autoSpaceDN/>
              <w:spacing w:line="400" w:lineRule="exact"/>
              <w:ind w:left="120" w:leftChars="50"/>
              <w:rPr>
                <w:rFonts w:ascii="宋体" w:hAnsi="宋体" w:eastAsia="宋体" w:cs="宋体"/>
                <w:szCs w:val="24"/>
                <w:highlight w:val="none"/>
              </w:rPr>
            </w:pPr>
            <w:r>
              <w:rPr>
                <w:rFonts w:hint="eastAsia" w:ascii="宋体" w:hAnsi="宋体" w:eastAsia="宋体" w:cs="宋体"/>
                <w:bCs/>
                <w:color w:val="auto"/>
                <w:kern w:val="2"/>
                <w:szCs w:val="24"/>
                <w:highlight w:val="none"/>
                <w:lang w:eastAsia="zh-CN"/>
              </w:rPr>
              <w:t>□</w:t>
            </w:r>
            <w:r>
              <w:rPr>
                <w:rFonts w:hint="eastAsia" w:ascii="宋体" w:hAnsi="宋体" w:eastAsia="宋体" w:cs="宋体"/>
                <w:szCs w:val="24"/>
                <w:highlight w:val="none"/>
              </w:rPr>
              <w:t>综合评估法B（技术标打分制）</w:t>
            </w:r>
          </w:p>
        </w:tc>
      </w:tr>
      <w:tr w14:paraId="25E88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810" w:type="dxa"/>
            <w:tcBorders>
              <w:tl2br w:val="nil"/>
              <w:tr2bl w:val="nil"/>
            </w:tcBorders>
            <w:shd w:val="clear" w:color="auto" w:fill="FFFFFF"/>
            <w:vAlign w:val="center"/>
          </w:tcPr>
          <w:p w14:paraId="7CB79FF4">
            <w:pPr>
              <w:pStyle w:val="9"/>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highlight w:val="none"/>
              </w:rPr>
            </w:pPr>
          </w:p>
        </w:tc>
        <w:tc>
          <w:tcPr>
            <w:tcW w:w="2460" w:type="dxa"/>
            <w:tcBorders>
              <w:tl2br w:val="nil"/>
              <w:tr2bl w:val="nil"/>
            </w:tcBorders>
            <w:shd w:val="clear" w:color="auto" w:fill="FFFFFF"/>
            <w:vAlign w:val="center"/>
          </w:tcPr>
          <w:p w14:paraId="1BF58612">
            <w:pPr>
              <w:kinsoku/>
              <w:wordWrap w:val="0"/>
              <w:topLinePunct/>
              <w:autoSpaceDE/>
              <w:autoSpaceDN/>
              <w:adjustRightInd/>
              <w:snapToGrid/>
              <w:spacing w:before="120" w:beforeLines="50"/>
              <w:ind w:left="120" w:leftChars="50" w:right="242" w:rightChars="101"/>
              <w:jc w:val="center"/>
              <w:rPr>
                <w:rFonts w:ascii="宋体" w:hAnsi="宋体" w:eastAsia="宋体" w:cs="宋体"/>
                <w:color w:val="auto"/>
                <w:szCs w:val="24"/>
                <w:highlight w:val="none"/>
              </w:rPr>
            </w:pPr>
            <w:r>
              <w:rPr>
                <w:rFonts w:hint="eastAsia" w:ascii="宋体" w:hAnsi="宋体" w:eastAsia="宋体" w:cs="宋体"/>
                <w:color w:val="auto"/>
                <w:szCs w:val="24"/>
                <w:highlight w:val="none"/>
              </w:rPr>
              <w:t>评审小组</w:t>
            </w:r>
          </w:p>
        </w:tc>
        <w:tc>
          <w:tcPr>
            <w:tcW w:w="6480" w:type="dxa"/>
            <w:tcBorders>
              <w:tl2br w:val="nil"/>
              <w:tr2bl w:val="nil"/>
            </w:tcBorders>
            <w:shd w:val="clear" w:color="auto" w:fill="FFFFFF"/>
          </w:tcPr>
          <w:p w14:paraId="353B6209">
            <w:pPr>
              <w:kinsoku/>
              <w:wordWrap w:val="0"/>
              <w:topLinePunct/>
              <w:autoSpaceDE/>
              <w:autoSpaceDN/>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采用综合评估法的项目，由发包人组建评审小组按照评审办法规定的程序和标准推荐成交候选人。评审小组由1名发包人代表和具有评审能力的专业人员共同组成，成员人数不少于5人及以上单数。其中发包人代表是经发包人授权熟悉项目需求和政策法规的工作人员；具备评审能力的专业人员从集团公司评标专家库中以随机抽取方式确定，且不得少于评审成员总数的三分之二；代理机构人员不得参加本机构代理项目的评审。</w:t>
            </w:r>
          </w:p>
        </w:tc>
      </w:tr>
      <w:tr w14:paraId="6258D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810" w:type="dxa"/>
            <w:tcBorders>
              <w:tl2br w:val="nil"/>
              <w:tr2bl w:val="nil"/>
            </w:tcBorders>
            <w:shd w:val="clear" w:color="auto" w:fill="FFFFFF"/>
            <w:vAlign w:val="center"/>
          </w:tcPr>
          <w:p w14:paraId="4A12FE4F">
            <w:pPr>
              <w:pStyle w:val="9"/>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highlight w:val="none"/>
              </w:rPr>
            </w:pPr>
          </w:p>
        </w:tc>
        <w:tc>
          <w:tcPr>
            <w:tcW w:w="2460" w:type="dxa"/>
            <w:tcBorders>
              <w:tl2br w:val="nil"/>
              <w:tr2bl w:val="nil"/>
            </w:tcBorders>
            <w:shd w:val="clear" w:color="auto" w:fill="FFFFFF"/>
            <w:vAlign w:val="center"/>
          </w:tcPr>
          <w:p w14:paraId="6965EF7B">
            <w:pPr>
              <w:kinsoku/>
              <w:wordWrap w:val="0"/>
              <w:topLinePunct/>
              <w:autoSpaceDE/>
              <w:autoSpaceDN/>
              <w:adjustRightInd/>
              <w:snapToGrid/>
              <w:spacing w:before="120" w:beforeLines="50"/>
              <w:ind w:left="120" w:leftChars="50"/>
              <w:jc w:val="center"/>
              <w:rPr>
                <w:rFonts w:ascii="宋体" w:hAnsi="宋体" w:eastAsia="宋体" w:cs="宋体"/>
                <w:color w:val="auto"/>
                <w:szCs w:val="24"/>
                <w:highlight w:val="none"/>
              </w:rPr>
            </w:pPr>
            <w:r>
              <w:rPr>
                <w:rFonts w:hint="eastAsia" w:ascii="宋体" w:hAnsi="宋体" w:eastAsia="宋体" w:cs="宋体"/>
                <w:color w:val="auto"/>
                <w:szCs w:val="24"/>
                <w:highlight w:val="none"/>
              </w:rPr>
              <w:t>响应文件的质询</w:t>
            </w:r>
          </w:p>
        </w:tc>
        <w:tc>
          <w:tcPr>
            <w:tcW w:w="6480" w:type="dxa"/>
            <w:tcBorders>
              <w:tl2br w:val="nil"/>
              <w:tr2bl w:val="nil"/>
            </w:tcBorders>
            <w:shd w:val="clear" w:color="auto" w:fill="FFFFFF"/>
          </w:tcPr>
          <w:p w14:paraId="3C2B6E72">
            <w:pPr>
              <w:kinsoku/>
              <w:topLinePunct/>
              <w:spacing w:line="400" w:lineRule="exact"/>
              <w:ind w:left="120" w:leftChars="50"/>
              <w:rPr>
                <w:rFonts w:ascii="宋体" w:hAnsi="宋体" w:eastAsia="宋体" w:cs="宋体"/>
                <w:color w:val="auto"/>
                <w:spacing w:val="6"/>
                <w:szCs w:val="24"/>
                <w:highlight w:val="none"/>
              </w:rPr>
            </w:pPr>
            <w:r>
              <w:rPr>
                <w:rFonts w:hint="eastAsia" w:ascii="宋体" w:hAnsi="宋体" w:eastAsia="宋体" w:cs="宋体"/>
                <w:bCs/>
                <w:color w:val="auto"/>
                <w:kern w:val="2"/>
                <w:szCs w:val="24"/>
                <w:highlight w:val="none"/>
                <w:lang w:eastAsia="zh-CN"/>
              </w:rPr>
              <w:t>□</w:t>
            </w:r>
            <w:r>
              <w:rPr>
                <w:rFonts w:hint="eastAsia" w:ascii="宋体" w:hAnsi="宋体" w:eastAsia="宋体" w:cs="宋体"/>
                <w:color w:val="auto"/>
                <w:szCs w:val="24"/>
                <w:highlight w:val="none"/>
              </w:rPr>
              <w:t>不质询。</w:t>
            </w:r>
          </w:p>
          <w:p w14:paraId="1D2D2B23">
            <w:pPr>
              <w:kinsoku/>
              <w:topLinePunct/>
              <w:spacing w:line="400" w:lineRule="exact"/>
              <w:ind w:left="120" w:leftChars="50"/>
              <w:rPr>
                <w:rFonts w:ascii="宋体" w:hAnsi="宋体" w:eastAsia="宋体" w:cs="宋体"/>
                <w:color w:val="auto"/>
                <w:spacing w:val="6"/>
                <w:szCs w:val="24"/>
                <w:highlight w:val="none"/>
              </w:rPr>
            </w:pPr>
            <w:r>
              <w:rPr>
                <w:rFonts w:hint="eastAsia" w:ascii="宋体" w:hAnsi="宋体" w:eastAsia="宋体" w:cs="宋体"/>
                <w:color w:val="auto"/>
                <w:szCs w:val="24"/>
                <w:highlight w:val="none"/>
              </w:rPr>
              <w:t>■</w:t>
            </w:r>
            <w:r>
              <w:rPr>
                <w:rFonts w:hint="eastAsia" w:ascii="宋体" w:hAnsi="宋体" w:eastAsia="宋体" w:cs="宋体"/>
                <w:color w:val="auto"/>
                <w:spacing w:val="6"/>
                <w:szCs w:val="24"/>
                <w:highlight w:val="none"/>
              </w:rPr>
              <w:t>发包人或组建的评审小组认为</w:t>
            </w:r>
            <w:r>
              <w:rPr>
                <w:rFonts w:hint="eastAsia" w:ascii="宋体" w:hAnsi="宋体" w:eastAsia="宋体" w:cs="宋体"/>
                <w:color w:val="auto"/>
                <w:spacing w:val="-2"/>
                <w:szCs w:val="24"/>
                <w:highlight w:val="none"/>
              </w:rPr>
              <w:t>响应文件需要</w:t>
            </w:r>
            <w:r>
              <w:rPr>
                <w:rFonts w:hint="eastAsia" w:ascii="宋体" w:hAnsi="宋体" w:eastAsia="宋体" w:cs="宋体"/>
                <w:color w:val="auto"/>
                <w:szCs w:val="24"/>
                <w:highlight w:val="none"/>
              </w:rPr>
              <w:t>潜在承包人</w:t>
            </w:r>
            <w:r>
              <w:rPr>
                <w:rFonts w:hint="eastAsia" w:ascii="宋体" w:hAnsi="宋体" w:eastAsia="宋体" w:cs="宋体"/>
                <w:color w:val="auto"/>
                <w:spacing w:val="-2"/>
                <w:szCs w:val="24"/>
                <w:highlight w:val="none"/>
              </w:rPr>
              <w:t>进行</w:t>
            </w:r>
            <w:r>
              <w:rPr>
                <w:rFonts w:hint="eastAsia" w:ascii="宋体" w:hAnsi="宋体" w:eastAsia="宋体" w:cs="宋体"/>
                <w:color w:val="auto"/>
                <w:spacing w:val="-1"/>
                <w:szCs w:val="24"/>
                <w:highlight w:val="none"/>
              </w:rPr>
              <w:t>澄清、说明或者补正的，按以下要求进行质询：</w:t>
            </w:r>
          </w:p>
          <w:p w14:paraId="6BDD446B">
            <w:pPr>
              <w:kinsoku/>
              <w:topLinePunct/>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pacing w:val="6"/>
                <w:szCs w:val="24"/>
                <w:highlight w:val="none"/>
              </w:rPr>
              <w:t>(1)澄清回复时</w:t>
            </w:r>
            <w:r>
              <w:rPr>
                <w:rFonts w:hint="eastAsia" w:ascii="宋体" w:hAnsi="宋体" w:eastAsia="宋体" w:cs="宋体"/>
                <w:color w:val="auto"/>
                <w:spacing w:val="5"/>
                <w:szCs w:val="24"/>
                <w:highlight w:val="none"/>
              </w:rPr>
              <w:t>间</w:t>
            </w:r>
            <w:r>
              <w:rPr>
                <w:rFonts w:hint="eastAsia" w:ascii="宋体" w:hAnsi="宋体" w:eastAsia="宋体" w:cs="宋体"/>
                <w:color w:val="auto"/>
                <w:spacing w:val="3"/>
                <w:szCs w:val="24"/>
                <w:highlight w:val="none"/>
              </w:rPr>
              <w:t>不得超过在发出通知后</w:t>
            </w:r>
            <w:r>
              <w:rPr>
                <w:rFonts w:hint="eastAsia" w:ascii="宋体" w:hAnsi="宋体" w:eastAsia="宋体" w:cs="宋体"/>
                <w:color w:val="auto"/>
                <w:spacing w:val="3"/>
                <w:szCs w:val="24"/>
                <w:highlight w:val="none"/>
                <w:u w:val="single"/>
              </w:rPr>
              <w:t xml:space="preserve"> </w:t>
            </w:r>
            <w:r>
              <w:rPr>
                <w:rFonts w:hint="eastAsia" w:ascii="宋体" w:hAnsi="宋体" w:eastAsia="宋体" w:cs="宋体"/>
                <w:color w:val="auto"/>
                <w:spacing w:val="3"/>
                <w:szCs w:val="24"/>
                <w:highlight w:val="none"/>
                <w:u w:val="single"/>
                <w:lang w:val="en-US" w:eastAsia="zh-CN"/>
              </w:rPr>
              <w:t>30</w:t>
            </w:r>
            <w:r>
              <w:rPr>
                <w:rFonts w:hint="eastAsia" w:ascii="宋体" w:hAnsi="宋体" w:eastAsia="宋体" w:cs="宋体"/>
                <w:color w:val="auto"/>
                <w:spacing w:val="3"/>
                <w:szCs w:val="24"/>
                <w:highlight w:val="none"/>
                <w:u w:val="single"/>
              </w:rPr>
              <w:t xml:space="preserve"> </w:t>
            </w:r>
            <w:r>
              <w:rPr>
                <w:rFonts w:hint="eastAsia" w:ascii="宋体" w:hAnsi="宋体" w:eastAsia="宋体" w:cs="宋体"/>
                <w:color w:val="auto"/>
                <w:spacing w:val="3"/>
                <w:szCs w:val="24"/>
                <w:highlight w:val="none"/>
              </w:rPr>
              <w:t xml:space="preserve"> 分钟(该时间填报不</w:t>
            </w:r>
            <w:r>
              <w:rPr>
                <w:rFonts w:hint="eastAsia" w:ascii="宋体" w:hAnsi="宋体" w:eastAsia="宋体" w:cs="宋体"/>
                <w:color w:val="auto"/>
                <w:spacing w:val="8"/>
                <w:szCs w:val="24"/>
                <w:highlight w:val="none"/>
              </w:rPr>
              <w:t xml:space="preserve">得超过 </w:t>
            </w:r>
            <w:r>
              <w:rPr>
                <w:rFonts w:hint="eastAsia" w:ascii="宋体" w:hAnsi="宋体" w:eastAsia="宋体" w:cs="宋体"/>
                <w:color w:val="auto"/>
                <w:spacing w:val="7"/>
                <w:szCs w:val="24"/>
                <w:highlight w:val="none"/>
              </w:rPr>
              <w:t>3</w:t>
            </w:r>
            <w:r>
              <w:rPr>
                <w:rFonts w:hint="eastAsia" w:ascii="宋体" w:hAnsi="宋体" w:eastAsia="宋体" w:cs="宋体"/>
                <w:color w:val="auto"/>
                <w:spacing w:val="4"/>
                <w:szCs w:val="24"/>
                <w:highlight w:val="none"/>
              </w:rPr>
              <w:t>0 分钟)，</w:t>
            </w:r>
            <w:r>
              <w:rPr>
                <w:rFonts w:hint="eastAsia" w:ascii="宋体" w:hAnsi="宋体" w:eastAsia="宋体" w:cs="宋体"/>
                <w:color w:val="auto"/>
                <w:szCs w:val="24"/>
                <w:highlight w:val="none"/>
              </w:rPr>
              <w:t>潜在承包人</w:t>
            </w:r>
            <w:r>
              <w:rPr>
                <w:rFonts w:hint="eastAsia" w:ascii="宋体" w:hAnsi="宋体" w:eastAsia="宋体" w:cs="宋体"/>
                <w:color w:val="auto"/>
                <w:spacing w:val="4"/>
                <w:szCs w:val="24"/>
                <w:highlight w:val="none"/>
              </w:rPr>
              <w:t>逾期或未按要求澄清回复的，将视为</w:t>
            </w:r>
            <w:r>
              <w:rPr>
                <w:rFonts w:hint="eastAsia" w:ascii="宋体" w:hAnsi="宋体" w:eastAsia="宋体" w:cs="宋体"/>
                <w:color w:val="auto"/>
                <w:spacing w:val="1"/>
                <w:szCs w:val="24"/>
                <w:highlight w:val="none"/>
              </w:rPr>
              <w:t>不予回复或确认，发包人或评审小组有权否决其响应</w:t>
            </w:r>
            <w:r>
              <w:rPr>
                <w:rFonts w:hint="eastAsia" w:ascii="宋体" w:hAnsi="宋体" w:eastAsia="宋体" w:cs="宋体"/>
                <w:color w:val="auto"/>
                <w:szCs w:val="24"/>
                <w:highlight w:val="none"/>
              </w:rPr>
              <w:t>。潜在承包人通讯不畅</w:t>
            </w:r>
            <w:r>
              <w:rPr>
                <w:rFonts w:hint="eastAsia" w:ascii="宋体" w:hAnsi="宋体" w:eastAsia="宋体" w:cs="宋体"/>
                <w:color w:val="auto"/>
                <w:spacing w:val="-2"/>
                <w:szCs w:val="24"/>
                <w:highlight w:val="none"/>
              </w:rPr>
              <w:t>通，导致</w:t>
            </w:r>
            <w:r>
              <w:rPr>
                <w:rFonts w:hint="eastAsia" w:ascii="宋体" w:hAnsi="宋体" w:eastAsia="宋体" w:cs="宋体"/>
                <w:color w:val="auto"/>
                <w:spacing w:val="-1"/>
                <w:szCs w:val="24"/>
                <w:highlight w:val="none"/>
              </w:rPr>
              <w:t>不能及时联系的，视为</w:t>
            </w:r>
            <w:r>
              <w:rPr>
                <w:rFonts w:hint="eastAsia" w:ascii="宋体" w:hAnsi="宋体" w:eastAsia="宋体" w:cs="宋体"/>
                <w:color w:val="auto"/>
                <w:szCs w:val="24"/>
                <w:highlight w:val="none"/>
              </w:rPr>
              <w:t>潜在承包人</w:t>
            </w:r>
            <w:r>
              <w:rPr>
                <w:rFonts w:hint="eastAsia" w:ascii="宋体" w:hAnsi="宋体" w:eastAsia="宋体" w:cs="宋体"/>
                <w:color w:val="auto"/>
                <w:spacing w:val="-1"/>
                <w:szCs w:val="24"/>
                <w:highlight w:val="none"/>
              </w:rPr>
              <w:t>不予回复或确认。</w:t>
            </w:r>
            <w:r>
              <w:rPr>
                <w:rFonts w:hint="eastAsia" w:ascii="宋体" w:hAnsi="宋体" w:eastAsia="宋体" w:cs="宋体"/>
                <w:color w:val="auto"/>
                <w:szCs w:val="24"/>
                <w:highlight w:val="none"/>
              </w:rPr>
              <w:t xml:space="preserve">    </w:t>
            </w:r>
          </w:p>
          <w:p w14:paraId="02101CA3">
            <w:pPr>
              <w:kinsoku/>
              <w:topLinePunct/>
              <w:spacing w:line="400" w:lineRule="exact"/>
              <w:ind w:left="120" w:leftChars="50"/>
              <w:rPr>
                <w:rFonts w:ascii="宋体" w:hAnsi="宋体" w:eastAsia="宋体" w:cs="宋体"/>
                <w:color w:val="auto"/>
                <w:spacing w:val="-21"/>
                <w:szCs w:val="24"/>
                <w:highlight w:val="none"/>
              </w:rPr>
            </w:pPr>
            <w:r>
              <w:rPr>
                <w:rFonts w:hint="eastAsia" w:ascii="宋体" w:hAnsi="宋体" w:eastAsia="宋体" w:cs="宋体"/>
                <w:color w:val="auto"/>
                <w:spacing w:val="1"/>
                <w:szCs w:val="24"/>
                <w:highlight w:val="none"/>
              </w:rPr>
              <w:t>(2)发包人或评审小组对</w:t>
            </w:r>
            <w:r>
              <w:rPr>
                <w:rFonts w:hint="eastAsia" w:ascii="宋体" w:hAnsi="宋体" w:eastAsia="宋体" w:cs="宋体"/>
                <w:color w:val="auto"/>
                <w:szCs w:val="24"/>
                <w:highlight w:val="none"/>
              </w:rPr>
              <w:t>潜在承包人</w:t>
            </w:r>
            <w:r>
              <w:rPr>
                <w:rFonts w:hint="eastAsia" w:ascii="宋体" w:hAnsi="宋体" w:eastAsia="宋体" w:cs="宋体"/>
                <w:color w:val="auto"/>
                <w:spacing w:val="1"/>
                <w:szCs w:val="24"/>
                <w:highlight w:val="none"/>
              </w:rPr>
              <w:t>提交的澄清、说明</w:t>
            </w:r>
            <w:r>
              <w:rPr>
                <w:rFonts w:hint="eastAsia" w:ascii="宋体" w:hAnsi="宋体" w:eastAsia="宋体" w:cs="宋体"/>
                <w:color w:val="auto"/>
                <w:szCs w:val="24"/>
                <w:highlight w:val="none"/>
              </w:rPr>
              <w:t>或补正有疑问的，可以</w:t>
            </w:r>
            <w:r>
              <w:rPr>
                <w:rFonts w:hint="eastAsia" w:ascii="宋体" w:hAnsi="宋体" w:eastAsia="宋体" w:cs="宋体"/>
                <w:color w:val="auto"/>
                <w:spacing w:val="1"/>
                <w:szCs w:val="24"/>
                <w:highlight w:val="none"/>
              </w:rPr>
              <w:t>要求进一步澄清、说明或补正，直至</w:t>
            </w:r>
            <w:r>
              <w:rPr>
                <w:rFonts w:hint="eastAsia" w:ascii="宋体" w:hAnsi="宋体" w:eastAsia="宋体" w:cs="宋体"/>
                <w:color w:val="auto"/>
                <w:szCs w:val="24"/>
                <w:highlight w:val="none"/>
              </w:rPr>
              <w:t>满足发包人或</w:t>
            </w:r>
            <w:r>
              <w:rPr>
                <w:rFonts w:hint="eastAsia" w:ascii="宋体" w:hAnsi="宋体" w:eastAsia="宋体" w:cs="宋体"/>
                <w:color w:val="auto"/>
                <w:spacing w:val="1"/>
                <w:szCs w:val="24"/>
                <w:highlight w:val="none"/>
              </w:rPr>
              <w:t>评审小组</w:t>
            </w:r>
            <w:r>
              <w:rPr>
                <w:rFonts w:hint="eastAsia" w:ascii="宋体" w:hAnsi="宋体" w:eastAsia="宋体" w:cs="宋体"/>
                <w:color w:val="auto"/>
                <w:szCs w:val="24"/>
                <w:highlight w:val="none"/>
              </w:rPr>
              <w:t>的要</w:t>
            </w:r>
            <w:r>
              <w:rPr>
                <w:rFonts w:hint="eastAsia" w:ascii="宋体" w:hAnsi="宋体" w:eastAsia="宋体" w:cs="宋体"/>
                <w:color w:val="auto"/>
                <w:spacing w:val="-21"/>
                <w:szCs w:val="24"/>
                <w:highlight w:val="none"/>
              </w:rPr>
              <w:t>求。</w:t>
            </w:r>
          </w:p>
          <w:p w14:paraId="4B9A1C60">
            <w:pPr>
              <w:kinsoku/>
              <w:topLinePunct/>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color w:val="auto"/>
                <w:spacing w:val="-2"/>
                <w:szCs w:val="24"/>
                <w:highlight w:val="none"/>
              </w:rPr>
              <w:t>3)</w:t>
            </w:r>
            <w:r>
              <w:rPr>
                <w:rFonts w:hint="eastAsia" w:ascii="宋体" w:hAnsi="宋体" w:eastAsia="宋体" w:cs="宋体"/>
                <w:color w:val="auto"/>
                <w:szCs w:val="24"/>
                <w:highlight w:val="none"/>
              </w:rPr>
              <w:t>潜在承包人</w:t>
            </w:r>
            <w:r>
              <w:rPr>
                <w:rFonts w:hint="eastAsia" w:ascii="宋体" w:hAnsi="宋体" w:eastAsia="宋体" w:cs="宋体"/>
                <w:color w:val="auto"/>
                <w:spacing w:val="-2"/>
                <w:szCs w:val="24"/>
                <w:highlight w:val="none"/>
              </w:rPr>
              <w:t>拒不按照要求对响应文件进行</w:t>
            </w:r>
            <w:r>
              <w:rPr>
                <w:rFonts w:hint="eastAsia" w:ascii="宋体" w:hAnsi="宋体" w:eastAsia="宋体" w:cs="宋体"/>
                <w:color w:val="auto"/>
                <w:spacing w:val="-1"/>
                <w:szCs w:val="24"/>
                <w:highlight w:val="none"/>
              </w:rPr>
              <w:t>澄清、说明或者补正的，发包人或</w:t>
            </w:r>
            <w:r>
              <w:rPr>
                <w:rFonts w:hint="eastAsia" w:ascii="宋体" w:hAnsi="宋体" w:eastAsia="宋体" w:cs="宋体"/>
                <w:color w:val="auto"/>
                <w:spacing w:val="1"/>
                <w:szCs w:val="24"/>
                <w:highlight w:val="none"/>
              </w:rPr>
              <w:t>评审小组</w:t>
            </w:r>
            <w:r>
              <w:rPr>
                <w:rFonts w:hint="eastAsia" w:ascii="宋体" w:hAnsi="宋体" w:eastAsia="宋体" w:cs="宋体"/>
                <w:color w:val="auto"/>
                <w:spacing w:val="-2"/>
                <w:szCs w:val="24"/>
                <w:highlight w:val="none"/>
              </w:rPr>
              <w:t>可以否决其响应。</w:t>
            </w:r>
          </w:p>
        </w:tc>
      </w:tr>
      <w:tr w14:paraId="22831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1251" w:hRule="atLeast"/>
        </w:trPr>
        <w:tc>
          <w:tcPr>
            <w:tcW w:w="810" w:type="dxa"/>
            <w:tcBorders>
              <w:tl2br w:val="nil"/>
              <w:tr2bl w:val="nil"/>
            </w:tcBorders>
            <w:shd w:val="clear" w:color="auto" w:fill="FFFFFF"/>
            <w:vAlign w:val="center"/>
          </w:tcPr>
          <w:p w14:paraId="06400301">
            <w:pPr>
              <w:pStyle w:val="9"/>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highlight w:val="none"/>
              </w:rPr>
            </w:pPr>
          </w:p>
        </w:tc>
        <w:tc>
          <w:tcPr>
            <w:tcW w:w="2460" w:type="dxa"/>
            <w:tcBorders>
              <w:tl2br w:val="nil"/>
              <w:tr2bl w:val="nil"/>
            </w:tcBorders>
            <w:shd w:val="clear" w:color="auto" w:fill="FFFFFF"/>
            <w:vAlign w:val="center"/>
          </w:tcPr>
          <w:p w14:paraId="0B7AABA3">
            <w:pPr>
              <w:kinsoku/>
              <w:topLinePunct/>
              <w:spacing w:before="78" w:line="258" w:lineRule="auto"/>
              <w:ind w:right="107"/>
              <w:jc w:val="center"/>
              <w:rPr>
                <w:rFonts w:ascii="宋体" w:hAnsi="宋体" w:eastAsia="宋体" w:cs="宋体"/>
                <w:color w:val="auto"/>
                <w:spacing w:val="-2"/>
                <w:szCs w:val="24"/>
                <w:highlight w:val="none"/>
              </w:rPr>
            </w:pPr>
            <w:r>
              <w:rPr>
                <w:rFonts w:hint="eastAsia" w:ascii="宋体" w:hAnsi="宋体" w:eastAsia="宋体" w:cs="宋体"/>
                <w:color w:val="auto"/>
                <w:spacing w:val="-3"/>
                <w:szCs w:val="24"/>
                <w:highlight w:val="none"/>
              </w:rPr>
              <w:t>否决响应文件的</w:t>
            </w:r>
            <w:r>
              <w:rPr>
                <w:rFonts w:hint="eastAsia" w:ascii="宋体" w:hAnsi="宋体" w:eastAsia="宋体" w:cs="宋体"/>
                <w:color w:val="auto"/>
                <w:spacing w:val="-2"/>
                <w:szCs w:val="24"/>
                <w:highlight w:val="none"/>
              </w:rPr>
              <w:t>情形</w:t>
            </w:r>
          </w:p>
        </w:tc>
        <w:tc>
          <w:tcPr>
            <w:tcW w:w="6480" w:type="dxa"/>
            <w:tcBorders>
              <w:tl2br w:val="nil"/>
              <w:tr2bl w:val="nil"/>
            </w:tcBorders>
            <w:shd w:val="clear" w:color="auto" w:fill="FFFFFF"/>
          </w:tcPr>
          <w:p w14:paraId="3BB30D60">
            <w:pPr>
              <w:kinsoku/>
              <w:topLinePunct/>
              <w:spacing w:line="400" w:lineRule="exact"/>
              <w:ind w:left="120" w:leftChars="50"/>
              <w:rPr>
                <w:rFonts w:ascii="宋体" w:hAnsi="宋体" w:eastAsia="宋体" w:cs="宋体"/>
                <w:b/>
                <w:bCs/>
                <w:color w:val="auto"/>
                <w:spacing w:val="-2"/>
                <w:szCs w:val="24"/>
                <w:highlight w:val="none"/>
              </w:rPr>
            </w:pPr>
            <w:r>
              <w:rPr>
                <w:rFonts w:hint="eastAsia" w:ascii="宋体" w:hAnsi="宋体" w:eastAsia="宋体" w:cs="宋体"/>
                <w:color w:val="auto"/>
                <w:spacing w:val="-2"/>
                <w:szCs w:val="24"/>
                <w:highlight w:val="none"/>
              </w:rPr>
              <w:t>详见第三章评审办法。</w:t>
            </w:r>
          </w:p>
          <w:p w14:paraId="382B6919">
            <w:pPr>
              <w:kinsoku/>
              <w:topLinePunct/>
              <w:spacing w:line="400" w:lineRule="exact"/>
              <w:ind w:left="120" w:leftChars="50"/>
              <w:rPr>
                <w:rFonts w:ascii="宋体" w:hAnsi="宋体" w:eastAsia="宋体" w:cs="宋体"/>
                <w:color w:val="auto"/>
                <w:szCs w:val="24"/>
                <w:highlight w:val="none"/>
              </w:rPr>
            </w:pPr>
            <w:r>
              <w:rPr>
                <w:rFonts w:hint="eastAsia" w:ascii="宋体" w:hAnsi="宋体" w:eastAsia="宋体" w:cs="宋体"/>
                <w:b/>
                <w:bCs/>
                <w:color w:val="auto"/>
                <w:spacing w:val="-2"/>
                <w:szCs w:val="24"/>
                <w:highlight w:val="none"/>
              </w:rPr>
              <w:t>注：拟作出否决响应文件决定的，应先向潜在承包人进行质询。按照评审办法被否决的，应在成交候选人公示时予以公布。</w:t>
            </w:r>
          </w:p>
        </w:tc>
      </w:tr>
      <w:tr w14:paraId="6226C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810" w:type="dxa"/>
            <w:tcBorders>
              <w:tl2br w:val="nil"/>
              <w:tr2bl w:val="nil"/>
            </w:tcBorders>
            <w:shd w:val="clear" w:color="auto" w:fill="FFFFFF"/>
            <w:vAlign w:val="center"/>
          </w:tcPr>
          <w:p w14:paraId="6939A0F8">
            <w:pPr>
              <w:pStyle w:val="9"/>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highlight w:val="none"/>
              </w:rPr>
            </w:pPr>
          </w:p>
        </w:tc>
        <w:tc>
          <w:tcPr>
            <w:tcW w:w="2460" w:type="dxa"/>
            <w:tcBorders>
              <w:tl2br w:val="nil"/>
              <w:tr2bl w:val="nil"/>
            </w:tcBorders>
            <w:shd w:val="clear" w:color="auto" w:fill="FFFFFF"/>
            <w:vAlign w:val="center"/>
          </w:tcPr>
          <w:p w14:paraId="5A1AFB92">
            <w:pPr>
              <w:tabs>
                <w:tab w:val="left" w:pos="434"/>
              </w:tabs>
              <w:kinsoku/>
              <w:wordWrap w:val="0"/>
              <w:topLinePunct/>
              <w:autoSpaceDE/>
              <w:autoSpaceDN/>
              <w:adjustRightInd/>
              <w:snapToGrid/>
              <w:spacing w:before="120" w:beforeLines="50"/>
              <w:ind w:left="120" w:leftChars="50"/>
              <w:jc w:val="center"/>
              <w:rPr>
                <w:rFonts w:ascii="宋体" w:hAnsi="宋体" w:eastAsia="宋体" w:cs="宋体"/>
                <w:color w:val="auto"/>
                <w:szCs w:val="24"/>
                <w:highlight w:val="none"/>
              </w:rPr>
            </w:pPr>
            <w:r>
              <w:rPr>
                <w:rFonts w:hint="eastAsia" w:ascii="宋体" w:hAnsi="宋体" w:eastAsia="宋体" w:cs="宋体"/>
                <w:color w:val="auto"/>
                <w:szCs w:val="24"/>
                <w:highlight w:val="none"/>
              </w:rPr>
              <w:t>推荐成交候选人</w:t>
            </w:r>
          </w:p>
        </w:tc>
        <w:tc>
          <w:tcPr>
            <w:tcW w:w="6480" w:type="dxa"/>
            <w:tcBorders>
              <w:tl2br w:val="nil"/>
              <w:tr2bl w:val="nil"/>
            </w:tcBorders>
            <w:shd w:val="clear" w:color="auto" w:fill="FFFFFF"/>
          </w:tcPr>
          <w:p w14:paraId="3B9E0DCF">
            <w:pPr>
              <w:kinsoku/>
              <w:wordWrap w:val="0"/>
              <w:topLinePunct/>
              <w:autoSpaceDE/>
              <w:autoSpaceDN/>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根据评审结果排名顺序推荐</w:t>
            </w:r>
            <w:r>
              <w:rPr>
                <w:rFonts w:hint="eastAsia" w:ascii="宋体" w:hAnsi="宋体" w:eastAsia="宋体" w:cs="宋体"/>
                <w:color w:val="auto"/>
                <w:szCs w:val="24"/>
                <w:highlight w:val="none"/>
                <w:u w:val="single"/>
              </w:rPr>
              <w:t xml:space="preserve"> </w:t>
            </w:r>
            <w:r>
              <w:rPr>
                <w:rFonts w:hint="eastAsia" w:ascii="宋体" w:hAnsi="宋体" w:eastAsia="宋体"/>
                <w:highlight w:val="none"/>
                <w:u w:val="single"/>
                <w:lang w:eastAsia="zh-CN"/>
              </w:rPr>
              <w:t>1</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个成交候选人。(不超过3个) </w:t>
            </w:r>
          </w:p>
        </w:tc>
      </w:tr>
      <w:tr w14:paraId="7F375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810" w:type="dxa"/>
            <w:tcBorders>
              <w:tl2br w:val="nil"/>
              <w:tr2bl w:val="nil"/>
            </w:tcBorders>
            <w:shd w:val="clear" w:color="auto" w:fill="FFFFFF"/>
            <w:vAlign w:val="center"/>
          </w:tcPr>
          <w:p w14:paraId="2AD68130">
            <w:pPr>
              <w:pStyle w:val="9"/>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highlight w:val="none"/>
              </w:rPr>
            </w:pPr>
          </w:p>
        </w:tc>
        <w:tc>
          <w:tcPr>
            <w:tcW w:w="2460" w:type="dxa"/>
            <w:tcBorders>
              <w:tl2br w:val="nil"/>
              <w:tr2bl w:val="nil"/>
            </w:tcBorders>
            <w:shd w:val="clear" w:color="auto" w:fill="FFFFFF"/>
            <w:vAlign w:val="center"/>
          </w:tcPr>
          <w:p w14:paraId="46DB10F4">
            <w:pPr>
              <w:pStyle w:val="24"/>
              <w:spacing w:line="240" w:lineRule="auto"/>
              <w:ind w:firstLine="0" w:firstLineChars="0"/>
              <w:jc w:val="center"/>
              <w:rPr>
                <w:rFonts w:eastAsia="宋体"/>
                <w:color w:val="auto"/>
                <w:szCs w:val="24"/>
                <w:highlight w:val="none"/>
              </w:rPr>
            </w:pPr>
            <w:r>
              <w:rPr>
                <w:rFonts w:hint="eastAsia" w:eastAsia="宋体"/>
                <w:color w:val="auto"/>
                <w:szCs w:val="24"/>
                <w:highlight w:val="none"/>
              </w:rPr>
              <w:t>成交结果确认</w:t>
            </w:r>
          </w:p>
        </w:tc>
        <w:tc>
          <w:tcPr>
            <w:tcW w:w="6480" w:type="dxa"/>
            <w:tcBorders>
              <w:tl2br w:val="nil"/>
              <w:tr2bl w:val="nil"/>
            </w:tcBorders>
            <w:shd w:val="clear" w:color="auto" w:fill="FFFFFF"/>
            <w:vAlign w:val="center"/>
          </w:tcPr>
          <w:p w14:paraId="6CB43066">
            <w:pPr>
              <w:kinsoku/>
              <w:topLinePunct/>
              <w:spacing w:line="400" w:lineRule="exact"/>
              <w:ind w:left="120" w:leftChars="50"/>
              <w:rPr>
                <w:rFonts w:ascii="宋体" w:hAnsi="宋体" w:eastAsia="宋体" w:cs="宋体"/>
                <w:color w:val="auto"/>
                <w:spacing w:val="-2"/>
                <w:szCs w:val="24"/>
                <w:highlight w:val="none"/>
              </w:rPr>
            </w:pPr>
            <w:r>
              <w:rPr>
                <w:rFonts w:hint="eastAsia" w:ascii="宋体" w:hAnsi="宋体" w:eastAsia="宋体" w:cs="宋体"/>
                <w:color w:val="auto"/>
                <w:spacing w:val="-2"/>
                <w:szCs w:val="24"/>
                <w:highlight w:val="none"/>
              </w:rPr>
              <w:t>发包人应当按照成交候选人名单排序，确定排名第一的成交候选人为拟成交人。</w:t>
            </w:r>
          </w:p>
          <w:p w14:paraId="48842D03">
            <w:pPr>
              <w:kinsoku/>
              <w:topLinePunct/>
              <w:spacing w:line="400" w:lineRule="exact"/>
              <w:ind w:left="120" w:leftChars="50"/>
              <w:rPr>
                <w:rFonts w:ascii="宋体" w:hAnsi="宋体" w:eastAsia="宋体" w:cs="宋体"/>
                <w:color w:val="auto"/>
                <w:spacing w:val="-2"/>
                <w:szCs w:val="24"/>
                <w:highlight w:val="none"/>
              </w:rPr>
            </w:pPr>
            <w:r>
              <w:rPr>
                <w:rFonts w:hint="eastAsia" w:ascii="宋体" w:hAnsi="宋体" w:eastAsia="宋体" w:cs="宋体"/>
                <w:color w:val="auto"/>
                <w:spacing w:val="-2"/>
                <w:szCs w:val="24"/>
                <w:highlight w:val="none"/>
              </w:rPr>
              <w:t>发包人发出成交确认书前，应组织对拟成交人和其拟派项目负责人进行查验，以下凡一项核验不符合交易文件规定的，取消其成交资格，发包人将按照成交候选人名单排序依次确定其他成交候选人为成交人或重新组织交易：</w:t>
            </w:r>
          </w:p>
          <w:p w14:paraId="670B8F62">
            <w:pPr>
              <w:kinsoku/>
              <w:topLinePunct/>
              <w:spacing w:line="400" w:lineRule="exact"/>
              <w:ind w:left="120" w:leftChars="50"/>
              <w:rPr>
                <w:rFonts w:ascii="宋体" w:hAnsi="宋体" w:eastAsia="宋体" w:cs="宋体"/>
                <w:color w:val="auto"/>
                <w:spacing w:val="-2"/>
                <w:szCs w:val="24"/>
                <w:highlight w:val="none"/>
              </w:rPr>
            </w:pPr>
            <w:r>
              <w:rPr>
                <w:rFonts w:hint="eastAsia" w:ascii="宋体" w:hAnsi="宋体" w:eastAsia="宋体" w:cs="宋体"/>
                <w:color w:val="auto"/>
                <w:spacing w:val="-2"/>
                <w:szCs w:val="24"/>
                <w:highlight w:val="none"/>
              </w:rPr>
              <w:t>(1)核验有效的《安全生产许可证》和企业主要负责人(法定代表人、企业经理、企业分管安全生产的副经理、企业技术负责人)有效的安全生产考核合格证书；“浙江省建筑市场监管公共服务系统”上最新资质动态核查结果处于“合格”状态；</w:t>
            </w:r>
          </w:p>
          <w:p w14:paraId="38988867">
            <w:pPr>
              <w:kinsoku/>
              <w:topLinePunct/>
              <w:spacing w:line="400" w:lineRule="exact"/>
              <w:ind w:left="120" w:leftChars="50"/>
              <w:rPr>
                <w:rFonts w:ascii="宋体" w:hAnsi="宋体" w:eastAsia="宋体" w:cs="宋体"/>
                <w:color w:val="auto"/>
                <w:spacing w:val="-2"/>
                <w:szCs w:val="24"/>
                <w:highlight w:val="none"/>
              </w:rPr>
            </w:pPr>
            <w:r>
              <w:rPr>
                <w:rFonts w:hint="eastAsia" w:ascii="宋体" w:hAnsi="宋体" w:eastAsia="宋体" w:cs="宋体"/>
                <w:color w:val="auto"/>
                <w:spacing w:val="-2"/>
                <w:szCs w:val="24"/>
                <w:highlight w:val="none"/>
              </w:rPr>
              <w:t>(2)查询拟成交人及拟派项目负责人的信用信息：</w:t>
            </w:r>
          </w:p>
          <w:p w14:paraId="60785E5B">
            <w:pPr>
              <w:kinsoku/>
              <w:topLinePunct/>
              <w:spacing w:line="400" w:lineRule="exact"/>
              <w:ind w:left="120" w:leftChars="50"/>
              <w:rPr>
                <w:rFonts w:ascii="宋体" w:hAnsi="宋体" w:eastAsia="宋体" w:cs="宋体"/>
                <w:color w:val="auto"/>
                <w:spacing w:val="-2"/>
                <w:szCs w:val="24"/>
                <w:highlight w:val="none"/>
              </w:rPr>
            </w:pPr>
            <w:r>
              <w:rPr>
                <w:rFonts w:hint="eastAsia" w:ascii="宋体" w:hAnsi="宋体" w:eastAsia="宋体" w:cs="宋体"/>
                <w:color w:val="auto"/>
                <w:spacing w:val="-2"/>
                <w:szCs w:val="24"/>
                <w:highlight w:val="none"/>
              </w:rPr>
              <w:t>①未被列入建筑市场严重失信名单(以全国建筑市场监管公共服务平台黑名单记录、失信联合惩戒记录和浙江省建筑市场监管公共服务系统严重失信名单的信息为准)；</w:t>
            </w:r>
          </w:p>
          <w:p w14:paraId="4EB0A016">
            <w:pPr>
              <w:kinsoku/>
              <w:topLinePunct/>
              <w:spacing w:line="400" w:lineRule="exact"/>
              <w:ind w:left="120" w:leftChars="50"/>
              <w:rPr>
                <w:rFonts w:ascii="宋体" w:hAnsi="宋体" w:eastAsia="宋体" w:cs="宋体"/>
                <w:color w:val="auto"/>
                <w:spacing w:val="-2"/>
                <w:szCs w:val="24"/>
                <w:highlight w:val="none"/>
              </w:rPr>
            </w:pPr>
            <w:r>
              <w:rPr>
                <w:rFonts w:hint="eastAsia" w:ascii="宋体" w:hAnsi="宋体" w:eastAsia="宋体" w:cs="宋体"/>
                <w:color w:val="auto"/>
                <w:spacing w:val="-2"/>
                <w:szCs w:val="24"/>
                <w:highlight w:val="none"/>
              </w:rPr>
              <w:t>②响应文件递交截止日之前三年(含)内无行贿犯罪记录(以中国裁判文书网为准)；</w:t>
            </w:r>
          </w:p>
          <w:p w14:paraId="451919F8">
            <w:pPr>
              <w:kinsoku/>
              <w:topLinePunct/>
              <w:spacing w:line="400" w:lineRule="exact"/>
              <w:ind w:left="120" w:leftChars="50"/>
              <w:rPr>
                <w:rFonts w:ascii="宋体" w:hAnsi="宋体" w:eastAsia="宋体" w:cs="宋体"/>
                <w:color w:val="auto"/>
                <w:spacing w:val="-2"/>
                <w:szCs w:val="24"/>
                <w:highlight w:val="none"/>
              </w:rPr>
            </w:pPr>
            <w:r>
              <w:rPr>
                <w:rFonts w:hint="eastAsia" w:ascii="宋体" w:hAnsi="宋体" w:eastAsia="宋体" w:cs="宋体"/>
                <w:color w:val="auto"/>
                <w:spacing w:val="-2"/>
                <w:szCs w:val="24"/>
                <w:highlight w:val="none"/>
              </w:rPr>
              <w:t>③未被列入失信被执行人名单、重大税收违法案件当事人名单(以“信用中国”网站查询为准)，未被列入严重失信黑名单（以“信用杭州”网站查询为准）；</w:t>
            </w:r>
          </w:p>
          <w:p w14:paraId="13C21565">
            <w:pPr>
              <w:kinsoku/>
              <w:topLinePunct/>
              <w:spacing w:line="400" w:lineRule="exact"/>
              <w:ind w:left="120" w:leftChars="50"/>
              <w:rPr>
                <w:rFonts w:ascii="宋体" w:hAnsi="宋体" w:eastAsia="宋体" w:cs="宋体"/>
                <w:color w:val="auto"/>
                <w:spacing w:val="-2"/>
                <w:szCs w:val="24"/>
                <w:highlight w:val="none"/>
              </w:rPr>
            </w:pPr>
            <w:r>
              <w:rPr>
                <w:rFonts w:hint="eastAsia" w:ascii="宋体" w:hAnsi="宋体" w:eastAsia="宋体" w:cs="宋体"/>
                <w:color w:val="auto"/>
                <w:szCs w:val="24"/>
                <w:highlight w:val="none"/>
              </w:rPr>
              <w:t>■</w:t>
            </w:r>
            <w:r>
              <w:rPr>
                <w:rFonts w:hint="eastAsia" w:ascii="宋体" w:hAnsi="宋体" w:eastAsia="宋体" w:cs="宋体"/>
                <w:color w:val="auto"/>
                <w:spacing w:val="-2"/>
                <w:szCs w:val="24"/>
                <w:highlight w:val="none"/>
              </w:rPr>
              <w:t>④省外企业按规定办理“省外建设工程企业进浙备案”手续。</w:t>
            </w:r>
          </w:p>
          <w:p w14:paraId="458858A5">
            <w:pPr>
              <w:kinsoku/>
              <w:topLinePunct/>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pacing w:val="-2"/>
                <w:szCs w:val="24"/>
                <w:highlight w:val="none"/>
              </w:rPr>
              <w:t>(3)拟派驻现场关键岗位人员社保、合同符合要求。</w:t>
            </w:r>
          </w:p>
        </w:tc>
      </w:tr>
      <w:tr w14:paraId="38F43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542" w:hRule="atLeast"/>
        </w:trPr>
        <w:tc>
          <w:tcPr>
            <w:tcW w:w="810" w:type="dxa"/>
            <w:tcBorders>
              <w:tl2br w:val="nil"/>
              <w:tr2bl w:val="nil"/>
            </w:tcBorders>
            <w:shd w:val="clear" w:color="auto" w:fill="FFFFFF"/>
            <w:vAlign w:val="center"/>
          </w:tcPr>
          <w:p w14:paraId="18EC490D">
            <w:pPr>
              <w:pStyle w:val="9"/>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highlight w:val="none"/>
              </w:rPr>
            </w:pPr>
          </w:p>
        </w:tc>
        <w:tc>
          <w:tcPr>
            <w:tcW w:w="2460" w:type="dxa"/>
            <w:tcBorders>
              <w:tl2br w:val="nil"/>
              <w:tr2bl w:val="nil"/>
            </w:tcBorders>
            <w:shd w:val="clear" w:color="auto" w:fill="FFFFFF"/>
            <w:vAlign w:val="center"/>
          </w:tcPr>
          <w:p w14:paraId="6C09EFC3">
            <w:pPr>
              <w:pStyle w:val="24"/>
              <w:spacing w:line="240" w:lineRule="auto"/>
              <w:ind w:firstLine="0" w:firstLineChars="0"/>
              <w:jc w:val="center"/>
              <w:rPr>
                <w:rFonts w:eastAsia="宋体"/>
                <w:color w:val="auto"/>
                <w:szCs w:val="24"/>
                <w:highlight w:val="none"/>
              </w:rPr>
            </w:pPr>
            <w:r>
              <w:rPr>
                <w:rFonts w:hint="eastAsia" w:eastAsia="宋体"/>
                <w:color w:val="auto"/>
                <w:szCs w:val="24"/>
                <w:highlight w:val="none"/>
              </w:rPr>
              <w:t>拟派项目关键岗位人员社保的说明</w:t>
            </w:r>
          </w:p>
        </w:tc>
        <w:tc>
          <w:tcPr>
            <w:tcW w:w="6480" w:type="dxa"/>
            <w:tcBorders>
              <w:tl2br w:val="nil"/>
              <w:tr2bl w:val="nil"/>
            </w:tcBorders>
            <w:shd w:val="clear" w:color="auto" w:fill="FFFFFF"/>
            <w:vAlign w:val="center"/>
          </w:tcPr>
          <w:p w14:paraId="39B3FFAA">
            <w:pPr>
              <w:pStyle w:val="23"/>
              <w:kinsoku/>
              <w:wordWrap w:val="0"/>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　潜在承包人拟派项目关键岗位人员的社保如未能按要求提交或者提交的社会保险缴纳单位与潜在承包人不一致的，符合以下情形时，应将证明资料编入响应文件，由发包人或评审小组进行认定，原则上可视作社会保险满足交易文件要求：(响应文件递交时未提供以下情形有效证明材料的，开标后补充的证明材料均不予认可)：</w:t>
            </w:r>
          </w:p>
          <w:p w14:paraId="63A578CD">
            <w:pPr>
              <w:pStyle w:val="23"/>
              <w:kinsoku/>
              <w:wordWrap w:val="0"/>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(1)达到法定退休年龄正式退休和依法提前退休的；</w:t>
            </w:r>
          </w:p>
          <w:p w14:paraId="2B0BB69A">
            <w:pPr>
              <w:pStyle w:val="23"/>
              <w:kinsoku/>
              <w:wordWrap w:val="0"/>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(2)因事业单位改制等原因保留事业单位身份，实际工作单位为所在事业单位下属企业，社会保险由该事业单位缴纳的；</w:t>
            </w:r>
          </w:p>
          <w:p w14:paraId="3A4F8D86">
            <w:pPr>
              <w:pStyle w:val="23"/>
              <w:kinsoku/>
              <w:wordWrap w:val="0"/>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(3)属于大专院校所属勘察设计、工程监理、工程造价单位聘请的本校在职教师或科研人员，社会保险由所在院校缴纳的；</w:t>
            </w:r>
          </w:p>
          <w:p w14:paraId="694D40E1">
            <w:pPr>
              <w:pStyle w:val="23"/>
              <w:kinsoku/>
              <w:wordWrap w:val="0"/>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(4)属于军队自主择业人员的；</w:t>
            </w:r>
          </w:p>
          <w:p w14:paraId="1E854797">
            <w:pPr>
              <w:pStyle w:val="23"/>
              <w:kinsoku/>
              <w:wordWrap w:val="0"/>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(5)因企业改制、征地拆迁等买断社会保险的；</w:t>
            </w:r>
          </w:p>
          <w:p w14:paraId="75D8B32E">
            <w:pPr>
              <w:pStyle w:val="24"/>
              <w:spacing w:line="400" w:lineRule="exact"/>
              <w:ind w:left="120" w:leftChars="50" w:firstLine="0" w:firstLineChars="0"/>
              <w:rPr>
                <w:rFonts w:eastAsia="宋体"/>
                <w:color w:val="auto"/>
                <w:szCs w:val="24"/>
                <w:highlight w:val="none"/>
              </w:rPr>
            </w:pPr>
            <w:r>
              <w:rPr>
                <w:rFonts w:hint="eastAsia" w:eastAsia="宋体"/>
                <w:color w:val="auto"/>
                <w:szCs w:val="24"/>
                <w:highlight w:val="none"/>
              </w:rPr>
              <w:t>(6)有法律法规、国家政策依据的其他情形。</w:t>
            </w:r>
          </w:p>
        </w:tc>
      </w:tr>
      <w:tr w14:paraId="35F36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90" w:hRule="atLeast"/>
        </w:trPr>
        <w:tc>
          <w:tcPr>
            <w:tcW w:w="810" w:type="dxa"/>
            <w:tcBorders>
              <w:tl2br w:val="nil"/>
              <w:tr2bl w:val="nil"/>
            </w:tcBorders>
            <w:shd w:val="clear" w:color="auto" w:fill="FFFFFF"/>
            <w:vAlign w:val="center"/>
          </w:tcPr>
          <w:p w14:paraId="7C3E0BA1">
            <w:pPr>
              <w:pStyle w:val="9"/>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highlight w:val="none"/>
              </w:rPr>
            </w:pPr>
          </w:p>
        </w:tc>
        <w:tc>
          <w:tcPr>
            <w:tcW w:w="2460" w:type="dxa"/>
            <w:tcBorders>
              <w:tl2br w:val="nil"/>
              <w:tr2bl w:val="nil"/>
            </w:tcBorders>
            <w:shd w:val="clear" w:color="auto" w:fill="FFFFFF"/>
            <w:vAlign w:val="center"/>
          </w:tcPr>
          <w:p w14:paraId="72960684">
            <w:pPr>
              <w:kinsoku/>
              <w:wordWrap w:val="0"/>
              <w:topLinePunct/>
              <w:autoSpaceDE/>
              <w:autoSpaceDN/>
              <w:adjustRightInd/>
              <w:snapToGrid/>
              <w:spacing w:before="120" w:beforeLines="50"/>
              <w:ind w:left="120" w:leftChars="50"/>
              <w:jc w:val="center"/>
              <w:rPr>
                <w:rFonts w:ascii="宋体" w:hAnsi="宋体" w:eastAsia="宋体" w:cs="宋体"/>
                <w:color w:val="auto"/>
                <w:szCs w:val="24"/>
                <w:highlight w:val="none"/>
              </w:rPr>
            </w:pPr>
            <w:r>
              <w:rPr>
                <w:rFonts w:hint="eastAsia" w:ascii="宋体" w:hAnsi="宋体" w:eastAsia="宋体" w:cs="宋体"/>
                <w:color w:val="auto"/>
                <w:szCs w:val="24"/>
                <w:highlight w:val="none"/>
              </w:rPr>
              <w:t>信用信息查询渠道</w:t>
            </w:r>
          </w:p>
        </w:tc>
        <w:tc>
          <w:tcPr>
            <w:tcW w:w="6480" w:type="dxa"/>
            <w:tcBorders>
              <w:tl2br w:val="nil"/>
              <w:tr2bl w:val="nil"/>
            </w:tcBorders>
            <w:shd w:val="clear" w:color="auto" w:fill="FFFFFF"/>
          </w:tcPr>
          <w:p w14:paraId="276C5205">
            <w:pPr>
              <w:kinsoku/>
              <w:wordWrap w:val="0"/>
              <w:topLinePunct/>
              <w:autoSpaceDE/>
              <w:autoSpaceDN/>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“信用中国”网站(www.creditchina.gov.cn)</w:t>
            </w:r>
          </w:p>
          <w:p w14:paraId="343AA37E">
            <w:pPr>
              <w:kinsoku/>
              <w:wordWrap w:val="0"/>
              <w:topLinePunct/>
              <w:autoSpaceDE/>
              <w:autoSpaceDN/>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“信用杭州”网站失信黑名单查询(http://credit.hangzhou.gov.cn/col/col1229636093/index.html)</w:t>
            </w:r>
          </w:p>
          <w:p w14:paraId="3C109725">
            <w:pPr>
              <w:kinsoku/>
              <w:wordWrap w:val="0"/>
              <w:topLinePunct/>
              <w:autoSpaceDE/>
              <w:autoSpaceDN/>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中国裁判文书网（https://wenshu.court.gov.cn/）</w:t>
            </w:r>
          </w:p>
          <w:p w14:paraId="281A7312">
            <w:pPr>
              <w:kinsoku/>
              <w:wordWrap w:val="0"/>
              <w:topLinePunct/>
              <w:autoSpaceDE/>
              <w:autoSpaceDN/>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全国建筑市场监管公共服务平台（https://jzsc.mohurd.gov.cn/）</w:t>
            </w:r>
          </w:p>
          <w:p w14:paraId="206542E4">
            <w:pPr>
              <w:kinsoku/>
              <w:wordWrap w:val="0"/>
              <w:topLinePunct/>
              <w:autoSpaceDE/>
              <w:autoSpaceDN/>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浙江省建筑市场监管公共服务系统(https://jzsc.jst.zj.gov.cn/PublicWeb/index.html#/)</w:t>
            </w:r>
          </w:p>
          <w:p w14:paraId="3E1CED26">
            <w:pPr>
              <w:kinsoku/>
              <w:wordWrap w:val="0"/>
              <w:topLinePunct/>
              <w:autoSpaceDE/>
              <w:autoSpaceDN/>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杭州建设信用监管平台(https://hzjsxy.cxjw.hangzhou.gov.cn:88/)</w:t>
            </w:r>
          </w:p>
          <w:p w14:paraId="6E10506D">
            <w:pPr>
              <w:kinsoku/>
              <w:wordWrap w:val="0"/>
              <w:topLinePunct/>
              <w:autoSpaceDE/>
              <w:autoSpaceDN/>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注：潜在承包人应在递交响应文件前自行做好有关平台信息的维护工作(包括但不仅限于：企业资质、项目状况、信用评价结果等)，对信息的真实性、准确性、完整性负责。</w:t>
            </w:r>
          </w:p>
        </w:tc>
      </w:tr>
      <w:tr w14:paraId="52F8A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810" w:type="dxa"/>
            <w:tcBorders>
              <w:tl2br w:val="nil"/>
              <w:tr2bl w:val="nil"/>
            </w:tcBorders>
            <w:shd w:val="clear" w:color="auto" w:fill="FFFFFF"/>
            <w:vAlign w:val="center"/>
          </w:tcPr>
          <w:p w14:paraId="62FC0EB1">
            <w:pPr>
              <w:pStyle w:val="9"/>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highlight w:val="none"/>
              </w:rPr>
            </w:pPr>
          </w:p>
        </w:tc>
        <w:tc>
          <w:tcPr>
            <w:tcW w:w="2460" w:type="dxa"/>
            <w:tcBorders>
              <w:tl2br w:val="nil"/>
              <w:tr2bl w:val="nil"/>
            </w:tcBorders>
            <w:shd w:val="clear" w:color="auto" w:fill="FFFFFF"/>
            <w:vAlign w:val="center"/>
          </w:tcPr>
          <w:p w14:paraId="7902B131">
            <w:pPr>
              <w:kinsoku/>
              <w:wordWrap w:val="0"/>
              <w:topLinePunct/>
              <w:autoSpaceDE/>
              <w:autoSpaceDN/>
              <w:adjustRightInd/>
              <w:snapToGrid/>
              <w:spacing w:before="120" w:beforeLines="50"/>
              <w:ind w:left="120" w:leftChars="50"/>
              <w:jc w:val="center"/>
              <w:rPr>
                <w:rFonts w:ascii="宋体" w:hAnsi="宋体" w:eastAsia="宋体" w:cs="宋体"/>
                <w:color w:val="auto"/>
                <w:szCs w:val="24"/>
                <w:highlight w:val="none"/>
              </w:rPr>
            </w:pPr>
            <w:r>
              <w:rPr>
                <w:rFonts w:hint="eastAsia" w:ascii="宋体" w:hAnsi="宋体" w:eastAsia="宋体" w:cs="宋体"/>
                <w:color w:val="auto"/>
                <w:szCs w:val="24"/>
                <w:highlight w:val="none"/>
              </w:rPr>
              <w:t>履约担保</w:t>
            </w:r>
          </w:p>
        </w:tc>
        <w:tc>
          <w:tcPr>
            <w:tcW w:w="6480" w:type="dxa"/>
            <w:tcBorders>
              <w:tl2br w:val="nil"/>
              <w:tr2bl w:val="nil"/>
            </w:tcBorders>
            <w:shd w:val="clear" w:color="auto" w:fill="FFFFFF"/>
          </w:tcPr>
          <w:p w14:paraId="43BD9465">
            <w:pPr>
              <w:kinsoku/>
              <w:wordWrap w:val="0"/>
              <w:topLinePunct/>
              <w:autoSpaceDE/>
              <w:autoSpaceDN/>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履约担保的金额：合同总价的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lang w:val="en-US" w:eastAsia="zh-CN"/>
              </w:rPr>
              <w:t>2</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%(不得超过2%)。</w:t>
            </w:r>
          </w:p>
          <w:p w14:paraId="6894BF90">
            <w:pPr>
              <w:kinsoku/>
              <w:wordWrap w:val="0"/>
              <w:topLinePunct/>
              <w:autoSpaceDE/>
              <w:autoSpaceDN/>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履约担保的形式：银行保函/保证保险/担保公司担保/转账(从基本账户转出)。</w:t>
            </w:r>
          </w:p>
          <w:p w14:paraId="68C530D8">
            <w:pPr>
              <w:kinsoku/>
              <w:wordWrap w:val="0"/>
              <w:topLinePunct/>
              <w:autoSpaceDE/>
              <w:autoSpaceDN/>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成交价低于风险控制价的，成交人还须向发包人提供风险控制价和成交价的差额担保，作为履约担保的一部分。</w:t>
            </w:r>
          </w:p>
        </w:tc>
      </w:tr>
      <w:tr w14:paraId="2A915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90" w:hRule="atLeast"/>
        </w:trPr>
        <w:tc>
          <w:tcPr>
            <w:tcW w:w="810" w:type="dxa"/>
            <w:tcBorders>
              <w:tl2br w:val="nil"/>
              <w:tr2bl w:val="nil"/>
            </w:tcBorders>
            <w:shd w:val="clear" w:color="auto" w:fill="FFFFFF"/>
            <w:vAlign w:val="center"/>
          </w:tcPr>
          <w:p w14:paraId="6269F745">
            <w:pPr>
              <w:pStyle w:val="9"/>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highlight w:val="none"/>
              </w:rPr>
            </w:pPr>
          </w:p>
        </w:tc>
        <w:tc>
          <w:tcPr>
            <w:tcW w:w="2460" w:type="dxa"/>
            <w:tcBorders>
              <w:tl2br w:val="nil"/>
              <w:tr2bl w:val="nil"/>
            </w:tcBorders>
            <w:shd w:val="clear" w:color="auto" w:fill="FFFFFF"/>
            <w:vAlign w:val="center"/>
          </w:tcPr>
          <w:p w14:paraId="0A6F4F23">
            <w:pPr>
              <w:kinsoku/>
              <w:wordWrap w:val="0"/>
              <w:topLinePunct/>
              <w:autoSpaceDE/>
              <w:autoSpaceDN/>
              <w:adjustRightInd/>
              <w:snapToGrid/>
              <w:spacing w:before="120" w:beforeLines="50"/>
              <w:ind w:left="120" w:leftChars="50"/>
              <w:jc w:val="center"/>
              <w:rPr>
                <w:rFonts w:ascii="宋体" w:hAnsi="宋体" w:eastAsia="宋体" w:cs="宋体"/>
                <w:color w:val="auto"/>
                <w:szCs w:val="24"/>
                <w:highlight w:val="none"/>
              </w:rPr>
            </w:pPr>
            <w:r>
              <w:rPr>
                <w:rFonts w:hint="eastAsia" w:ascii="宋体" w:hAnsi="宋体" w:eastAsia="宋体" w:cs="宋体"/>
                <w:color w:val="auto"/>
                <w:szCs w:val="24"/>
                <w:highlight w:val="none"/>
              </w:rPr>
              <w:t>重新组织交易情形</w:t>
            </w:r>
          </w:p>
        </w:tc>
        <w:tc>
          <w:tcPr>
            <w:tcW w:w="6480" w:type="dxa"/>
            <w:tcBorders>
              <w:tl2br w:val="nil"/>
              <w:tr2bl w:val="nil"/>
            </w:tcBorders>
            <w:shd w:val="clear" w:color="auto" w:fill="FFFFFF"/>
          </w:tcPr>
          <w:p w14:paraId="620B96E6">
            <w:pPr>
              <w:kinsoku/>
              <w:wordWrap w:val="0"/>
              <w:topLinePunct/>
              <w:autoSpaceDE/>
              <w:autoSpaceDN/>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(1)开标后递交的响应文件数量不足3家，或经评审有效响应文件缺少竞争力的；或经评审后否决所有响应文件的；</w:t>
            </w:r>
          </w:p>
          <w:p w14:paraId="17122C25">
            <w:pPr>
              <w:kinsoku/>
              <w:wordWrap w:val="0"/>
              <w:topLinePunct/>
              <w:autoSpaceDE/>
              <w:autoSpaceDN/>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(2)发包过程中，因项目发生变更，现有交易文件对潜在承包人资格条件设置与项目工程规模不符的；</w:t>
            </w:r>
          </w:p>
          <w:p w14:paraId="5567453A">
            <w:pPr>
              <w:kinsoku/>
              <w:wordWrap w:val="0"/>
              <w:topLinePunct/>
              <w:autoSpaceDE/>
              <w:autoSpaceDN/>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(3)排名第一的成交候选人放弃成交、成交人因不可抗力不履行合同、不按交易文件要求提交履约担保，或者被查实在影响成交结果的违法行为等情形不符合成交条件的，发包人可以按成交候选人名单排序依次确定其他成交候选人为成交人，也可以重新组织交易；</w:t>
            </w:r>
          </w:p>
          <w:p w14:paraId="0E22294F">
            <w:pPr>
              <w:kinsoku/>
              <w:wordWrap w:val="0"/>
              <w:topLinePunct/>
              <w:autoSpaceDE/>
              <w:autoSpaceDN/>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(4)成交候选人被查实存在拟</w:t>
            </w:r>
            <w:bookmarkStart w:id="21" w:name="_GoBack"/>
            <w:bookmarkEnd w:id="21"/>
            <w:r>
              <w:rPr>
                <w:rFonts w:hint="eastAsia" w:ascii="宋体" w:hAnsi="宋体" w:eastAsia="宋体" w:cs="宋体"/>
                <w:color w:val="auto"/>
                <w:szCs w:val="24"/>
                <w:highlight w:val="none"/>
              </w:rPr>
              <w:t>派驻现场关键岗位人员社保、合同不符合要求的，发包人可以按照评审排序名单依次确定其他潜在承包人为成交候选人，也可以重新组织交易。</w:t>
            </w:r>
          </w:p>
          <w:p w14:paraId="53BF6312">
            <w:pPr>
              <w:kinsoku/>
              <w:wordWrap w:val="0"/>
              <w:topLinePunct/>
              <w:autoSpaceDE/>
              <w:autoSpaceDN/>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(5)</w:t>
            </w:r>
            <w:r>
              <w:rPr>
                <w:rFonts w:hint="eastAsia" w:ascii="宋体" w:hAnsi="宋体" w:eastAsia="宋体" w:cs="宋体"/>
                <w:color w:val="auto"/>
                <w:szCs w:val="24"/>
                <w:highlight w:val="none"/>
                <w:lang w:val="zh-CN"/>
              </w:rPr>
              <w:t>法律、法规、规章规定的其它</w:t>
            </w:r>
            <w:r>
              <w:rPr>
                <w:rFonts w:hint="eastAsia" w:ascii="宋体" w:hAnsi="宋体" w:eastAsia="宋体" w:cs="宋体"/>
                <w:color w:val="auto"/>
                <w:szCs w:val="24"/>
                <w:highlight w:val="none"/>
              </w:rPr>
              <w:t>情形。</w:t>
            </w:r>
          </w:p>
          <w:p w14:paraId="788730F3">
            <w:pPr>
              <w:kinsoku/>
              <w:wordWrap w:val="0"/>
              <w:topLinePunct/>
              <w:autoSpaceDE/>
              <w:autoSpaceDN/>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注：公开竞标、邀请竞标中开标后递交的响应文件数量不应少于3家(原公开竞标项目因有效响应不足三家，发包人重新组织再次竞标仍不足三家的且专家审查认为交易文件没有倾向性或歧视性条款，而转为邀请竞标的情形除外)。</w:t>
            </w:r>
          </w:p>
        </w:tc>
      </w:tr>
      <w:tr w14:paraId="3C2F5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467" w:hRule="atLeast"/>
        </w:trPr>
        <w:tc>
          <w:tcPr>
            <w:tcW w:w="810" w:type="dxa"/>
            <w:tcBorders>
              <w:tl2br w:val="nil"/>
              <w:tr2bl w:val="nil"/>
            </w:tcBorders>
            <w:shd w:val="clear" w:color="auto" w:fill="FFFFFF"/>
            <w:vAlign w:val="center"/>
          </w:tcPr>
          <w:p w14:paraId="7EB99CE0">
            <w:pPr>
              <w:pStyle w:val="9"/>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highlight w:val="none"/>
              </w:rPr>
            </w:pPr>
          </w:p>
        </w:tc>
        <w:tc>
          <w:tcPr>
            <w:tcW w:w="2460" w:type="dxa"/>
            <w:tcBorders>
              <w:tl2br w:val="nil"/>
              <w:tr2bl w:val="nil"/>
            </w:tcBorders>
            <w:shd w:val="clear" w:color="auto" w:fill="FFFFFF"/>
            <w:vAlign w:val="center"/>
          </w:tcPr>
          <w:p w14:paraId="667EAA0F">
            <w:pPr>
              <w:kinsoku/>
              <w:wordWrap w:val="0"/>
              <w:topLinePunct/>
              <w:autoSpaceDE/>
              <w:autoSpaceDN/>
              <w:adjustRightInd/>
              <w:snapToGrid/>
              <w:spacing w:before="120" w:beforeLines="50"/>
              <w:ind w:left="120" w:leftChars="50"/>
              <w:jc w:val="center"/>
              <w:rPr>
                <w:rFonts w:ascii="宋体" w:hAnsi="宋体" w:eastAsia="宋体" w:cs="宋体"/>
                <w:color w:val="auto"/>
                <w:szCs w:val="24"/>
                <w:highlight w:val="none"/>
              </w:rPr>
            </w:pPr>
            <w:r>
              <w:rPr>
                <w:rFonts w:hint="eastAsia" w:ascii="宋体" w:hAnsi="宋体" w:eastAsia="宋体" w:cs="宋体"/>
                <w:color w:val="auto"/>
                <w:szCs w:val="24"/>
                <w:highlight w:val="none"/>
              </w:rPr>
              <w:t>特别说明</w:t>
            </w:r>
          </w:p>
        </w:tc>
        <w:tc>
          <w:tcPr>
            <w:tcW w:w="6480" w:type="dxa"/>
            <w:tcBorders>
              <w:tl2br w:val="nil"/>
              <w:tr2bl w:val="nil"/>
            </w:tcBorders>
            <w:shd w:val="clear" w:color="auto" w:fill="FFFFFF"/>
          </w:tcPr>
          <w:p w14:paraId="2F0B5774">
            <w:pPr>
              <w:numPr>
                <w:ilvl w:val="0"/>
                <w:numId w:val="7"/>
              </w:numPr>
              <w:kinsoku/>
              <w:wordWrap w:val="0"/>
              <w:topLinePunct/>
              <w:autoSpaceDE/>
              <w:autoSpaceDN/>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交易须知具体内容如与本前附表不一致的，以本前附表为准。 </w:t>
            </w:r>
          </w:p>
          <w:p w14:paraId="5C62FB54">
            <w:pPr>
              <w:numPr>
                <w:ilvl w:val="0"/>
                <w:numId w:val="7"/>
              </w:numPr>
              <w:kinsoku/>
              <w:wordWrap w:val="0"/>
              <w:topLinePunct/>
              <w:autoSpaceDE/>
              <w:autoSpaceDN/>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商务标编制：根据住房和城乡建设部、省建设主管部门对造价从业人员执业管理的相关法律法规规定以及《建设工程工程量清单计价规范》（GB50500-2013）的规定，响应报价的编制必须遵守以下规定：</w:t>
            </w:r>
          </w:p>
          <w:p w14:paraId="047681B2">
            <w:pPr>
              <w:numPr>
                <w:ilvl w:val="0"/>
                <w:numId w:val="8"/>
              </w:numPr>
              <w:kinsoku/>
              <w:wordWrap w:val="0"/>
              <w:topLinePunct/>
              <w:autoSpaceDE/>
              <w:autoSpaceDN/>
              <w:spacing w:line="400" w:lineRule="exact"/>
              <w:ind w:left="120" w:leftChars="50" w:firstLine="0"/>
              <w:rPr>
                <w:rFonts w:ascii="宋体" w:hAnsi="宋体" w:eastAsia="宋体" w:cs="宋体"/>
                <w:color w:val="auto"/>
                <w:szCs w:val="24"/>
                <w:highlight w:val="none"/>
              </w:rPr>
            </w:pPr>
            <w:r>
              <w:rPr>
                <w:rFonts w:hint="eastAsia" w:ascii="宋体" w:hAnsi="宋体" w:eastAsia="宋体" w:cs="宋体"/>
                <w:color w:val="auto"/>
                <w:szCs w:val="24"/>
                <w:highlight w:val="none"/>
              </w:rPr>
              <w:t>响应报价应由潜在承包人或受其委托具有相应能力的工程造价咨询人编制。</w:t>
            </w:r>
          </w:p>
          <w:p w14:paraId="2B2151E4">
            <w:pPr>
              <w:numPr>
                <w:ilvl w:val="0"/>
                <w:numId w:val="8"/>
              </w:numPr>
              <w:kinsoku/>
              <w:wordWrap w:val="0"/>
              <w:topLinePunct/>
              <w:autoSpaceDE/>
              <w:autoSpaceDN/>
              <w:spacing w:line="400" w:lineRule="exact"/>
              <w:ind w:left="120" w:leftChars="50" w:firstLine="0"/>
              <w:rPr>
                <w:rFonts w:ascii="宋体" w:hAnsi="宋体" w:eastAsia="宋体" w:cs="宋体"/>
                <w:color w:val="auto"/>
                <w:szCs w:val="24"/>
                <w:highlight w:val="none"/>
              </w:rPr>
            </w:pPr>
            <w:r>
              <w:rPr>
                <w:rFonts w:hint="eastAsia" w:ascii="宋体" w:hAnsi="宋体" w:eastAsia="宋体" w:cs="宋体"/>
                <w:color w:val="auto"/>
                <w:szCs w:val="24"/>
                <w:highlight w:val="none"/>
              </w:rPr>
              <w:t>响应文件的编制人不得接受同一工程发包人委托编制交易文件（含控制价），并不得接受其他潜在承包人委托编制响应文件。</w:t>
            </w:r>
          </w:p>
          <w:p w14:paraId="22B58316">
            <w:pPr>
              <w:numPr>
                <w:ilvl w:val="0"/>
                <w:numId w:val="7"/>
              </w:numPr>
              <w:kinsoku/>
              <w:wordWrap w:val="0"/>
              <w:topLinePunct/>
              <w:autoSpaceDE/>
              <w:autoSpaceDN/>
              <w:spacing w:line="400" w:lineRule="exact"/>
              <w:ind w:left="120" w:leftChars="50"/>
              <w:rPr>
                <w:rFonts w:ascii="宋体" w:hAnsi="宋体" w:eastAsia="宋体" w:cs="宋体"/>
                <w:color w:val="auto"/>
                <w:szCs w:val="24"/>
                <w:highlight w:val="none"/>
                <w:u w:val="single"/>
              </w:rPr>
            </w:pPr>
            <w:r>
              <w:rPr>
                <w:rFonts w:hint="eastAsia" w:ascii="宋体" w:hAnsi="宋体" w:eastAsia="宋体" w:cs="宋体"/>
                <w:bCs/>
                <w:color w:val="auto"/>
                <w:kern w:val="2"/>
                <w:szCs w:val="24"/>
                <w:highlight w:val="none"/>
                <w:lang w:eastAsia="zh-CN"/>
              </w:rPr>
              <w:t>□</w:t>
            </w:r>
            <w:r>
              <w:rPr>
                <w:rFonts w:hint="eastAsia" w:ascii="宋体" w:hAnsi="宋体" w:eastAsia="宋体" w:cs="宋体"/>
                <w:color w:val="auto"/>
                <w:szCs w:val="24"/>
                <w:highlight w:val="none"/>
              </w:rPr>
              <w:t>关于报价的补充要求：</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w:t>
            </w:r>
          </w:p>
          <w:p w14:paraId="0853FFA5">
            <w:pPr>
              <w:numPr>
                <w:ilvl w:val="0"/>
                <w:numId w:val="7"/>
              </w:numPr>
              <w:kinsoku/>
              <w:wordWrap w:val="0"/>
              <w:topLinePunct/>
              <w:autoSpaceDE/>
              <w:autoSpaceDN/>
              <w:spacing w:line="400" w:lineRule="exact"/>
              <w:ind w:left="120" w:leftChars="50"/>
              <w:rPr>
                <w:rFonts w:ascii="宋体" w:hAnsi="宋体" w:eastAsia="宋体" w:cs="宋体"/>
                <w:snapToGrid/>
                <w:color w:val="auto"/>
                <w:szCs w:val="24"/>
                <w:highlight w:val="none"/>
              </w:rPr>
            </w:pPr>
            <w:r>
              <w:rPr>
                <w:rFonts w:hint="eastAsia" w:ascii="宋体" w:hAnsi="宋体" w:eastAsia="宋体" w:cs="宋体"/>
                <w:color w:val="auto"/>
                <w:szCs w:val="24"/>
                <w:highlight w:val="none"/>
              </w:rPr>
              <w:t>成交价如出现《浙江省建设工程计价规则》（2018 版）（以下简称《2018 版计价规则》）所列的异常报价情形，发包人可与成交人协商确定合理单价，并在合同中明确约定。协商确定的单价仅用于工程量调整和变更后综合单价的确定。</w:t>
            </w:r>
          </w:p>
          <w:p w14:paraId="3C42E53E">
            <w:pPr>
              <w:numPr>
                <w:ilvl w:val="0"/>
                <w:numId w:val="7"/>
              </w:numPr>
              <w:kinsoku/>
              <w:wordWrap w:val="0"/>
              <w:topLinePunct/>
              <w:autoSpaceDE/>
              <w:autoSpaceDN/>
              <w:spacing w:line="400" w:lineRule="exact"/>
              <w:ind w:left="120" w:leftChars="50"/>
              <w:rPr>
                <w:rFonts w:ascii="宋体" w:hAnsi="宋体" w:eastAsia="宋体" w:cs="宋体"/>
                <w:snapToGrid/>
                <w:color w:val="auto"/>
                <w:szCs w:val="24"/>
                <w:highlight w:val="none"/>
              </w:rPr>
            </w:pPr>
            <w:r>
              <w:rPr>
                <w:rFonts w:hint="eastAsia" w:ascii="宋体" w:hAnsi="宋体" w:eastAsia="宋体" w:cs="宋体"/>
                <w:color w:val="auto"/>
                <w:szCs w:val="24"/>
                <w:highlight w:val="none"/>
              </w:rPr>
              <w:t>工伤保险按相关规定要求执行。</w:t>
            </w:r>
          </w:p>
          <w:p w14:paraId="0351A75C">
            <w:pPr>
              <w:numPr>
                <w:ilvl w:val="0"/>
                <w:numId w:val="7"/>
              </w:numPr>
              <w:kinsoku/>
              <w:wordWrap w:val="0"/>
              <w:topLinePunct/>
              <w:autoSpaceDE/>
              <w:autoSpaceDN/>
              <w:spacing w:line="400" w:lineRule="exact"/>
              <w:ind w:left="120" w:leftChars="50"/>
              <w:rPr>
                <w:rFonts w:ascii="宋体" w:hAnsi="宋体" w:eastAsia="宋体" w:cs="宋体"/>
                <w:snapToGrid/>
                <w:color w:val="auto"/>
                <w:szCs w:val="24"/>
                <w:highlight w:val="none"/>
              </w:rPr>
            </w:pPr>
            <w:r>
              <w:rPr>
                <w:rFonts w:hint="eastAsia" w:ascii="宋体" w:hAnsi="宋体" w:eastAsia="宋体" w:cs="宋体"/>
                <w:color w:val="auto"/>
                <w:szCs w:val="24"/>
                <w:highlight w:val="none"/>
              </w:rPr>
              <w:t>潜在承包人应在响应开启前自行做好省、市信息平台相关信息的维护工作，并对企业资质、人员资格、项目状况、信用评价等信息的真实性、准确性、完整性负责。</w:t>
            </w:r>
          </w:p>
          <w:p w14:paraId="10BE561A">
            <w:pPr>
              <w:numPr>
                <w:ilvl w:val="0"/>
                <w:numId w:val="7"/>
              </w:numPr>
              <w:kinsoku/>
              <w:wordWrap w:val="0"/>
              <w:topLinePunct/>
              <w:autoSpaceDE/>
              <w:autoSpaceDN/>
              <w:spacing w:line="400" w:lineRule="exact"/>
              <w:ind w:left="120" w:leftChars="50"/>
              <w:rPr>
                <w:rFonts w:ascii="宋体" w:hAnsi="宋体" w:eastAsia="宋体" w:cs="宋体"/>
                <w:snapToGrid/>
                <w:color w:val="auto"/>
                <w:szCs w:val="24"/>
                <w:highlight w:val="none"/>
              </w:rPr>
            </w:pPr>
            <w:r>
              <w:rPr>
                <w:rFonts w:hint="eastAsia" w:ascii="宋体" w:hAnsi="宋体" w:eastAsia="宋体" w:cs="宋体"/>
                <w:color w:val="auto"/>
                <w:szCs w:val="24"/>
                <w:highlight w:val="none"/>
              </w:rPr>
              <w:t>参照《杭州市工程建设项目招标投标管理暂行办法》杭政函〔2019〕27号文的规定，评标中，发现在建设工程招标投标活动中有管理办法中“二、招标、投标中第（十六）条情形之一的”，且经询标澄清潜在承包人无证据材料证明其合理性的，经评审小组半数以上成员或发包人确认，其响应可视作串通并按否决处理，不再对其进行评审。经后续调查处理，即使最终无法认定串通行为成立的，也不影响对其按否决处理的结果。</w:t>
            </w:r>
          </w:p>
          <w:p w14:paraId="2B40C3F7">
            <w:pPr>
              <w:numPr>
                <w:ilvl w:val="0"/>
                <w:numId w:val="7"/>
              </w:numPr>
              <w:kinsoku/>
              <w:wordWrap w:val="0"/>
              <w:topLinePunct/>
              <w:autoSpaceDE/>
              <w:autoSpaceDN/>
              <w:spacing w:line="400" w:lineRule="exact"/>
              <w:ind w:left="120" w:leftChars="50"/>
              <w:rPr>
                <w:rFonts w:ascii="宋体" w:hAnsi="宋体" w:eastAsia="宋体" w:cs="宋体"/>
                <w:snapToGrid/>
                <w:color w:val="auto"/>
                <w:szCs w:val="24"/>
                <w:highlight w:val="none"/>
              </w:rPr>
            </w:pPr>
            <w:r>
              <w:rPr>
                <w:rFonts w:hint="eastAsia" w:ascii="宋体" w:hAnsi="宋体" w:eastAsia="宋体" w:cs="宋体"/>
                <w:color w:val="auto"/>
                <w:szCs w:val="24"/>
                <w:highlight w:val="none"/>
              </w:rPr>
              <w:t>本项目发包人主要材料及设备中，部分设有三个及以上档次相当的品牌要求，具体品牌名单后已添加“或相当于”。潜在承包人应按推荐的品牌、规格确定报价，并在响应文件中明确所选品牌（厂家）及价格；潜在承包人在响应文件中若提供了发包人推荐品牌以外的产品，应同时提供相当于发包人推荐品牌产品同档次的证明材料；潜在承包人若未注明品牌、不选择发包人的推荐品牌且未提供同档次的证明材料的，成交后由发包人在所列品牌中任选其一，成交人须无条件接受。（注：交易文件或清单中未提供品牌的材料均为国产优质品牌）。</w:t>
            </w:r>
          </w:p>
          <w:p w14:paraId="5ABFD03A">
            <w:pPr>
              <w:numPr>
                <w:ilvl w:val="0"/>
                <w:numId w:val="7"/>
              </w:numPr>
              <w:kinsoku/>
              <w:wordWrap w:val="0"/>
              <w:topLinePunct/>
              <w:autoSpaceDE/>
              <w:autoSpaceDN/>
              <w:spacing w:line="400" w:lineRule="exact"/>
              <w:ind w:left="120" w:leftChars="50"/>
              <w:rPr>
                <w:rFonts w:ascii="宋体" w:hAnsi="宋体" w:eastAsia="宋体" w:cs="宋体"/>
                <w:snapToGrid/>
                <w:color w:val="auto"/>
                <w:szCs w:val="24"/>
                <w:highlight w:val="none"/>
              </w:rPr>
            </w:pPr>
            <w:r>
              <w:rPr>
                <w:rFonts w:hint="eastAsia" w:ascii="宋体" w:hAnsi="宋体" w:eastAsia="宋体" w:cs="宋体"/>
                <w:color w:val="auto"/>
                <w:szCs w:val="24"/>
                <w:highlight w:val="none"/>
              </w:rPr>
              <w:t>潜在承包人应配足配齐经营活动所需相应的人员、技术装备，使用自有办公设备编制、递交、解密响应文件。</w:t>
            </w:r>
          </w:p>
          <w:p w14:paraId="5ED2FF39">
            <w:pPr>
              <w:numPr>
                <w:ilvl w:val="0"/>
                <w:numId w:val="7"/>
              </w:numPr>
              <w:kinsoku/>
              <w:wordWrap w:val="0"/>
              <w:topLinePunct/>
              <w:autoSpaceDE/>
              <w:autoSpaceDN/>
              <w:spacing w:line="400" w:lineRule="exact"/>
              <w:ind w:left="120" w:leftChars="50"/>
              <w:rPr>
                <w:rFonts w:ascii="宋体" w:hAnsi="宋体" w:eastAsia="宋体" w:cs="宋体"/>
                <w:snapToGrid/>
                <w:color w:val="auto"/>
                <w:szCs w:val="24"/>
                <w:highlight w:val="none"/>
              </w:rPr>
            </w:pPr>
            <w:r>
              <w:rPr>
                <w:rFonts w:hint="eastAsia" w:ascii="宋体" w:hAnsi="宋体" w:eastAsia="宋体" w:cs="宋体"/>
                <w:color w:val="auto"/>
                <w:szCs w:val="24"/>
                <w:highlight w:val="none"/>
              </w:rPr>
              <w:t>成交人应在成交通知书发出后</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lang w:val="en-US" w:eastAsia="zh-CN"/>
              </w:rPr>
              <w:t>15</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个工作日内补交与电子响应文件一致的纸质响应文件：含正本 </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lang w:val="en-US" w:eastAsia="zh-CN"/>
              </w:rPr>
              <w:t>1</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份、副本 </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lang w:val="en-US" w:eastAsia="zh-CN"/>
              </w:rPr>
              <w:t>1</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份，电子响应文件刻录光盘 </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lang w:val="en-US" w:eastAsia="zh-CN"/>
              </w:rPr>
              <w:t>1</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份。实行技术响应承诺制的项目，补交的响应文件须同时包括施工组织设计文件、监理大纲等技术方案。</w:t>
            </w:r>
          </w:p>
        </w:tc>
      </w:tr>
    </w:tbl>
    <w:p w14:paraId="52284D46">
      <w:pPr>
        <w:kinsoku/>
        <w:wordWrap w:val="0"/>
        <w:topLinePunct/>
        <w:autoSpaceDE/>
        <w:autoSpaceDN/>
        <w:adjustRightInd/>
        <w:spacing w:line="134" w:lineRule="exact"/>
        <w:ind w:firstLine="480" w:firstLineChars="200"/>
        <w:rPr>
          <w:rFonts w:ascii="Times New Roman" w:hAnsi="Times New Roman" w:cs="Times New Roman"/>
          <w:color w:val="auto"/>
        </w:rPr>
      </w:pPr>
    </w:p>
    <w:p w14:paraId="094E816C">
      <w:pPr>
        <w:pStyle w:val="3"/>
        <w:kinsoku/>
        <w:topLinePunct/>
        <w:rPr>
          <w:rFonts w:ascii="Times New Roman" w:hAnsi="Times New Roman" w:cs="Times New Roman"/>
          <w:color w:val="auto"/>
        </w:rPr>
        <w:sectPr>
          <w:headerReference r:id="rId9" w:type="default"/>
          <w:footerReference r:id="rId10" w:type="default"/>
          <w:pgSz w:w="11906" w:h="16838"/>
          <w:pgMar w:top="1440" w:right="1083" w:bottom="1440" w:left="1083" w:header="850" w:footer="850" w:gutter="0"/>
          <w:pgNumType w:start="1"/>
          <w:cols w:space="0" w:num="1"/>
        </w:sectPr>
      </w:pPr>
    </w:p>
    <w:p w14:paraId="396259F6">
      <w:pPr>
        <w:pStyle w:val="3"/>
        <w:kinsoku/>
        <w:topLinePunct/>
        <w:spacing w:line="360" w:lineRule="auto"/>
        <w:rPr>
          <w:rFonts w:ascii="Times New Roman" w:hAnsi="Times New Roman" w:cs="Times New Roman"/>
          <w:color w:val="auto"/>
        </w:rPr>
      </w:pPr>
      <w:r>
        <w:rPr>
          <w:rFonts w:ascii="Times New Roman" w:hAnsi="Times New Roman" w:cs="Times New Roman"/>
          <w:color w:val="auto"/>
        </w:rPr>
        <w:t>交易须知</w:t>
      </w:r>
    </w:p>
    <w:p w14:paraId="69F9A587">
      <w:pPr>
        <w:pStyle w:val="4"/>
        <w:kinsoku/>
        <w:topLinePunct/>
        <w:spacing w:line="25" w:lineRule="atLeast"/>
        <w:rPr>
          <w:rFonts w:ascii="Times New Roman" w:hAnsi="Times New Roman" w:cs="Times New Roman"/>
          <w:color w:val="auto"/>
          <w:szCs w:val="24"/>
          <w14:textOutline w14:w="5448" w14:cap="flat" w14:cmpd="sng" w14:algn="ctr">
            <w14:solidFill>
              <w14:srgbClr w14:val="000000"/>
            </w14:solidFill>
            <w14:prstDash w14:val="solid"/>
            <w14:miter w14:val="0"/>
          </w14:textOutline>
        </w:rPr>
      </w:pPr>
      <w:r>
        <w:rPr>
          <w:rFonts w:ascii="Times New Roman" w:hAnsi="Times New Roman" w:cs="Times New Roman"/>
          <w:color w:val="auto"/>
          <w:szCs w:val="24"/>
          <w14:textOutline w14:w="5448" w14:cap="flat" w14:cmpd="sng" w14:algn="ctr">
            <w14:solidFill>
              <w14:srgbClr w14:val="000000"/>
            </w14:solidFill>
            <w14:prstDash w14:val="solid"/>
            <w14:miter w14:val="0"/>
          </w14:textOutline>
        </w:rPr>
        <w:t>1.总则</w:t>
      </w:r>
    </w:p>
    <w:p w14:paraId="5F9F806B">
      <w:pPr>
        <w:pStyle w:val="5"/>
        <w:kinsoku/>
        <w:topLinePunct/>
        <w:spacing w:line="25" w:lineRule="atLeast"/>
        <w:ind w:left="1102"/>
        <w:rPr>
          <w:rFonts w:ascii="Times New Roman" w:hAnsi="Times New Roman" w:cs="Times New Roman"/>
          <w:color w:val="auto"/>
          <w:lang w:val="en-US"/>
        </w:rPr>
      </w:pPr>
      <w:r>
        <w:rPr>
          <w:rFonts w:ascii="Times New Roman" w:hAnsi="Times New Roman" w:cs="Times New Roman"/>
          <w:color w:val="auto"/>
          <w:lang w:val="en-US"/>
        </w:rPr>
        <w:t>1.1 定义</w:t>
      </w:r>
    </w:p>
    <w:p w14:paraId="7FF1A25E">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1.1.1 发包人是为发包项目的法人或其他组织，一般是发包项目业主单位。</w:t>
      </w:r>
    </w:p>
    <w:p w14:paraId="0E1F5FA0">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1.1.2 代理机构是依法设立，从事招标采购代理业务并提供相关服务的社会中介组织。自行组织交易的，相关的代理内容应删除。</w:t>
      </w:r>
    </w:p>
    <w:p w14:paraId="5D6F7F85">
      <w:pPr>
        <w:kinsoku/>
        <w:wordWrap w:val="0"/>
        <w:topLinePunct/>
        <w:autoSpaceDE/>
        <w:autoSpaceDN/>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1.1.3潜在承包人是在交易活动中以承包为目的递交响应文件、参与交易活动的法人或其他组织。</w:t>
      </w:r>
    </w:p>
    <w:p w14:paraId="4513EC89">
      <w:pPr>
        <w:kinsoku/>
        <w:wordWrap w:val="0"/>
        <w:topLinePunct/>
        <w:autoSpaceDE/>
        <w:autoSpaceDN/>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1.1.4电子交易平台是指组织实施本项目电子交易活动的招必得平台</w:t>
      </w:r>
      <w:r>
        <w:fldChar w:fldCharType="begin"/>
      </w:r>
      <w:r>
        <w:instrText xml:space="preserve"> HYPERLINK "http://www.zhaobide.com" </w:instrText>
      </w:r>
      <w:r>
        <w:fldChar w:fldCharType="separate"/>
      </w:r>
      <w:r>
        <w:rPr>
          <w:rStyle w:val="18"/>
          <w:rFonts w:ascii="Times New Roman" w:hAnsi="Times New Roman" w:eastAsia="宋体" w:cs="Times New Roman"/>
          <w:color w:val="auto"/>
          <w:szCs w:val="24"/>
          <w:u w:val="none"/>
        </w:rPr>
        <w:t>(</w:t>
      </w:r>
      <w:r>
        <w:rPr>
          <w:rStyle w:val="18"/>
          <w:rFonts w:ascii="Times New Roman" w:hAnsi="Times New Roman" w:eastAsia="宋体" w:cs="Times New Roman"/>
          <w:color w:val="auto"/>
          <w:szCs w:val="24"/>
        </w:rPr>
        <w:t>网址http://www.zhaobide.com/)</w:t>
      </w:r>
      <w:r>
        <w:rPr>
          <w:rStyle w:val="18"/>
          <w:rFonts w:ascii="Times New Roman" w:hAnsi="Times New Roman" w:eastAsia="宋体" w:cs="Times New Roman"/>
          <w:color w:val="auto"/>
          <w:szCs w:val="24"/>
        </w:rPr>
        <w:fldChar w:fldCharType="end"/>
      </w:r>
      <w:r>
        <w:rPr>
          <w:rFonts w:ascii="Times New Roman" w:hAnsi="Times New Roman" w:eastAsia="宋体" w:cs="Times New Roman"/>
          <w:color w:val="auto"/>
          <w:szCs w:val="24"/>
        </w:rPr>
        <w:t>。</w:t>
      </w:r>
    </w:p>
    <w:p w14:paraId="0F02A659">
      <w:pPr>
        <w:widowControl w:val="0"/>
        <w:kinsoku/>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1.1.5电子签名是指数据电文中以电子形式所含、所附用于识别签名人身份并表明签名人认可其中内容的数据</w:t>
      </w:r>
      <w:r>
        <w:rPr>
          <w:rFonts w:ascii="Times New Roman" w:hAnsi="Times New Roman" w:cs="Times New Roman"/>
          <w:color w:val="auto"/>
          <w:szCs w:val="24"/>
        </w:rPr>
        <w:t>。</w:t>
      </w:r>
    </w:p>
    <w:p w14:paraId="75A1AD18">
      <w:pPr>
        <w:kinsoku/>
        <w:wordWrap w:val="0"/>
        <w:topLinePunct/>
        <w:autoSpaceDE/>
        <w:autoSpaceDN/>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1.1.6公开竞标、邀请竞标</w:t>
      </w:r>
      <w:r>
        <w:rPr>
          <w:rFonts w:ascii="Times New Roman" w:hAnsi="Times New Roman" w:cs="Times New Roman"/>
          <w:color w:val="auto"/>
          <w:szCs w:val="24"/>
        </w:rPr>
        <w:t>是</w:t>
      </w:r>
      <w:r>
        <w:rPr>
          <w:rFonts w:ascii="Times New Roman" w:hAnsi="Times New Roman" w:eastAsia="宋体" w:cs="Times New Roman"/>
          <w:color w:val="auto"/>
          <w:szCs w:val="24"/>
        </w:rPr>
        <w:t>指发包</w:t>
      </w:r>
      <w:r>
        <w:rPr>
          <w:rFonts w:ascii="Times New Roman" w:hAnsi="Times New Roman" w:cs="Times New Roman"/>
          <w:color w:val="auto"/>
          <w:szCs w:val="24"/>
        </w:rPr>
        <w:t>人</w:t>
      </w:r>
      <w:r>
        <w:rPr>
          <w:rFonts w:ascii="Times New Roman" w:hAnsi="Times New Roman" w:eastAsia="宋体" w:cs="Times New Roman"/>
          <w:color w:val="auto"/>
          <w:szCs w:val="24"/>
        </w:rPr>
        <w:t>以交易公告的方式邀请不少于3家不特定的潜在承包人进行交易的方式</w:t>
      </w:r>
      <w:r>
        <w:rPr>
          <w:rFonts w:ascii="Times New Roman" w:hAnsi="Times New Roman" w:cs="Times New Roman"/>
          <w:color w:val="auto"/>
          <w:szCs w:val="24"/>
        </w:rPr>
        <w:t>；</w:t>
      </w:r>
      <w:r>
        <w:rPr>
          <w:rFonts w:ascii="Times New Roman" w:hAnsi="Times New Roman" w:eastAsia="宋体" w:cs="Times New Roman"/>
          <w:color w:val="auto"/>
          <w:szCs w:val="24"/>
        </w:rPr>
        <w:t>原公开竞标项目因有效</w:t>
      </w:r>
      <w:r>
        <w:rPr>
          <w:rFonts w:hint="eastAsia" w:ascii="Times New Roman" w:hAnsi="Times New Roman" w:eastAsia="宋体" w:cs="Times New Roman"/>
          <w:color w:val="auto"/>
          <w:szCs w:val="24"/>
        </w:rPr>
        <w:t>响应</w:t>
      </w:r>
      <w:r>
        <w:rPr>
          <w:rFonts w:ascii="Times New Roman" w:hAnsi="Times New Roman" w:eastAsia="宋体" w:cs="Times New Roman"/>
          <w:color w:val="auto"/>
          <w:szCs w:val="24"/>
        </w:rPr>
        <w:t>不足三家，发包人重新组织再次竞标仍不足三家的且专家审查认为交易文件没有倾向性或歧视性条款而转为邀请竞标的，有效响应文件不少于2家时可进行交易。</w:t>
      </w:r>
    </w:p>
    <w:p w14:paraId="046E2358">
      <w:pPr>
        <w:widowControl w:val="0"/>
        <w:kinsoku/>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cs="Times New Roman"/>
          <w:color w:val="auto"/>
          <w:szCs w:val="24"/>
        </w:rPr>
        <w:t xml:space="preserve">1.1.7 </w:t>
      </w:r>
      <w:r>
        <w:rPr>
          <w:rFonts w:ascii="Times New Roman" w:hAnsi="Times New Roman" w:eastAsia="宋体" w:cs="Times New Roman"/>
          <w:color w:val="auto"/>
          <w:szCs w:val="24"/>
        </w:rPr>
        <w:t>“▲” 系指实质性要求条款，“</w:t>
      </w:r>
      <w:r>
        <w:rPr>
          <w:rFonts w:hint="eastAsia" w:ascii="宋体" w:hAnsi="宋体" w:eastAsia="宋体" w:cs="宋体"/>
          <w:color w:val="auto"/>
          <w:szCs w:val="24"/>
        </w:rPr>
        <w:t>■</w:t>
      </w:r>
      <w:r>
        <w:rPr>
          <w:rFonts w:ascii="Times New Roman" w:hAnsi="Times New Roman" w:eastAsia="宋体" w:cs="Times New Roman"/>
          <w:color w:val="auto"/>
          <w:szCs w:val="24"/>
        </w:rPr>
        <w:t>” 系指适用本项目的要求，“</w:t>
      </w:r>
      <w:r>
        <w:rPr>
          <w:rFonts w:hint="eastAsia" w:ascii="宋体" w:hAnsi="宋体" w:eastAsia="宋体" w:cs="宋体"/>
        </w:rPr>
        <w:t>□</w:t>
      </w:r>
      <w:r>
        <w:rPr>
          <w:rFonts w:ascii="Times New Roman" w:hAnsi="Times New Roman" w:eastAsia="宋体" w:cs="Times New Roman"/>
          <w:color w:val="auto"/>
          <w:szCs w:val="24"/>
        </w:rPr>
        <w:t>” 系指不适用本项目的要求。</w:t>
      </w:r>
    </w:p>
    <w:p w14:paraId="092DCD13">
      <w:pPr>
        <w:pStyle w:val="5"/>
        <w:kinsoku/>
        <w:topLinePunct/>
        <w:spacing w:line="25" w:lineRule="atLeast"/>
        <w:ind w:left="1102"/>
        <w:rPr>
          <w:rFonts w:ascii="Times New Roman" w:hAnsi="Times New Roman" w:cs="Times New Roman"/>
          <w:color w:val="auto"/>
        </w:rPr>
      </w:pPr>
      <w:r>
        <w:rPr>
          <w:rFonts w:ascii="Times New Roman" w:hAnsi="Times New Roman" w:cs="Times New Roman"/>
          <w:color w:val="auto"/>
          <w:lang w:val="en-US"/>
        </w:rPr>
        <w:t xml:space="preserve">1.2 </w:t>
      </w:r>
      <w:r>
        <w:rPr>
          <w:rFonts w:ascii="Times New Roman" w:hAnsi="Times New Roman" w:cs="Times New Roman"/>
          <w:color w:val="auto"/>
        </w:rPr>
        <w:t>发包项目概况</w:t>
      </w:r>
    </w:p>
    <w:p w14:paraId="4AA6B5A7">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本项目已获批准，资金已经落实，已具备发包条件。发包人、代理机构、项目名称、发包范围、建设地点、建设规模、承包方式、交易方式、工程概预算情况详见交易公告</w:t>
      </w:r>
      <w:r>
        <w:rPr>
          <w:rFonts w:hint="eastAsia" w:eastAsia="宋体" w:cs="宋体"/>
          <w:szCs w:val="24"/>
        </w:rPr>
        <w:t>或响应邀请书</w:t>
      </w:r>
      <w:r>
        <w:rPr>
          <w:rFonts w:ascii="Times New Roman" w:hAnsi="Times New Roman" w:eastAsia="宋体" w:cs="Times New Roman"/>
          <w:color w:val="auto"/>
          <w:szCs w:val="24"/>
        </w:rPr>
        <w:t>。</w:t>
      </w:r>
    </w:p>
    <w:p w14:paraId="45B2949C">
      <w:pPr>
        <w:pStyle w:val="5"/>
        <w:kinsoku/>
        <w:topLinePunct/>
        <w:spacing w:line="25" w:lineRule="atLeast"/>
        <w:ind w:left="1102"/>
        <w:rPr>
          <w:rFonts w:ascii="Times New Roman" w:hAnsi="Times New Roman" w:cs="Times New Roman"/>
          <w:color w:val="auto"/>
        </w:rPr>
      </w:pPr>
      <w:r>
        <w:rPr>
          <w:rFonts w:ascii="Times New Roman" w:hAnsi="Times New Roman" w:cs="Times New Roman"/>
          <w:color w:val="auto"/>
        </w:rPr>
        <w:t>1.</w:t>
      </w:r>
      <w:r>
        <w:rPr>
          <w:rFonts w:ascii="Times New Roman" w:hAnsi="Times New Roman" w:cs="Times New Roman"/>
          <w:color w:val="auto"/>
          <w:lang w:val="en-US"/>
        </w:rPr>
        <w:t xml:space="preserve">3 </w:t>
      </w:r>
      <w:r>
        <w:rPr>
          <w:rFonts w:ascii="Times New Roman" w:hAnsi="Times New Roman" w:cs="Times New Roman"/>
          <w:color w:val="auto"/>
        </w:rPr>
        <w:t>计划工期 (服务期限) 和质量要求</w:t>
      </w:r>
    </w:p>
    <w:p w14:paraId="685C0B19">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见交易须知前附表。</w:t>
      </w:r>
    </w:p>
    <w:p w14:paraId="3700891D">
      <w:pPr>
        <w:pStyle w:val="5"/>
        <w:kinsoku/>
        <w:topLinePunct/>
        <w:spacing w:line="25" w:lineRule="atLeast"/>
        <w:ind w:left="1102"/>
        <w:rPr>
          <w:rFonts w:ascii="Times New Roman" w:hAnsi="Times New Roman" w:cs="Times New Roman"/>
          <w:color w:val="auto"/>
        </w:rPr>
      </w:pPr>
      <w:r>
        <w:rPr>
          <w:rFonts w:ascii="Times New Roman" w:hAnsi="Times New Roman" w:cs="Times New Roman"/>
          <w:color w:val="auto"/>
        </w:rPr>
        <w:t>1.</w:t>
      </w:r>
      <w:r>
        <w:rPr>
          <w:rFonts w:ascii="Times New Roman" w:hAnsi="Times New Roman" w:cs="Times New Roman"/>
          <w:color w:val="auto"/>
          <w:lang w:val="en-US"/>
        </w:rPr>
        <w:t>4 潜在</w:t>
      </w:r>
      <w:r>
        <w:rPr>
          <w:rFonts w:ascii="Times New Roman" w:hAnsi="Times New Roman" w:cs="Times New Roman"/>
          <w:color w:val="auto"/>
        </w:rPr>
        <w:t>承包人资格要求</w:t>
      </w:r>
    </w:p>
    <w:p w14:paraId="16A2AA99">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1.4.1 潜在承包人应具备承担本项目资质条件、能力和信誉：资质要求见交易公告</w:t>
      </w:r>
      <w:r>
        <w:rPr>
          <w:rFonts w:hint="eastAsia" w:eastAsia="宋体" w:cs="宋体"/>
          <w:szCs w:val="24"/>
        </w:rPr>
        <w:t>或响应邀请书</w:t>
      </w:r>
      <w:r>
        <w:rPr>
          <w:rFonts w:ascii="Times New Roman" w:hAnsi="Times New Roman" w:eastAsia="宋体" w:cs="Times New Roman"/>
          <w:color w:val="auto"/>
          <w:szCs w:val="24"/>
        </w:rPr>
        <w:t>。</w:t>
      </w:r>
    </w:p>
    <w:p w14:paraId="30962241">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1.4.2 交易公告规定接受联合体承包的，联合体除应符合本章第 1.4.1 项和交易须知前附表的要求外，还应遵守以下规定：</w:t>
      </w:r>
    </w:p>
    <w:p w14:paraId="7CB1C733">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(1)联合体各方应按交易文件提供的格式签订联合体协议书，明确联合体牵头人和各方权利义务；</w:t>
      </w:r>
    </w:p>
    <w:p w14:paraId="65F7EE22">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(2)由同一专业的单位组成的联合体，按照资质等级较低的单位确定资质等级；</w:t>
      </w:r>
    </w:p>
    <w:p w14:paraId="738D5A8F">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(3)联合体各方不得再以自己名义单独或参加其他联合体在同一项目中响应。</w:t>
      </w:r>
    </w:p>
    <w:p w14:paraId="2D0997BA">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1.4.3潜在承包人资格审查方式：资格后审。</w:t>
      </w:r>
    </w:p>
    <w:p w14:paraId="47F88888">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1.4.4潜在承包人不得存在下列情形之一：</w:t>
      </w:r>
    </w:p>
    <w:p w14:paraId="00D70985">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(1)为发包人不具有独立法人资格的附属机构 (单位) ；</w:t>
      </w:r>
    </w:p>
    <w:p w14:paraId="780AA7F0">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(2)与发包人存在利害关系可能影响交易公正性的法人、其他组织或者个人；</w:t>
      </w:r>
    </w:p>
    <w:p w14:paraId="77FA8EA3">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(3)不同潜在承包人的单位负责人为同一人或者互相存在控股、管理关系的；</w:t>
      </w:r>
    </w:p>
    <w:p w14:paraId="7DD77F20">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(4)为本项目前期准备提供设计或咨询服务的或本项目的监理人、代建人；</w:t>
      </w:r>
    </w:p>
    <w:p w14:paraId="5FDD2228">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(5)为本项目提供招标(采购)代理服务的；</w:t>
      </w:r>
    </w:p>
    <w:p w14:paraId="38315385">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(6)与本项目的监理人或代建人或代理机构同为一个法定代表人的、存在相互控股或参股的，存在相互任职或工作的；</w:t>
      </w:r>
    </w:p>
    <w:p w14:paraId="4B416FFF">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(7)被责令停产停业、暂扣或者吊销许可证、暂扣或者吊销执照；</w:t>
      </w:r>
    </w:p>
    <w:p w14:paraId="755D49BA">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(8)进入清算程序，或被宣告破产，或其他丧失履约能力的情形；</w:t>
      </w:r>
    </w:p>
    <w:p w14:paraId="07835BB6">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（9）被依法暂停或取消在项目所在地</w:t>
      </w:r>
      <w:r>
        <w:rPr>
          <w:rFonts w:hint="eastAsia" w:ascii="Times New Roman" w:hAnsi="Times New Roman" w:eastAsia="宋体" w:cs="Times New Roman"/>
          <w:color w:val="auto"/>
          <w:szCs w:val="24"/>
        </w:rPr>
        <w:t>交易</w:t>
      </w:r>
      <w:r>
        <w:rPr>
          <w:rFonts w:ascii="Times New Roman" w:hAnsi="Times New Roman" w:eastAsia="宋体" w:cs="Times New Roman"/>
          <w:color w:val="auto"/>
          <w:szCs w:val="24"/>
        </w:rPr>
        <w:t>资格的，或在公示期内被限制参与城投集团系统小额工程交易活动的；</w:t>
      </w:r>
    </w:p>
    <w:p w14:paraId="27F90588">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(10)法律法规或交易须知前附表规定的其他情形。</w:t>
      </w:r>
    </w:p>
    <w:p w14:paraId="26BDE0E6">
      <w:pPr>
        <w:pStyle w:val="5"/>
        <w:kinsoku/>
        <w:topLinePunct/>
        <w:spacing w:line="25" w:lineRule="atLeast"/>
        <w:ind w:left="1102"/>
        <w:rPr>
          <w:rFonts w:ascii="Times New Roman" w:hAnsi="Times New Roman" w:cs="Times New Roman"/>
          <w:color w:val="auto"/>
        </w:rPr>
      </w:pPr>
      <w:r>
        <w:rPr>
          <w:rFonts w:ascii="Times New Roman" w:hAnsi="Times New Roman" w:cs="Times New Roman"/>
          <w:color w:val="auto"/>
          <w:lang w:val="en-US"/>
        </w:rPr>
        <w:t>1.5</w:t>
      </w:r>
      <w:r>
        <w:rPr>
          <w:rFonts w:hint="eastAsia" w:ascii="Times New Roman" w:hAnsi="Times New Roman" w:cs="Times New Roman"/>
          <w:color w:val="auto"/>
        </w:rPr>
        <w:t xml:space="preserve"> 费用承担</w:t>
      </w:r>
    </w:p>
    <w:p w14:paraId="01C0022E">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潜在承包人准备和参加交易活动发生的费用自理。</w:t>
      </w:r>
    </w:p>
    <w:p w14:paraId="54CA7FBC">
      <w:pPr>
        <w:pStyle w:val="5"/>
        <w:kinsoku/>
        <w:topLinePunct/>
        <w:spacing w:line="25" w:lineRule="atLeast"/>
        <w:ind w:left="1102"/>
        <w:rPr>
          <w:rFonts w:ascii="Times New Roman" w:hAnsi="Times New Roman" w:cs="Times New Roman"/>
          <w:color w:val="auto"/>
        </w:rPr>
      </w:pPr>
      <w:r>
        <w:rPr>
          <w:rFonts w:ascii="Times New Roman" w:hAnsi="Times New Roman" w:cs="Times New Roman"/>
          <w:color w:val="auto"/>
        </w:rPr>
        <w:t>1.</w:t>
      </w:r>
      <w:r>
        <w:rPr>
          <w:rFonts w:ascii="Times New Roman" w:hAnsi="Times New Roman" w:cs="Times New Roman"/>
          <w:color w:val="auto"/>
          <w:lang w:val="en-US"/>
        </w:rPr>
        <w:t>6</w:t>
      </w:r>
      <w:r>
        <w:rPr>
          <w:rFonts w:ascii="Times New Roman" w:hAnsi="Times New Roman" w:cs="Times New Roman"/>
          <w:color w:val="auto"/>
        </w:rPr>
        <w:t xml:space="preserve"> 保密</w:t>
      </w:r>
    </w:p>
    <w:p w14:paraId="523723E5">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参与本项目交易活动的各方应对交易文件和响应文件中的商业和技术等秘密保密，否则应承担相应的法律责任。</w:t>
      </w:r>
    </w:p>
    <w:p w14:paraId="68CFD753">
      <w:pPr>
        <w:pStyle w:val="5"/>
        <w:kinsoku/>
        <w:topLinePunct/>
        <w:spacing w:line="25" w:lineRule="atLeast"/>
        <w:ind w:left="1102"/>
        <w:rPr>
          <w:rFonts w:ascii="Times New Roman" w:hAnsi="Times New Roman" w:cs="Times New Roman"/>
          <w:color w:val="auto"/>
        </w:rPr>
      </w:pPr>
      <w:r>
        <w:rPr>
          <w:rFonts w:ascii="Times New Roman" w:hAnsi="Times New Roman" w:cs="Times New Roman"/>
          <w:color w:val="auto"/>
        </w:rPr>
        <w:t>1.</w:t>
      </w:r>
      <w:r>
        <w:rPr>
          <w:rFonts w:ascii="Times New Roman" w:hAnsi="Times New Roman" w:cs="Times New Roman"/>
          <w:color w:val="auto"/>
          <w:lang w:val="en-US"/>
        </w:rPr>
        <w:t>7</w:t>
      </w:r>
      <w:r>
        <w:rPr>
          <w:rFonts w:ascii="Times New Roman" w:hAnsi="Times New Roman" w:cs="Times New Roman"/>
          <w:color w:val="auto"/>
        </w:rPr>
        <w:t xml:space="preserve"> 语言文字</w:t>
      </w:r>
    </w:p>
    <w:p w14:paraId="2D5A20BC">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交易文件和响应文件使用的语言文字为中文。专用术语使用外文的，应附有中文注释。</w:t>
      </w:r>
    </w:p>
    <w:p w14:paraId="597EC63C">
      <w:pPr>
        <w:pStyle w:val="5"/>
        <w:kinsoku/>
        <w:topLinePunct/>
        <w:spacing w:line="25" w:lineRule="atLeast"/>
        <w:ind w:left="1102"/>
        <w:rPr>
          <w:rFonts w:ascii="Times New Roman" w:hAnsi="Times New Roman" w:cs="Times New Roman"/>
          <w:color w:val="auto"/>
        </w:rPr>
      </w:pPr>
      <w:r>
        <w:rPr>
          <w:rFonts w:ascii="Times New Roman" w:hAnsi="Times New Roman" w:cs="Times New Roman"/>
          <w:color w:val="auto"/>
        </w:rPr>
        <w:t>1.</w:t>
      </w:r>
      <w:r>
        <w:rPr>
          <w:rFonts w:ascii="Times New Roman" w:hAnsi="Times New Roman" w:cs="Times New Roman"/>
          <w:color w:val="auto"/>
          <w:lang w:val="en-US"/>
        </w:rPr>
        <w:t>8</w:t>
      </w:r>
      <w:r>
        <w:rPr>
          <w:rFonts w:ascii="Times New Roman" w:hAnsi="Times New Roman" w:cs="Times New Roman"/>
          <w:color w:val="auto"/>
        </w:rPr>
        <w:t xml:space="preserve"> 计量单位</w:t>
      </w:r>
    </w:p>
    <w:p w14:paraId="6F426629">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所有计量均采用中华人民共和国法定计量单位。</w:t>
      </w:r>
    </w:p>
    <w:p w14:paraId="13E59B79">
      <w:pPr>
        <w:pStyle w:val="5"/>
        <w:kinsoku/>
        <w:topLinePunct/>
        <w:spacing w:line="25" w:lineRule="atLeast"/>
        <w:ind w:left="1102"/>
        <w:rPr>
          <w:rFonts w:ascii="Times New Roman" w:hAnsi="Times New Roman" w:cs="Times New Roman"/>
          <w:color w:val="auto"/>
        </w:rPr>
      </w:pPr>
      <w:r>
        <w:rPr>
          <w:rFonts w:ascii="Times New Roman" w:hAnsi="Times New Roman" w:cs="Times New Roman"/>
          <w:color w:val="auto"/>
        </w:rPr>
        <w:t>1.</w:t>
      </w:r>
      <w:r>
        <w:rPr>
          <w:rFonts w:ascii="Times New Roman" w:hAnsi="Times New Roman" w:cs="Times New Roman"/>
          <w:color w:val="auto"/>
          <w:lang w:val="en-US"/>
        </w:rPr>
        <w:t>9</w:t>
      </w:r>
      <w:r>
        <w:rPr>
          <w:rFonts w:ascii="Times New Roman" w:hAnsi="Times New Roman" w:cs="Times New Roman"/>
          <w:color w:val="auto"/>
        </w:rPr>
        <w:t xml:space="preserve"> 踏勘现场</w:t>
      </w:r>
    </w:p>
    <w:p w14:paraId="2B7C3935">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1.9.1 发包人不集中组织现场踏勘。</w:t>
      </w:r>
    </w:p>
    <w:p w14:paraId="58F7B9BD">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1.9.2 潜在承包人认为需要踏勘现场的，由其自行踏勘，发生的费用自理。</w:t>
      </w:r>
    </w:p>
    <w:p w14:paraId="0A60DB2A">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1.9.3 潜在承包人自行负责在踏勘现场中所发生的人员伤亡和财产损失。</w:t>
      </w:r>
    </w:p>
    <w:p w14:paraId="6B9E13C2">
      <w:pPr>
        <w:pStyle w:val="5"/>
        <w:kinsoku/>
        <w:topLinePunct/>
        <w:spacing w:line="25" w:lineRule="atLeast"/>
        <w:ind w:left="1102"/>
        <w:rPr>
          <w:rFonts w:ascii="Times New Roman" w:hAnsi="Times New Roman" w:cs="Times New Roman"/>
          <w:color w:val="auto"/>
        </w:rPr>
      </w:pPr>
      <w:r>
        <w:rPr>
          <w:rFonts w:ascii="Times New Roman" w:hAnsi="Times New Roman" w:cs="Times New Roman"/>
          <w:color w:val="auto"/>
        </w:rPr>
        <w:t>1.</w:t>
      </w:r>
      <w:r>
        <w:rPr>
          <w:rFonts w:ascii="Times New Roman" w:hAnsi="Times New Roman" w:cs="Times New Roman"/>
          <w:color w:val="auto"/>
          <w:lang w:val="en-US"/>
        </w:rPr>
        <w:t>10</w:t>
      </w:r>
      <w:r>
        <w:rPr>
          <w:rFonts w:ascii="Times New Roman" w:hAnsi="Times New Roman" w:cs="Times New Roman"/>
          <w:color w:val="auto"/>
        </w:rPr>
        <w:t xml:space="preserve"> 交易预备会</w:t>
      </w:r>
    </w:p>
    <w:p w14:paraId="7886FF58">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本项目不召开交易预备会。</w:t>
      </w:r>
    </w:p>
    <w:p w14:paraId="1D174116">
      <w:pPr>
        <w:pStyle w:val="5"/>
        <w:kinsoku/>
        <w:topLinePunct/>
        <w:spacing w:line="25" w:lineRule="atLeast"/>
        <w:ind w:left="1102"/>
        <w:rPr>
          <w:rFonts w:ascii="Times New Roman" w:hAnsi="Times New Roman" w:cs="Times New Roman"/>
          <w:color w:val="auto"/>
        </w:rPr>
      </w:pPr>
      <w:r>
        <w:rPr>
          <w:rFonts w:ascii="Times New Roman" w:hAnsi="Times New Roman" w:cs="Times New Roman"/>
          <w:color w:val="auto"/>
        </w:rPr>
        <w:t>1.</w:t>
      </w:r>
      <w:r>
        <w:rPr>
          <w:rFonts w:ascii="Times New Roman" w:hAnsi="Times New Roman" w:cs="Times New Roman"/>
          <w:color w:val="auto"/>
          <w:lang w:val="en-US"/>
        </w:rPr>
        <w:t>11</w:t>
      </w:r>
      <w:r>
        <w:rPr>
          <w:rFonts w:ascii="Times New Roman" w:hAnsi="Times New Roman" w:cs="Times New Roman"/>
          <w:color w:val="auto"/>
        </w:rPr>
        <w:t xml:space="preserve"> 分包</w:t>
      </w:r>
    </w:p>
    <w:p w14:paraId="2E518CDE">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除交易须知前附表约定的可以分包的内容外，一律不得分包。潜在承包人拟在成交后将项目的非主体、非关键性工作进行分包的，应符合相关法律法规规定。</w:t>
      </w:r>
    </w:p>
    <w:p w14:paraId="7AB4E1E4">
      <w:pPr>
        <w:pStyle w:val="4"/>
        <w:kinsoku/>
        <w:topLinePunct/>
        <w:spacing w:line="25" w:lineRule="atLeast"/>
        <w:rPr>
          <w:rFonts w:ascii="Times New Roman" w:hAnsi="Times New Roman" w:cs="Times New Roman"/>
          <w:color w:val="auto"/>
          <w:szCs w:val="24"/>
          <w14:textOutline w14:w="5448" w14:cap="flat" w14:cmpd="sng" w14:algn="ctr">
            <w14:solidFill>
              <w14:srgbClr w14:val="000000"/>
            </w14:solidFill>
            <w14:prstDash w14:val="solid"/>
            <w14:miter w14:val="0"/>
          </w14:textOutline>
        </w:rPr>
      </w:pPr>
      <w:r>
        <w:rPr>
          <w:rFonts w:ascii="Times New Roman" w:hAnsi="Times New Roman" w:cs="Times New Roman"/>
          <w:color w:val="auto"/>
          <w:szCs w:val="24"/>
          <w14:textOutline w14:w="5448" w14:cap="flat" w14:cmpd="sng" w14:algn="ctr">
            <w14:solidFill>
              <w14:srgbClr w14:val="000000"/>
            </w14:solidFill>
            <w14:prstDash w14:val="solid"/>
            <w14:miter w14:val="0"/>
          </w14:textOutline>
        </w:rPr>
        <w:t>2.交易文件</w:t>
      </w:r>
    </w:p>
    <w:p w14:paraId="7A13E9AA">
      <w:pPr>
        <w:pStyle w:val="5"/>
        <w:kinsoku/>
        <w:topLinePunct/>
        <w:spacing w:line="25" w:lineRule="atLeast"/>
        <w:ind w:left="1102"/>
        <w:rPr>
          <w:rFonts w:ascii="Times New Roman" w:hAnsi="Times New Roman" w:cs="Times New Roman"/>
          <w:color w:val="auto"/>
        </w:rPr>
      </w:pPr>
      <w:r>
        <w:rPr>
          <w:rFonts w:ascii="Times New Roman" w:hAnsi="Times New Roman" w:cs="Times New Roman"/>
          <w:color w:val="auto"/>
        </w:rPr>
        <w:t xml:space="preserve">2.1 </w:t>
      </w:r>
      <w:r>
        <w:rPr>
          <w:rFonts w:ascii="Times New Roman" w:hAnsi="Times New Roman" w:cs="Times New Roman"/>
          <w:color w:val="auto"/>
          <w:lang w:val="en-US"/>
        </w:rPr>
        <w:t>交易</w:t>
      </w:r>
      <w:r>
        <w:rPr>
          <w:rFonts w:ascii="Times New Roman" w:hAnsi="Times New Roman" w:cs="Times New Roman"/>
          <w:color w:val="auto"/>
        </w:rPr>
        <w:t>文件的组成</w:t>
      </w:r>
    </w:p>
    <w:p w14:paraId="70325F46">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2.1.1交易公告；</w:t>
      </w:r>
    </w:p>
    <w:p w14:paraId="77F7958C">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2.1.2交易须知；</w:t>
      </w:r>
    </w:p>
    <w:p w14:paraId="70DDAB00">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2.1.3评审办法；</w:t>
      </w:r>
    </w:p>
    <w:p w14:paraId="0AAA1F6D">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2.1.4合同条款及格式；</w:t>
      </w:r>
    </w:p>
    <w:p w14:paraId="4FEC981D">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2.1.5工程量清单；</w:t>
      </w:r>
    </w:p>
    <w:p w14:paraId="7B7F96DE">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2.1.6图纸；</w:t>
      </w:r>
    </w:p>
    <w:p w14:paraId="5485EFB7">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2.1.7技术标准和要求；</w:t>
      </w:r>
    </w:p>
    <w:p w14:paraId="4087A545">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2.1.8响应文件格式；</w:t>
      </w:r>
    </w:p>
    <w:p w14:paraId="441B7F01">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2.1.9交易文件前附表规定的其他材料。</w:t>
      </w:r>
    </w:p>
    <w:p w14:paraId="5C909366">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根据本章第2.2款对交易文件所作的澄清、修改、补充 (如有)，构成交易文件组成部分。</w:t>
      </w:r>
    </w:p>
    <w:p w14:paraId="32D755E2">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工程量清单及说明、图纸及其他技术资料的内容由发包人提供。</w:t>
      </w:r>
    </w:p>
    <w:p w14:paraId="02E6100C">
      <w:pPr>
        <w:pStyle w:val="5"/>
        <w:kinsoku/>
        <w:topLinePunct/>
        <w:spacing w:line="25" w:lineRule="atLeast"/>
        <w:ind w:left="1102"/>
        <w:rPr>
          <w:rFonts w:ascii="Times New Roman" w:hAnsi="Times New Roman" w:cs="Times New Roman"/>
          <w:color w:val="auto"/>
        </w:rPr>
      </w:pPr>
      <w:r>
        <w:rPr>
          <w:rFonts w:ascii="Times New Roman" w:hAnsi="Times New Roman" w:cs="Times New Roman"/>
          <w:color w:val="auto"/>
        </w:rPr>
        <w:t xml:space="preserve">2.2 </w:t>
      </w:r>
      <w:r>
        <w:rPr>
          <w:rFonts w:ascii="Times New Roman" w:hAnsi="Times New Roman" w:cs="Times New Roman"/>
          <w:color w:val="auto"/>
          <w:lang w:val="en-US"/>
        </w:rPr>
        <w:t>交易</w:t>
      </w:r>
      <w:r>
        <w:rPr>
          <w:rFonts w:ascii="Times New Roman" w:hAnsi="Times New Roman" w:cs="Times New Roman"/>
          <w:color w:val="auto"/>
        </w:rPr>
        <w:t>文件的澄清</w:t>
      </w:r>
    </w:p>
    <w:p w14:paraId="3FC50B01">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2.2.1 潜在承包人应仔细阅读和检查交易文件的全部内容。如发现缺页或附件不全，应及时向发包人提出，以便补齐。已获取交易文件的潜在承包人，若有问题需要发包人澄清，应按交易公告规定的要求提疑，登录电子交易平台在项目公告页点击“提疑”，要求发包人对交易文件予以澄清（适用于电子标和非电子标）。</w:t>
      </w:r>
    </w:p>
    <w:p w14:paraId="60E3BEEA">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2.2.2 代理机构对交易文件进行澄清的，将在电子交易平台发布公告，但不指明澄清问题的来源。同时视情况决定是否延长响应文件递交(上传)截止时间和响应文件开启时间。当澄清内容与交易文件相互矛盾时，以最后发出的补充文件为准。</w:t>
      </w:r>
    </w:p>
    <w:p w14:paraId="5DCAC9A7">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2.2.3 潜在承包人应自行关注电子交易平台发布的澄清文件信息，发包人不再一一通知。潜在承包人因自身原因贻误行为导致响应失败的，责任自负。</w:t>
      </w:r>
    </w:p>
    <w:p w14:paraId="4CAAC055">
      <w:pPr>
        <w:pStyle w:val="5"/>
        <w:kinsoku/>
        <w:topLinePunct/>
        <w:spacing w:line="25" w:lineRule="atLeast"/>
        <w:ind w:left="1102"/>
        <w:rPr>
          <w:rFonts w:ascii="Times New Roman" w:hAnsi="Times New Roman" w:cs="Times New Roman"/>
          <w:color w:val="auto"/>
        </w:rPr>
      </w:pPr>
      <w:r>
        <w:rPr>
          <w:rFonts w:ascii="Times New Roman" w:hAnsi="Times New Roman" w:cs="Times New Roman"/>
          <w:color w:val="auto"/>
        </w:rPr>
        <w:t>2.</w:t>
      </w:r>
      <w:r>
        <w:rPr>
          <w:rFonts w:ascii="Times New Roman" w:hAnsi="Times New Roman" w:cs="Times New Roman"/>
          <w:color w:val="auto"/>
          <w:lang w:val="en-US"/>
        </w:rPr>
        <w:t>3</w:t>
      </w:r>
      <w:r>
        <w:rPr>
          <w:rFonts w:ascii="Times New Roman" w:hAnsi="Times New Roman" w:cs="Times New Roman"/>
          <w:color w:val="auto"/>
        </w:rPr>
        <w:t xml:space="preserve"> </w:t>
      </w:r>
      <w:r>
        <w:rPr>
          <w:rFonts w:ascii="Times New Roman" w:hAnsi="Times New Roman" w:cs="Times New Roman"/>
          <w:color w:val="auto"/>
          <w:lang w:val="en-US"/>
        </w:rPr>
        <w:t>交易</w:t>
      </w:r>
      <w:r>
        <w:rPr>
          <w:rFonts w:ascii="Times New Roman" w:hAnsi="Times New Roman" w:cs="Times New Roman"/>
          <w:color w:val="auto"/>
        </w:rPr>
        <w:t>文件的修改</w:t>
      </w:r>
    </w:p>
    <w:p w14:paraId="3911D2D7">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2.3.1 发包人对交易文件进行修改的，将在电子交易平台发布公告。修改的内容可能影响响应文件编制的，发包人将在响应文件递交截止时间至少3日前发布修改文件；不足3日的，发包人应当顺延提交响应文件的截止时间。</w:t>
      </w:r>
    </w:p>
    <w:p w14:paraId="0F9A7833">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2.3.2 当文件的修改内容与原交易文件相互矛盾时，以最后发出的更正文件为准。</w:t>
      </w:r>
    </w:p>
    <w:p w14:paraId="44DC2448">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2.3.3 潜在承包人应自行关注电子交易平台发布的修改文件信息，发包人不再一一通知。潜在承包人因自身原因贻误行为导致响应失败的，责任自负。</w:t>
      </w:r>
    </w:p>
    <w:p w14:paraId="04C56E26">
      <w:pPr>
        <w:pStyle w:val="14"/>
        <w:spacing w:line="25" w:lineRule="atLeast"/>
        <w:rPr>
          <w:rFonts w:ascii="Times New Roman" w:hAnsi="Times New Roman" w:cs="Times New Roman"/>
        </w:rPr>
      </w:pPr>
    </w:p>
    <w:p w14:paraId="0432A56D">
      <w:pPr>
        <w:pStyle w:val="4"/>
        <w:kinsoku/>
        <w:topLinePunct/>
        <w:spacing w:line="25" w:lineRule="atLeast"/>
        <w:rPr>
          <w:rFonts w:ascii="Times New Roman" w:hAnsi="Times New Roman" w:cs="Times New Roman"/>
          <w:color w:val="auto"/>
          <w:szCs w:val="24"/>
          <w14:textOutline w14:w="5448" w14:cap="flat" w14:cmpd="sng" w14:algn="ctr">
            <w14:solidFill>
              <w14:srgbClr w14:val="000000"/>
            </w14:solidFill>
            <w14:prstDash w14:val="solid"/>
            <w14:miter w14:val="0"/>
          </w14:textOutline>
        </w:rPr>
      </w:pPr>
      <w:r>
        <w:rPr>
          <w:rFonts w:ascii="Times New Roman" w:hAnsi="Times New Roman" w:cs="Times New Roman"/>
          <w:color w:val="auto"/>
          <w:szCs w:val="24"/>
          <w14:textOutline w14:w="5448" w14:cap="flat" w14:cmpd="sng" w14:algn="ctr">
            <w14:solidFill>
              <w14:srgbClr w14:val="000000"/>
            </w14:solidFill>
            <w14:prstDash w14:val="solid"/>
            <w14:miter w14:val="0"/>
          </w14:textOutline>
        </w:rPr>
        <w:t>3. 响应文件</w:t>
      </w:r>
    </w:p>
    <w:p w14:paraId="2D5076BC">
      <w:pPr>
        <w:pStyle w:val="5"/>
        <w:kinsoku/>
        <w:topLinePunct/>
        <w:spacing w:line="25" w:lineRule="atLeast"/>
        <w:ind w:left="1102"/>
        <w:rPr>
          <w:rFonts w:ascii="Times New Roman" w:hAnsi="Times New Roman" w:cs="Times New Roman"/>
          <w:color w:val="auto"/>
        </w:rPr>
      </w:pPr>
      <w:r>
        <w:rPr>
          <w:rFonts w:ascii="Times New Roman" w:hAnsi="Times New Roman" w:cs="Times New Roman"/>
          <w:color w:val="auto"/>
        </w:rPr>
        <w:t>3.1 响应文件的组成</w:t>
      </w:r>
    </w:p>
    <w:p w14:paraId="6CF74641">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3.1.1资信标</w:t>
      </w:r>
      <w:r>
        <w:rPr>
          <w:rFonts w:hint="eastAsia" w:ascii="Times New Roman" w:hAnsi="Times New Roman" w:eastAsia="宋体" w:cs="Times New Roman"/>
          <w:color w:val="auto"/>
          <w:szCs w:val="24"/>
        </w:rPr>
        <w:t>及资格审查</w:t>
      </w:r>
      <w:r>
        <w:rPr>
          <w:rFonts w:ascii="Times New Roman" w:hAnsi="Times New Roman" w:eastAsia="宋体" w:cs="Times New Roman"/>
          <w:color w:val="auto"/>
          <w:szCs w:val="24"/>
        </w:rPr>
        <w:t>文件主要内容</w:t>
      </w:r>
    </w:p>
    <w:p w14:paraId="2E542E12">
      <w:pPr>
        <w:kinsoku/>
        <w:topLinePunct/>
        <w:snapToGrid/>
        <w:spacing w:line="25" w:lineRule="atLeast"/>
        <w:ind w:firstLine="720" w:firstLineChars="300"/>
        <w:rPr>
          <w:rFonts w:ascii="Times New Roman" w:hAnsi="Times New Roman" w:eastAsia="宋体" w:cs="Times New Roman"/>
          <w:color w:val="auto"/>
          <w:szCs w:val="24"/>
        </w:rPr>
      </w:pPr>
      <w:r>
        <w:rPr>
          <w:rFonts w:ascii="Times New Roman" w:hAnsi="Times New Roman" w:eastAsia="宋体" w:cs="Times New Roman"/>
          <w:color w:val="auto"/>
          <w:szCs w:val="24"/>
        </w:rPr>
        <w:t>3.1.1.1诚信承诺书(详见格式)；</w:t>
      </w:r>
    </w:p>
    <w:p w14:paraId="73BDDE8F">
      <w:pPr>
        <w:kinsoku/>
        <w:topLinePunct/>
        <w:snapToGrid/>
        <w:spacing w:line="25" w:lineRule="atLeast"/>
        <w:ind w:firstLine="720" w:firstLineChars="300"/>
        <w:rPr>
          <w:rFonts w:ascii="Times New Roman" w:hAnsi="Times New Roman" w:eastAsia="宋体" w:cs="Times New Roman"/>
          <w:color w:val="auto"/>
          <w:szCs w:val="24"/>
        </w:rPr>
      </w:pPr>
      <w:r>
        <w:rPr>
          <w:rFonts w:ascii="Times New Roman" w:hAnsi="Times New Roman" w:eastAsia="宋体" w:cs="Times New Roman"/>
          <w:color w:val="auto"/>
          <w:szCs w:val="24"/>
        </w:rPr>
        <w:t>3.1.1.2法定代表人身份证明书(详见格式)；</w:t>
      </w:r>
    </w:p>
    <w:p w14:paraId="6B229EAF">
      <w:pPr>
        <w:kinsoku/>
        <w:topLinePunct/>
        <w:snapToGrid/>
        <w:spacing w:line="25" w:lineRule="atLeast"/>
        <w:ind w:firstLine="720" w:firstLineChars="300"/>
        <w:rPr>
          <w:rFonts w:ascii="Times New Roman" w:hAnsi="Times New Roman" w:eastAsia="宋体" w:cs="Times New Roman"/>
          <w:color w:val="auto"/>
          <w:szCs w:val="24"/>
        </w:rPr>
      </w:pPr>
      <w:r>
        <w:rPr>
          <w:rFonts w:ascii="Times New Roman" w:hAnsi="Times New Roman" w:eastAsia="宋体" w:cs="Times New Roman"/>
          <w:color w:val="auto"/>
          <w:szCs w:val="24"/>
        </w:rPr>
        <w:t>3.1.1.3授权委托书(详见格式)；</w:t>
      </w:r>
    </w:p>
    <w:p w14:paraId="7E14AF28">
      <w:pPr>
        <w:kinsoku/>
        <w:topLinePunct/>
        <w:snapToGrid/>
        <w:spacing w:line="25" w:lineRule="atLeast"/>
        <w:ind w:firstLine="720" w:firstLineChars="300"/>
        <w:rPr>
          <w:rFonts w:ascii="Times New Roman" w:hAnsi="Times New Roman" w:eastAsia="宋体" w:cs="Times New Roman"/>
          <w:color w:val="auto"/>
          <w:szCs w:val="24"/>
        </w:rPr>
      </w:pPr>
      <w:r>
        <w:rPr>
          <w:rFonts w:ascii="Times New Roman" w:hAnsi="Times New Roman" w:eastAsia="宋体" w:cs="Times New Roman"/>
          <w:color w:val="auto"/>
          <w:szCs w:val="24"/>
        </w:rPr>
        <w:t>3.1.1.4企业基本情况表(详见格式)；</w:t>
      </w:r>
    </w:p>
    <w:p w14:paraId="13D1E07E">
      <w:pPr>
        <w:kinsoku/>
        <w:topLinePunct/>
        <w:snapToGrid/>
        <w:spacing w:line="25" w:lineRule="atLeast"/>
        <w:ind w:firstLine="720" w:firstLineChars="300"/>
        <w:rPr>
          <w:rFonts w:ascii="Times New Roman" w:hAnsi="Times New Roman" w:eastAsia="宋体" w:cs="Times New Roman"/>
          <w:color w:val="auto"/>
          <w:szCs w:val="24"/>
        </w:rPr>
      </w:pPr>
      <w:r>
        <w:rPr>
          <w:rFonts w:ascii="Times New Roman" w:hAnsi="Times New Roman" w:eastAsia="宋体" w:cs="Times New Roman"/>
          <w:color w:val="auto"/>
          <w:szCs w:val="24"/>
        </w:rPr>
        <w:t>3.1.1.5项目管理班子配备</w:t>
      </w:r>
      <w:r>
        <w:rPr>
          <w:rFonts w:hint="eastAsia" w:ascii="Times New Roman" w:hAnsi="Times New Roman" w:eastAsia="宋体" w:cs="Times New Roman"/>
          <w:color w:val="auto"/>
          <w:szCs w:val="24"/>
        </w:rPr>
        <w:t>：</w:t>
      </w:r>
    </w:p>
    <w:p w14:paraId="60EE9DE0">
      <w:pPr>
        <w:kinsoku/>
        <w:topLinePunct/>
        <w:snapToGrid/>
        <w:spacing w:line="25" w:lineRule="atLeast"/>
        <w:ind w:firstLine="720" w:firstLineChars="300"/>
        <w:rPr>
          <w:rFonts w:ascii="Times New Roman" w:hAnsi="Times New Roman" w:eastAsia="宋体" w:cs="Times New Roman"/>
          <w:color w:val="auto"/>
          <w:szCs w:val="24"/>
        </w:rPr>
      </w:pPr>
      <w:r>
        <w:rPr>
          <w:rFonts w:ascii="Times New Roman" w:hAnsi="Times New Roman" w:eastAsia="宋体" w:cs="Times New Roman"/>
          <w:color w:val="auto"/>
          <w:szCs w:val="24"/>
        </w:rPr>
        <w:t>　(1)项目管理班子配备情况表(详见格式)；</w:t>
      </w:r>
    </w:p>
    <w:p w14:paraId="66EE1D97">
      <w:pPr>
        <w:kinsoku/>
        <w:topLinePunct/>
        <w:snapToGrid/>
        <w:spacing w:line="25" w:lineRule="atLeast"/>
        <w:ind w:firstLine="720" w:firstLineChars="300"/>
        <w:rPr>
          <w:rFonts w:ascii="Times New Roman" w:hAnsi="Times New Roman" w:eastAsia="宋体" w:cs="Times New Roman"/>
          <w:color w:val="auto"/>
          <w:szCs w:val="24"/>
        </w:rPr>
      </w:pPr>
      <w:r>
        <w:rPr>
          <w:rFonts w:ascii="Times New Roman" w:hAnsi="Times New Roman" w:eastAsia="宋体" w:cs="Times New Roman"/>
          <w:color w:val="auto"/>
          <w:szCs w:val="24"/>
        </w:rPr>
        <w:t>　(2)</w:t>
      </w:r>
      <w:r>
        <w:rPr>
          <w:rFonts w:hint="eastAsia" w:ascii="Times New Roman" w:hAnsi="Times New Roman" w:eastAsia="宋体" w:cs="Times New Roman"/>
          <w:color w:val="auto"/>
          <w:szCs w:val="24"/>
        </w:rPr>
        <w:t>项目</w:t>
      </w:r>
      <w:r>
        <w:rPr>
          <w:rFonts w:ascii="Times New Roman" w:hAnsi="Times New Roman" w:eastAsia="宋体" w:cs="Times New Roman"/>
          <w:color w:val="auto"/>
          <w:szCs w:val="24"/>
        </w:rPr>
        <w:t>负责人简历表(详见格式)；</w:t>
      </w:r>
    </w:p>
    <w:p w14:paraId="47FEA776">
      <w:pPr>
        <w:kinsoku/>
        <w:topLinePunct/>
        <w:snapToGrid/>
        <w:spacing w:line="25" w:lineRule="atLeast"/>
        <w:ind w:firstLine="720" w:firstLineChars="300"/>
        <w:rPr>
          <w:rFonts w:ascii="Times New Roman" w:hAnsi="Times New Roman" w:eastAsia="宋体" w:cs="Times New Roman"/>
          <w:color w:val="auto"/>
          <w:szCs w:val="24"/>
        </w:rPr>
      </w:pPr>
      <w:r>
        <w:rPr>
          <w:rFonts w:ascii="Times New Roman" w:hAnsi="Times New Roman" w:eastAsia="宋体" w:cs="Times New Roman"/>
          <w:color w:val="auto"/>
          <w:szCs w:val="24"/>
        </w:rPr>
        <w:t>　(3)项目技术负责人简历表(详见格式)；</w:t>
      </w:r>
    </w:p>
    <w:p w14:paraId="46D97D91">
      <w:pPr>
        <w:kinsoku/>
        <w:topLinePunct/>
        <w:snapToGrid/>
        <w:spacing w:line="25" w:lineRule="atLeast"/>
        <w:ind w:firstLine="720" w:firstLineChars="300"/>
        <w:rPr>
          <w:rFonts w:ascii="Times New Roman" w:hAnsi="Times New Roman" w:eastAsia="宋体" w:cs="Times New Roman"/>
          <w:color w:val="auto"/>
          <w:szCs w:val="24"/>
        </w:rPr>
      </w:pPr>
      <w:r>
        <w:rPr>
          <w:rFonts w:ascii="Times New Roman" w:hAnsi="Times New Roman" w:eastAsia="宋体" w:cs="Times New Roman"/>
          <w:color w:val="auto"/>
          <w:szCs w:val="24"/>
        </w:rPr>
        <w:t>　(4)项目管理班子配备情况和其他辅助说明资料(详见格式)。</w:t>
      </w:r>
    </w:p>
    <w:p w14:paraId="440C4D2D">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　3.1.1.6业绩公示汇总表(附业绩证明材料，详见格式)；</w:t>
      </w:r>
    </w:p>
    <w:p w14:paraId="70A88934">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　3.1.1.7符合性审查资料汇总表(详见格式)；</w:t>
      </w:r>
    </w:p>
    <w:p w14:paraId="0F9A020F">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　3.1.1.8资格要求、评审标准相应的资信资料；</w:t>
      </w:r>
    </w:p>
    <w:p w14:paraId="72CD6D49">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　3.1.1.9发包人要求提交的其他资料(详见交易须知前附表)。</w:t>
      </w:r>
    </w:p>
    <w:p w14:paraId="1A5F5EC6">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3.1.2技术标文件主要内容</w:t>
      </w:r>
    </w:p>
    <w:p w14:paraId="3D449BB9">
      <w:pPr>
        <w:kinsoku/>
        <w:topLinePunct/>
        <w:snapToGrid/>
        <w:spacing w:line="25" w:lineRule="atLeast"/>
        <w:ind w:firstLine="720" w:firstLineChars="300"/>
        <w:rPr>
          <w:rFonts w:ascii="Times New Roman" w:hAnsi="Times New Roman" w:eastAsia="宋体" w:cs="Times New Roman"/>
          <w:color w:val="auto"/>
          <w:szCs w:val="24"/>
        </w:rPr>
      </w:pPr>
      <w:r>
        <w:rPr>
          <w:rFonts w:hint="eastAsia" w:ascii="Times New Roman" w:hAnsi="Times New Roman" w:eastAsia="宋体" w:cs="Times New Roman"/>
          <w:color w:val="auto"/>
          <w:szCs w:val="24"/>
        </w:rPr>
        <w:t>仅提供技术响应承诺书（详见交易文件格式），无其他技术标编制内容</w:t>
      </w:r>
    </w:p>
    <w:p w14:paraId="5356D9C3">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3.1.3商务标文件主要内容</w:t>
      </w:r>
    </w:p>
    <w:p w14:paraId="378427B5">
      <w:pPr>
        <w:kinsoku/>
        <w:topLinePunct/>
        <w:snapToGrid/>
        <w:spacing w:line="25" w:lineRule="atLeast"/>
        <w:ind w:firstLine="720" w:firstLineChars="300"/>
        <w:rPr>
          <w:rFonts w:ascii="Times New Roman" w:hAnsi="Times New Roman" w:eastAsia="宋体" w:cs="Times New Roman"/>
          <w:color w:val="auto"/>
          <w:szCs w:val="24"/>
        </w:rPr>
      </w:pPr>
      <w:r>
        <w:fldChar w:fldCharType="begin"/>
      </w:r>
      <w:r>
        <w:instrText xml:space="preserve"> HYPERLINK "3.1.4.1" </w:instrText>
      </w:r>
      <w:r>
        <w:fldChar w:fldCharType="separate"/>
      </w:r>
      <w:r>
        <w:rPr>
          <w:rFonts w:ascii="Times New Roman" w:hAnsi="Times New Roman" w:eastAsia="宋体" w:cs="Times New Roman"/>
          <w:color w:val="auto"/>
          <w:szCs w:val="24"/>
        </w:rPr>
        <w:t>3.1.3.1</w:t>
      </w:r>
      <w:r>
        <w:rPr>
          <w:rFonts w:ascii="Times New Roman" w:hAnsi="Times New Roman" w:eastAsia="宋体" w:cs="Times New Roman"/>
          <w:color w:val="auto"/>
          <w:szCs w:val="24"/>
        </w:rPr>
        <w:fldChar w:fldCharType="end"/>
      </w:r>
      <w:r>
        <w:rPr>
          <w:rFonts w:ascii="Times New Roman" w:hAnsi="Times New Roman" w:eastAsia="宋体" w:cs="Times New Roman"/>
          <w:color w:val="auto"/>
          <w:szCs w:val="24"/>
        </w:rPr>
        <w:t>响应函及附录(详见格式)；</w:t>
      </w:r>
    </w:p>
    <w:p w14:paraId="2E376021">
      <w:pPr>
        <w:kinsoku/>
        <w:topLinePunct/>
        <w:snapToGrid/>
        <w:spacing w:line="25" w:lineRule="atLeast"/>
        <w:ind w:firstLine="720" w:firstLineChars="300"/>
        <w:rPr>
          <w:rFonts w:ascii="Times New Roman" w:hAnsi="Times New Roman" w:eastAsia="宋体" w:cs="Times New Roman"/>
          <w:color w:val="auto"/>
          <w:szCs w:val="24"/>
        </w:rPr>
      </w:pPr>
      <w:r>
        <w:fldChar w:fldCharType="begin"/>
      </w:r>
      <w:r>
        <w:instrText xml:space="preserve"> HYPERLINK "file:///F:\\维护\\招必得\\日常记录\\2025-10-20\\城投模板\\城投小额工程交易文件示范文本（1017）\\3.1.4.4" </w:instrText>
      </w:r>
      <w:r>
        <w:fldChar w:fldCharType="separate"/>
      </w:r>
      <w:r>
        <w:rPr>
          <w:rFonts w:ascii="Times New Roman" w:hAnsi="Times New Roman" w:eastAsia="宋体" w:cs="Times New Roman"/>
          <w:color w:val="auto"/>
          <w:szCs w:val="24"/>
        </w:rPr>
        <w:t>3.1.3.2</w:t>
      </w:r>
      <w:r>
        <w:rPr>
          <w:rFonts w:ascii="Times New Roman" w:hAnsi="Times New Roman" w:eastAsia="宋体" w:cs="Times New Roman"/>
          <w:color w:val="auto"/>
          <w:szCs w:val="24"/>
        </w:rPr>
        <w:fldChar w:fldCharType="end"/>
      </w:r>
      <w:r>
        <w:rPr>
          <w:rFonts w:hint="eastAsia" w:ascii="Times New Roman" w:hAnsi="Times New Roman" w:eastAsia="宋体" w:cs="Times New Roman"/>
          <w:color w:val="auto"/>
          <w:szCs w:val="24"/>
        </w:rPr>
        <w:t>联合体协议书</w:t>
      </w:r>
      <w:r>
        <w:rPr>
          <w:rFonts w:hint="eastAsia" w:ascii="Times New Roman" w:hAnsi="Times New Roman" w:cs="Times New Roman"/>
          <w:color w:val="auto"/>
          <w:szCs w:val="24"/>
        </w:rPr>
        <w:t>（如有，根据发包人格式要求）；</w:t>
      </w:r>
    </w:p>
    <w:p w14:paraId="0302B647">
      <w:pPr>
        <w:kinsoku/>
        <w:topLinePunct/>
        <w:snapToGrid/>
        <w:spacing w:line="25" w:lineRule="atLeast"/>
        <w:ind w:firstLine="720" w:firstLineChars="300"/>
        <w:rPr>
          <w:rFonts w:ascii="Times New Roman" w:hAnsi="Times New Roman" w:eastAsia="宋体" w:cs="Times New Roman"/>
          <w:color w:val="auto"/>
          <w:szCs w:val="24"/>
        </w:rPr>
      </w:pPr>
      <w:r>
        <w:fldChar w:fldCharType="begin"/>
      </w:r>
      <w:r>
        <w:instrText xml:space="preserve"> HYPERLINK "file:///F:\\维护\\招必得\\日常记录\\2025-10-20\\城投模板\\城投小额工程交易文件示范文本（1017）\\3.1.4.4" </w:instrText>
      </w:r>
      <w:r>
        <w:fldChar w:fldCharType="separate"/>
      </w:r>
      <w:r>
        <w:rPr>
          <w:rFonts w:ascii="Times New Roman" w:hAnsi="Times New Roman" w:eastAsia="宋体" w:cs="Times New Roman"/>
          <w:color w:val="auto"/>
          <w:szCs w:val="24"/>
        </w:rPr>
        <w:t>3.1.3.3</w:t>
      </w:r>
      <w:r>
        <w:rPr>
          <w:rFonts w:ascii="Times New Roman" w:hAnsi="Times New Roman" w:eastAsia="宋体" w:cs="Times New Roman"/>
          <w:color w:val="auto"/>
          <w:szCs w:val="24"/>
        </w:rPr>
        <w:fldChar w:fldCharType="end"/>
      </w:r>
      <w:r>
        <w:rPr>
          <w:rFonts w:hint="eastAsia" w:ascii="Times New Roman" w:hAnsi="Times New Roman" w:eastAsia="宋体" w:cs="Times New Roman"/>
          <w:color w:val="auto"/>
          <w:szCs w:val="24"/>
        </w:rPr>
        <w:t>工程量清单报价说明</w:t>
      </w:r>
      <w:r>
        <w:rPr>
          <w:rFonts w:ascii="Times New Roman" w:hAnsi="Times New Roman" w:eastAsia="宋体" w:cs="Times New Roman"/>
          <w:color w:val="auto"/>
          <w:szCs w:val="24"/>
        </w:rPr>
        <w:t>(详见格式)</w:t>
      </w:r>
      <w:r>
        <w:rPr>
          <w:rFonts w:hint="eastAsia" w:ascii="Times New Roman" w:hAnsi="Times New Roman" w:eastAsia="宋体" w:cs="Times New Roman"/>
          <w:color w:val="auto"/>
          <w:szCs w:val="24"/>
        </w:rPr>
        <w:t>；</w:t>
      </w:r>
    </w:p>
    <w:p w14:paraId="67A96BC3">
      <w:pPr>
        <w:kinsoku/>
        <w:topLinePunct/>
        <w:snapToGrid/>
        <w:spacing w:line="25" w:lineRule="atLeast"/>
        <w:ind w:firstLine="720" w:firstLineChars="300"/>
        <w:rPr>
          <w:rFonts w:ascii="Times New Roman" w:hAnsi="Times New Roman" w:eastAsia="宋体" w:cs="Times New Roman"/>
          <w:color w:val="auto"/>
          <w:szCs w:val="24"/>
        </w:rPr>
      </w:pPr>
      <w:r>
        <w:fldChar w:fldCharType="begin"/>
      </w:r>
      <w:r>
        <w:instrText xml:space="preserve"> HYPERLINK "file:///F:\\维护\\招必得\\日常记录\\2025-10-20\\城投模板\\城投小额工程交易文件示范文本（1017）\\3.1.4.4" </w:instrText>
      </w:r>
      <w:r>
        <w:fldChar w:fldCharType="separate"/>
      </w:r>
      <w:r>
        <w:rPr>
          <w:rFonts w:ascii="Times New Roman" w:hAnsi="Times New Roman" w:eastAsia="宋体" w:cs="Times New Roman"/>
          <w:color w:val="auto"/>
          <w:szCs w:val="24"/>
        </w:rPr>
        <w:t>3.1.3.</w:t>
      </w:r>
      <w:r>
        <w:rPr>
          <w:rFonts w:hint="eastAsia" w:ascii="Times New Roman" w:hAnsi="Times New Roman" w:eastAsia="宋体" w:cs="Times New Roman"/>
          <w:color w:val="auto"/>
          <w:szCs w:val="24"/>
        </w:rPr>
        <w:t>4</w:t>
      </w:r>
      <w:r>
        <w:rPr>
          <w:rFonts w:hint="eastAsia" w:ascii="Times New Roman" w:hAnsi="Times New Roman" w:eastAsia="宋体" w:cs="Times New Roman"/>
          <w:color w:val="auto"/>
          <w:szCs w:val="24"/>
        </w:rPr>
        <w:fldChar w:fldCharType="end"/>
      </w:r>
      <w:r>
        <w:rPr>
          <w:rFonts w:hint="eastAsia" w:ascii="Times New Roman" w:hAnsi="Times New Roman" w:eastAsia="宋体" w:cs="Times New Roman"/>
          <w:color w:val="auto"/>
          <w:szCs w:val="24"/>
        </w:rPr>
        <w:t>已标价工程量清单；</w:t>
      </w:r>
    </w:p>
    <w:p w14:paraId="6BEE4A66">
      <w:pPr>
        <w:kinsoku/>
        <w:topLinePunct/>
        <w:snapToGrid/>
        <w:spacing w:line="25" w:lineRule="atLeast"/>
        <w:ind w:firstLine="720" w:firstLineChars="300"/>
        <w:rPr>
          <w:rFonts w:ascii="Times New Roman" w:hAnsi="Times New Roman" w:eastAsia="宋体" w:cs="Times New Roman"/>
          <w:color w:val="auto"/>
          <w:szCs w:val="24"/>
        </w:rPr>
      </w:pPr>
      <w:r>
        <w:fldChar w:fldCharType="begin"/>
      </w:r>
      <w:r>
        <w:instrText xml:space="preserve"> HYPERLINK "file:///F:\\维护\\招必得\\日常记录\\2025-10-20\\城投模板\\城投小额工程交易文件示范文本（1017）\\3.1.4.4" </w:instrText>
      </w:r>
      <w:r>
        <w:fldChar w:fldCharType="separate"/>
      </w:r>
      <w:r>
        <w:rPr>
          <w:rFonts w:ascii="Times New Roman" w:hAnsi="Times New Roman" w:eastAsia="宋体" w:cs="Times New Roman"/>
          <w:color w:val="auto"/>
          <w:szCs w:val="24"/>
        </w:rPr>
        <w:t>3.1.3.</w:t>
      </w:r>
      <w:r>
        <w:rPr>
          <w:rFonts w:hint="eastAsia" w:ascii="Times New Roman" w:hAnsi="Times New Roman" w:eastAsia="宋体" w:cs="Times New Roman"/>
          <w:color w:val="auto"/>
          <w:szCs w:val="24"/>
        </w:rPr>
        <w:t>5</w:t>
      </w:r>
      <w:r>
        <w:rPr>
          <w:rFonts w:hint="eastAsia" w:ascii="Times New Roman" w:hAnsi="Times New Roman" w:eastAsia="宋体" w:cs="Times New Roman"/>
          <w:color w:val="auto"/>
          <w:szCs w:val="24"/>
        </w:rPr>
        <w:fldChar w:fldCharType="end"/>
      </w:r>
      <w:r>
        <w:rPr>
          <w:rFonts w:ascii="Times New Roman" w:hAnsi="Times New Roman" w:eastAsia="宋体" w:cs="Times New Roman"/>
          <w:color w:val="auto"/>
          <w:szCs w:val="24"/>
        </w:rPr>
        <w:t>拟分包项目名称和分包商情况(</w:t>
      </w:r>
      <w:r>
        <w:rPr>
          <w:rFonts w:hint="eastAsia" w:ascii="Times New Roman" w:hAnsi="Times New Roman" w:eastAsia="宋体" w:cs="Times New Roman"/>
          <w:color w:val="auto"/>
          <w:szCs w:val="24"/>
        </w:rPr>
        <w:t>如有）；</w:t>
      </w:r>
    </w:p>
    <w:p w14:paraId="50A57BED">
      <w:pPr>
        <w:kinsoku/>
        <w:topLinePunct/>
        <w:snapToGrid/>
        <w:spacing w:line="25" w:lineRule="atLeast"/>
        <w:ind w:firstLine="720" w:firstLineChars="300"/>
        <w:rPr>
          <w:rFonts w:ascii="Times New Roman" w:hAnsi="Times New Roman" w:eastAsia="宋体" w:cs="Times New Roman"/>
          <w:color w:val="auto"/>
          <w:szCs w:val="24"/>
        </w:rPr>
      </w:pPr>
      <w:r>
        <w:fldChar w:fldCharType="begin"/>
      </w:r>
      <w:r>
        <w:instrText xml:space="preserve"> HYPERLINK "file:///F:\\维护\\招必得\\日常记录\\2025-10-20\\城投模板\\城投小额工程交易文件示范文本（1017）\\3.1.4.4" </w:instrText>
      </w:r>
      <w:r>
        <w:fldChar w:fldCharType="separate"/>
      </w:r>
      <w:r>
        <w:rPr>
          <w:rFonts w:ascii="Times New Roman" w:hAnsi="Times New Roman" w:eastAsia="宋体" w:cs="Times New Roman"/>
          <w:color w:val="auto"/>
          <w:szCs w:val="24"/>
        </w:rPr>
        <w:t>3.1.3.</w:t>
      </w:r>
      <w:r>
        <w:rPr>
          <w:rFonts w:hint="eastAsia" w:ascii="Times New Roman" w:hAnsi="Times New Roman" w:eastAsia="宋体" w:cs="Times New Roman"/>
          <w:color w:val="auto"/>
          <w:szCs w:val="24"/>
        </w:rPr>
        <w:t>6</w:t>
      </w:r>
      <w:r>
        <w:rPr>
          <w:rFonts w:hint="eastAsia" w:ascii="Times New Roman" w:hAnsi="Times New Roman" w:eastAsia="宋体" w:cs="Times New Roman"/>
          <w:color w:val="auto"/>
          <w:szCs w:val="24"/>
        </w:rPr>
        <w:fldChar w:fldCharType="end"/>
      </w:r>
      <w:r>
        <w:rPr>
          <w:rFonts w:hint="eastAsia" w:ascii="Times New Roman" w:hAnsi="Times New Roman" w:eastAsia="宋体" w:cs="Times New Roman"/>
          <w:color w:val="auto"/>
          <w:szCs w:val="24"/>
        </w:rPr>
        <w:t>发包人要求提交的其他资料(详见交易须知前附表)</w:t>
      </w:r>
      <w:r>
        <w:rPr>
          <w:rFonts w:ascii="Times New Roman" w:hAnsi="Times New Roman" w:eastAsia="宋体" w:cs="Times New Roman"/>
          <w:color w:val="auto"/>
          <w:szCs w:val="24"/>
        </w:rPr>
        <w:t>。</w:t>
      </w:r>
    </w:p>
    <w:p w14:paraId="4AA93969">
      <w:pPr>
        <w:pStyle w:val="5"/>
        <w:kinsoku/>
        <w:topLinePunct/>
        <w:spacing w:line="25" w:lineRule="atLeast"/>
        <w:ind w:left="1102"/>
        <w:rPr>
          <w:rFonts w:ascii="Times New Roman" w:hAnsi="Times New Roman" w:cs="Times New Roman"/>
          <w:color w:val="auto"/>
          <w:lang w:val="en-US"/>
        </w:rPr>
      </w:pPr>
      <w:r>
        <w:rPr>
          <w:rFonts w:ascii="Times New Roman" w:hAnsi="Times New Roman" w:cs="Times New Roman"/>
          <w:color w:val="auto"/>
        </w:rPr>
        <w:t>3.</w:t>
      </w:r>
      <w:r>
        <w:rPr>
          <w:rFonts w:ascii="Times New Roman" w:hAnsi="Times New Roman" w:cs="Times New Roman"/>
          <w:color w:val="auto"/>
          <w:lang w:val="en-US"/>
        </w:rPr>
        <w:t>2</w:t>
      </w:r>
      <w:r>
        <w:rPr>
          <w:rFonts w:ascii="Times New Roman" w:hAnsi="Times New Roman" w:cs="Times New Roman"/>
          <w:color w:val="auto"/>
        </w:rPr>
        <w:t xml:space="preserve"> 响应报价</w:t>
      </w:r>
    </w:p>
    <w:p w14:paraId="7EC0258D">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3.2.1潜在承包人应按照“响应文件格式”的要求填写报价文件。</w:t>
      </w:r>
    </w:p>
    <w:p w14:paraId="3646F94A">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3.2.2潜在承包人在响应截止时间前修改响应函中的报价的，此修改须符合本章第3.8款的有关要求。</w:t>
      </w:r>
    </w:p>
    <w:p w14:paraId="0B769B20">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3.2.3报价要求见交易须知前附表，发包人设有最高限价的，潜在承包人的报价不得超过最高限价。</w:t>
      </w:r>
    </w:p>
    <w:p w14:paraId="7E63956A">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3.2.4潜在承包人的报价应包括潜在承包人完成本项目所有工作量和相关配合工作及服务的全部费用，包括国家规定的增值税税金。</w:t>
      </w:r>
    </w:p>
    <w:p w14:paraId="2A826E7B">
      <w:pPr>
        <w:pStyle w:val="5"/>
        <w:kinsoku/>
        <w:topLinePunct/>
        <w:spacing w:line="25" w:lineRule="atLeast"/>
        <w:ind w:left="1102"/>
        <w:rPr>
          <w:rFonts w:ascii="Times New Roman" w:hAnsi="Times New Roman" w:cs="Times New Roman"/>
          <w:color w:val="auto"/>
        </w:rPr>
      </w:pPr>
      <w:r>
        <w:rPr>
          <w:rFonts w:ascii="Times New Roman" w:hAnsi="Times New Roman" w:cs="Times New Roman"/>
          <w:color w:val="auto"/>
        </w:rPr>
        <w:t>3.</w:t>
      </w:r>
      <w:r>
        <w:rPr>
          <w:rFonts w:ascii="Times New Roman" w:hAnsi="Times New Roman" w:cs="Times New Roman"/>
          <w:color w:val="auto"/>
          <w:lang w:val="en-US"/>
        </w:rPr>
        <w:t>3</w:t>
      </w:r>
      <w:r>
        <w:rPr>
          <w:rFonts w:ascii="Times New Roman" w:hAnsi="Times New Roman" w:cs="Times New Roman"/>
          <w:color w:val="auto"/>
        </w:rPr>
        <w:t xml:space="preserve"> 响应文件有效期</w:t>
      </w:r>
    </w:p>
    <w:p w14:paraId="67A20552">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3.3.1 响应文件有效期为从提交响应文件的截止之日起90天，在响应文件有效期内，潜在承包人不得要求撤销或修改其响应文件。</w:t>
      </w:r>
    </w:p>
    <w:p w14:paraId="4F56FCB6">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3.3.2 在响应文件有效期内，潜在承包人撤销响应文件的，应承担交易文件和法律规定的责任。</w:t>
      </w:r>
    </w:p>
    <w:p w14:paraId="122AF209">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3.3.3 出现特殊情况需要延长响应文件有效期的，发包人以书面形式 (或电子交易平台)通知所有潜在承包人延长响应文件有效期。潜在承包人应予以书面答复，同意延长的，应相应延长其交易担保的有效期，但不得要求或被允许修改其响应文件；潜在承包人拒绝延长的，其响应文件失效。</w:t>
      </w:r>
    </w:p>
    <w:p w14:paraId="42063EB7">
      <w:pPr>
        <w:pStyle w:val="5"/>
        <w:kinsoku/>
        <w:topLinePunct/>
        <w:spacing w:line="25" w:lineRule="atLeast"/>
        <w:ind w:left="1102"/>
        <w:rPr>
          <w:rFonts w:ascii="Times New Roman" w:hAnsi="Times New Roman" w:cs="Times New Roman"/>
          <w:b w:val="0"/>
          <w:bCs w:val="0"/>
          <w:color w:val="auto"/>
          <w:szCs w:val="24"/>
        </w:rPr>
      </w:pPr>
      <w:r>
        <w:rPr>
          <w:rFonts w:ascii="Times New Roman" w:hAnsi="Times New Roman" w:cs="Times New Roman"/>
          <w:color w:val="auto"/>
        </w:rPr>
        <w:t>3.</w:t>
      </w:r>
      <w:r>
        <w:rPr>
          <w:rFonts w:ascii="Times New Roman" w:hAnsi="Times New Roman" w:cs="Times New Roman"/>
          <w:color w:val="auto"/>
          <w:lang w:val="en-US"/>
        </w:rPr>
        <w:t>4</w:t>
      </w:r>
      <w:r>
        <w:rPr>
          <w:rFonts w:ascii="Times New Roman" w:hAnsi="Times New Roman" w:cs="Times New Roman"/>
          <w:color w:val="auto"/>
        </w:rPr>
        <w:t xml:space="preserve"> 交易担保</w:t>
      </w:r>
    </w:p>
    <w:p w14:paraId="251AB155">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见交易须知前附表。</w:t>
      </w:r>
    </w:p>
    <w:p w14:paraId="2418B82F">
      <w:pPr>
        <w:pStyle w:val="5"/>
        <w:kinsoku/>
        <w:topLinePunct/>
        <w:spacing w:line="25" w:lineRule="atLeast"/>
        <w:ind w:left="1102"/>
        <w:rPr>
          <w:rFonts w:ascii="Times New Roman" w:hAnsi="Times New Roman" w:cs="Times New Roman"/>
          <w:color w:val="auto"/>
        </w:rPr>
      </w:pPr>
      <w:r>
        <w:rPr>
          <w:rFonts w:ascii="Times New Roman" w:hAnsi="Times New Roman" w:cs="Times New Roman"/>
          <w:color w:val="auto"/>
          <w:lang w:val="en-US"/>
        </w:rPr>
        <w:t xml:space="preserve">3.5 </w:t>
      </w:r>
      <w:r>
        <w:rPr>
          <w:rFonts w:ascii="Times New Roman" w:hAnsi="Times New Roman" w:cs="Times New Roman"/>
          <w:color w:val="auto"/>
        </w:rPr>
        <w:t>响应文件的编制</w:t>
      </w:r>
    </w:p>
    <w:p w14:paraId="66EF0A43">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3.5.1响应文件应按“响应文件格式”进行编写，如有必要，可以增加附页，作为响应文件的组成部分。</w:t>
      </w:r>
    </w:p>
    <w:p w14:paraId="5EDE090E">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3.5.2 响应文件应当对交易文件有关潜在承包人资格要求、工期(服务期限) 、响应文件有效期、发包范围、报价、质量等实质性内容做出响应。</w:t>
      </w:r>
    </w:p>
    <w:p w14:paraId="799BAA8D">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3.5.3 电子响应文件的要求</w:t>
      </w:r>
    </w:p>
    <w:p w14:paraId="739D5864">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(1)响应文件格式文件要求单位盖章、法定代表人印章的地方，潜在承包人均应使用CA 数字证书加盖单位电子印章、法定代表人个人电子印章。</w:t>
      </w:r>
    </w:p>
    <w:p w14:paraId="544E901E">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(2)电子响应文件制作要求见交易须知前附表。</w:t>
      </w:r>
    </w:p>
    <w:p w14:paraId="6387CD8B">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(3)响应文件所附证书证件、业绩证明文件等证明材料用原件扫描件并加盖单位电子公章。</w:t>
      </w:r>
    </w:p>
    <w:p w14:paraId="35898559">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3.5.4 响应文件格式</w:t>
      </w:r>
    </w:p>
    <w:p w14:paraId="316723E4">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响应文件包括本须知第3.1条中规定的内容，潜在承包人提交的响应文件必须毫无例外地使用交易文件所提供的响应文件全部格式(表格可以按同样格式扩展)。</w:t>
      </w:r>
    </w:p>
    <w:p w14:paraId="712BE389">
      <w:pPr>
        <w:pStyle w:val="5"/>
        <w:kinsoku/>
        <w:topLinePunct/>
        <w:spacing w:line="25" w:lineRule="atLeast"/>
        <w:ind w:left="1102"/>
        <w:rPr>
          <w:rFonts w:ascii="Times New Roman" w:hAnsi="Times New Roman" w:cs="Times New Roman"/>
          <w:color w:val="auto"/>
        </w:rPr>
      </w:pPr>
      <w:r>
        <w:rPr>
          <w:rFonts w:ascii="Times New Roman" w:hAnsi="Times New Roman" w:cs="Times New Roman"/>
          <w:color w:val="auto"/>
          <w:lang w:val="en-US"/>
        </w:rPr>
        <w:t>3</w:t>
      </w:r>
      <w:r>
        <w:rPr>
          <w:rFonts w:ascii="Times New Roman" w:hAnsi="Times New Roman" w:cs="Times New Roman"/>
          <w:color w:val="auto"/>
        </w:rPr>
        <w:t>.</w:t>
      </w:r>
      <w:r>
        <w:rPr>
          <w:rFonts w:ascii="Times New Roman" w:hAnsi="Times New Roman" w:cs="Times New Roman"/>
          <w:color w:val="auto"/>
          <w:lang w:val="en-US"/>
        </w:rPr>
        <w:t>6</w:t>
      </w:r>
      <w:r>
        <w:rPr>
          <w:rFonts w:ascii="Times New Roman" w:hAnsi="Times New Roman" w:cs="Times New Roman"/>
          <w:color w:val="auto"/>
        </w:rPr>
        <w:t xml:space="preserve"> 响应文件的密封和标记</w:t>
      </w:r>
    </w:p>
    <w:p w14:paraId="74FD8860">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使用交易须知前附表公布的工具软件编制生成的电子响应文件，后缀名为“.加密投标书”。</w:t>
      </w:r>
    </w:p>
    <w:p w14:paraId="5C57D241">
      <w:pPr>
        <w:pStyle w:val="5"/>
        <w:kinsoku/>
        <w:topLinePunct/>
        <w:spacing w:line="25" w:lineRule="atLeast"/>
        <w:ind w:left="1102"/>
        <w:rPr>
          <w:rFonts w:ascii="Times New Roman" w:hAnsi="Times New Roman" w:cs="Times New Roman"/>
          <w:color w:val="auto"/>
        </w:rPr>
      </w:pPr>
      <w:r>
        <w:rPr>
          <w:rFonts w:ascii="Times New Roman" w:hAnsi="Times New Roman" w:cs="Times New Roman"/>
          <w:color w:val="auto"/>
          <w:lang w:val="en-US"/>
        </w:rPr>
        <w:t>3</w:t>
      </w:r>
      <w:r>
        <w:rPr>
          <w:rFonts w:ascii="Times New Roman" w:hAnsi="Times New Roman" w:cs="Times New Roman"/>
          <w:color w:val="auto"/>
        </w:rPr>
        <w:t>.</w:t>
      </w:r>
      <w:r>
        <w:rPr>
          <w:rFonts w:ascii="Times New Roman" w:hAnsi="Times New Roman" w:cs="Times New Roman"/>
          <w:color w:val="auto"/>
          <w:lang w:val="en-US"/>
        </w:rPr>
        <w:t>7</w:t>
      </w:r>
      <w:r>
        <w:rPr>
          <w:rFonts w:ascii="Times New Roman" w:hAnsi="Times New Roman" w:cs="Times New Roman"/>
          <w:color w:val="auto"/>
        </w:rPr>
        <w:t xml:space="preserve"> 响应文件的递交</w:t>
      </w:r>
    </w:p>
    <w:p w14:paraId="127298E2">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3.7.1潜在承包人应在交易公告规定的响应截止时间前递交响应文件。</w:t>
      </w:r>
    </w:p>
    <w:p w14:paraId="4F95F4F8">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3.7.2潜在承包人通过电子交易平台使用CA数字证书递交电子响应文件。</w:t>
      </w:r>
    </w:p>
    <w:p w14:paraId="4B3AB361">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3.7.3 潜在承包人所递交的电子响应文件不予退还。</w:t>
      </w:r>
    </w:p>
    <w:p w14:paraId="0F6EE820">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3.7.4 潜在承包人完成电子响应文件上传后，电子交易平台即时向潜在承包人发出递交回执通知。递交时间以递交回执通知载明的传输完成时间为准。</w:t>
      </w:r>
    </w:p>
    <w:p w14:paraId="4FF1DAAD">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3.7.5 电子响应文件的拒收情形：</w:t>
      </w:r>
    </w:p>
    <w:p w14:paraId="28459C23">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(1)响应截止时间后送达 (上传) 的响应文件、未按交易文件规定递交(上传)的。</w:t>
      </w:r>
    </w:p>
    <w:p w14:paraId="258E67D7">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(2)潜在承包人未按规定加密的。</w:t>
      </w:r>
    </w:p>
    <w:p w14:paraId="24555B00">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(3)电子响应文件无法解密或解密后无法正确读取的，或无法导入成功的。</w:t>
      </w:r>
    </w:p>
    <w:p w14:paraId="594B5B67">
      <w:pPr>
        <w:pStyle w:val="5"/>
        <w:kinsoku/>
        <w:topLinePunct/>
        <w:spacing w:line="25" w:lineRule="atLeast"/>
        <w:ind w:left="1102"/>
        <w:rPr>
          <w:rFonts w:ascii="Times New Roman" w:hAnsi="Times New Roman" w:cs="Times New Roman"/>
          <w:color w:val="auto"/>
        </w:rPr>
      </w:pPr>
      <w:r>
        <w:rPr>
          <w:rFonts w:ascii="Times New Roman" w:hAnsi="Times New Roman" w:cs="Times New Roman"/>
          <w:color w:val="auto"/>
          <w:lang w:val="en-US"/>
        </w:rPr>
        <w:t>3</w:t>
      </w:r>
      <w:r>
        <w:rPr>
          <w:rFonts w:ascii="Times New Roman" w:hAnsi="Times New Roman" w:cs="Times New Roman"/>
          <w:color w:val="auto"/>
        </w:rPr>
        <w:t>.</w:t>
      </w:r>
      <w:r>
        <w:rPr>
          <w:rFonts w:ascii="Times New Roman" w:hAnsi="Times New Roman" w:cs="Times New Roman"/>
          <w:color w:val="auto"/>
          <w:lang w:val="en-US"/>
        </w:rPr>
        <w:t>8</w:t>
      </w:r>
      <w:r>
        <w:rPr>
          <w:rFonts w:ascii="Times New Roman" w:hAnsi="Times New Roman" w:cs="Times New Roman"/>
          <w:color w:val="auto"/>
        </w:rPr>
        <w:t xml:space="preserve"> 响应文件的</w:t>
      </w:r>
      <w:r>
        <w:rPr>
          <w:rFonts w:ascii="Times New Roman" w:hAnsi="Times New Roman" w:cs="Times New Roman"/>
          <w:color w:val="auto"/>
          <w:lang w:val="en-US"/>
        </w:rPr>
        <w:t>补充、</w:t>
      </w:r>
      <w:r>
        <w:rPr>
          <w:rFonts w:ascii="Times New Roman" w:hAnsi="Times New Roman" w:cs="Times New Roman"/>
          <w:color w:val="auto"/>
        </w:rPr>
        <w:t>修改与撤回</w:t>
      </w:r>
    </w:p>
    <w:p w14:paraId="691BAFD0">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3.8.1 在交易公告规定的响应截止时间前，潜在承包人可以补充、修改或撤回已递交的电子响应文件。补充或者修改响应文件的，应当先行撤回原文件，补充、修改后重新传输递交。响应截止时间前未完成电子响应文件传输的，视为撤回响应文件。响应文件递交(上传)截止时间后递交的响应文件，电子交易平台将拒收。</w:t>
      </w:r>
    </w:p>
    <w:p w14:paraId="308954A7">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3.8.2 电子交易平台收到响应文件，将妥善保存并即时向潜在承包人发出确认回执通知。在响应文件递交(上传)截止时间前，除潜在承包人补充、修改或者撤回响应文件外，任何单位和个人不得解密或提取响应文件。</w:t>
      </w:r>
    </w:p>
    <w:p w14:paraId="5C1929D2">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3.8.3 发包人、代理机构可以视情况延长响应文件提交的截止时间。在上述情况下，代理机构与潜在承包人以前在响应文件提交截止时间方面的全部权利、责任和义务，将适用于延长至新的响应文件提交截止时间。</w:t>
      </w:r>
    </w:p>
    <w:p w14:paraId="5E8A81E9">
      <w:pPr>
        <w:pStyle w:val="5"/>
        <w:kinsoku/>
        <w:topLinePunct/>
        <w:spacing w:line="25" w:lineRule="atLeast"/>
        <w:ind w:left="1102"/>
        <w:rPr>
          <w:rFonts w:ascii="Times New Roman" w:hAnsi="Times New Roman" w:cs="Times New Roman"/>
          <w:color w:val="auto"/>
        </w:rPr>
      </w:pPr>
      <w:r>
        <w:rPr>
          <w:rFonts w:ascii="Times New Roman" w:hAnsi="Times New Roman" w:cs="Times New Roman"/>
          <w:color w:val="auto"/>
          <w:lang w:val="en-US"/>
        </w:rPr>
        <w:t>3</w:t>
      </w:r>
      <w:r>
        <w:rPr>
          <w:rFonts w:ascii="Times New Roman" w:hAnsi="Times New Roman" w:cs="Times New Roman"/>
          <w:color w:val="auto"/>
        </w:rPr>
        <w:t>.</w:t>
      </w:r>
      <w:r>
        <w:rPr>
          <w:rFonts w:ascii="Times New Roman" w:hAnsi="Times New Roman" w:cs="Times New Roman"/>
          <w:color w:val="auto"/>
          <w:lang w:val="en-US"/>
        </w:rPr>
        <w:t>9</w:t>
      </w:r>
      <w:r>
        <w:rPr>
          <w:rFonts w:ascii="Times New Roman" w:hAnsi="Times New Roman" w:cs="Times New Roman"/>
          <w:color w:val="auto"/>
        </w:rPr>
        <w:t xml:space="preserve"> 响应文件的无效处理</w:t>
      </w:r>
    </w:p>
    <w:p w14:paraId="412DAA74">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有交易须知前附表规定的情形之一的，由发包人或组建的评审小组审核，其响应文件将被否决。</w:t>
      </w:r>
    </w:p>
    <w:p w14:paraId="541FDE0C">
      <w:pPr>
        <w:pStyle w:val="4"/>
        <w:kinsoku/>
        <w:topLinePunct/>
        <w:spacing w:line="25" w:lineRule="atLeast"/>
        <w:rPr>
          <w:rFonts w:ascii="Times New Roman" w:hAnsi="Times New Roman" w:cs="Times New Roman"/>
          <w:color w:val="auto"/>
          <w:szCs w:val="24"/>
          <w14:textOutline w14:w="5448" w14:cap="flat" w14:cmpd="sng" w14:algn="ctr">
            <w14:solidFill>
              <w14:srgbClr w14:val="000000"/>
            </w14:solidFill>
            <w14:prstDash w14:val="solid"/>
            <w14:miter w14:val="0"/>
          </w14:textOutline>
        </w:rPr>
      </w:pPr>
      <w:r>
        <w:rPr>
          <w:rFonts w:ascii="Times New Roman" w:hAnsi="Times New Roman" w:cs="Times New Roman"/>
          <w:color w:val="auto"/>
          <w:szCs w:val="24"/>
          <w14:textOutline w14:w="5448" w14:cap="flat" w14:cmpd="sng" w14:algn="ctr">
            <w14:solidFill>
              <w14:srgbClr w14:val="000000"/>
            </w14:solidFill>
            <w14:prstDash w14:val="solid"/>
            <w14:miter w14:val="0"/>
          </w14:textOutline>
        </w:rPr>
        <w:t>4.开启响应文件</w:t>
      </w:r>
    </w:p>
    <w:p w14:paraId="22225CE8">
      <w:pPr>
        <w:pStyle w:val="5"/>
        <w:kinsoku/>
        <w:topLinePunct/>
        <w:spacing w:line="25" w:lineRule="atLeast"/>
        <w:ind w:left="1102"/>
        <w:rPr>
          <w:rFonts w:ascii="Times New Roman" w:hAnsi="Times New Roman" w:cs="Times New Roman"/>
          <w:color w:val="auto"/>
          <w:lang w:val="en-US"/>
        </w:rPr>
      </w:pPr>
      <w:r>
        <w:rPr>
          <w:rFonts w:ascii="Times New Roman" w:hAnsi="Times New Roman" w:cs="Times New Roman"/>
          <w:color w:val="auto"/>
          <w:lang w:val="en-US"/>
        </w:rPr>
        <w:t xml:space="preserve">4.1 </w:t>
      </w:r>
      <w:r>
        <w:rPr>
          <w:rFonts w:ascii="Times New Roman" w:hAnsi="Times New Roman" w:cs="Times New Roman"/>
          <w:color w:val="auto"/>
        </w:rPr>
        <w:t>开启</w:t>
      </w:r>
      <w:r>
        <w:rPr>
          <w:rFonts w:ascii="Times New Roman" w:hAnsi="Times New Roman" w:cs="Times New Roman"/>
          <w:color w:val="auto"/>
          <w:lang w:val="en-US"/>
        </w:rPr>
        <w:t>程序</w:t>
      </w:r>
    </w:p>
    <w:p w14:paraId="6A040118">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4.1.1至交易公告的响应文件开启时间和地点，发包人代表或代理机构工作人员登录电子交易系统点击开启，统一对上传的电子加密响应文件进行解密。</w:t>
      </w:r>
    </w:p>
    <w:p w14:paraId="25D352C3">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4.1.2响应文件解密完成并导入系统后，潜在承包人的相关响应文件内容生成标录。</w:t>
      </w:r>
    </w:p>
    <w:p w14:paraId="6A5C90B8">
      <w:pPr>
        <w:pStyle w:val="5"/>
        <w:kinsoku/>
        <w:topLinePunct/>
        <w:spacing w:line="25" w:lineRule="atLeast"/>
        <w:ind w:left="1102"/>
        <w:rPr>
          <w:rFonts w:ascii="Times New Roman" w:hAnsi="Times New Roman" w:cs="Times New Roman"/>
          <w:color w:val="auto"/>
          <w:lang w:val="en-US"/>
        </w:rPr>
      </w:pPr>
      <w:r>
        <w:rPr>
          <w:rFonts w:ascii="Times New Roman" w:hAnsi="Times New Roman" w:cs="Times New Roman"/>
          <w:color w:val="auto"/>
          <w:lang w:val="en-US"/>
        </w:rPr>
        <w:t>4</w:t>
      </w:r>
      <w:r>
        <w:rPr>
          <w:rFonts w:ascii="Times New Roman" w:hAnsi="Times New Roman" w:cs="Times New Roman"/>
          <w:color w:val="auto"/>
        </w:rPr>
        <w:t>.</w:t>
      </w:r>
      <w:r>
        <w:rPr>
          <w:rFonts w:ascii="Times New Roman" w:hAnsi="Times New Roman" w:cs="Times New Roman"/>
          <w:color w:val="auto"/>
          <w:lang w:val="en-US"/>
        </w:rPr>
        <w:t>2 特殊情况处置</w:t>
      </w:r>
    </w:p>
    <w:p w14:paraId="0CFD19FA">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因网络、系统、电力等不可抗力因素延期开启的，如间隔时间需超1日的，发包人应及时发布延期公告，潜在承包人需更新制作响应文件并按交易文件要求重新递交。</w:t>
      </w:r>
    </w:p>
    <w:p w14:paraId="0BA27BC0">
      <w:pPr>
        <w:pStyle w:val="5"/>
        <w:kinsoku/>
        <w:topLinePunct/>
        <w:spacing w:line="25" w:lineRule="atLeast"/>
        <w:ind w:left="1102"/>
        <w:rPr>
          <w:rFonts w:ascii="Times New Roman" w:hAnsi="Times New Roman" w:cs="Times New Roman"/>
          <w:color w:val="auto"/>
          <w:lang w:val="en-US"/>
        </w:rPr>
      </w:pPr>
      <w:r>
        <w:rPr>
          <w:rFonts w:ascii="Times New Roman" w:hAnsi="Times New Roman" w:cs="Times New Roman"/>
          <w:color w:val="auto"/>
          <w:lang w:val="en-US"/>
        </w:rPr>
        <w:t>4.3 信用信息查询</w:t>
      </w:r>
    </w:p>
    <w:p w14:paraId="1E795308">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4.3.1信用信息查询渠道及截止时间：发包人或代理机构将在符合性审查</w:t>
      </w:r>
      <w:r>
        <w:rPr>
          <w:rFonts w:hint="eastAsia" w:ascii="Times New Roman" w:hAnsi="Times New Roman" w:eastAsia="宋体" w:cs="Times New Roman"/>
          <w:color w:val="auto"/>
          <w:szCs w:val="24"/>
        </w:rPr>
        <w:t>、成交结果确认</w:t>
      </w:r>
      <w:r>
        <w:rPr>
          <w:rFonts w:ascii="Times New Roman" w:hAnsi="Times New Roman" w:eastAsia="宋体" w:cs="Times New Roman"/>
          <w:color w:val="auto"/>
          <w:szCs w:val="24"/>
        </w:rPr>
        <w:t>时通过交易文件前附表指定的渠道查询潜在承包人的信用记录。</w:t>
      </w:r>
    </w:p>
    <w:p w14:paraId="50DC8342">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4.3.2信用信息查询记录和证据留存的具体方式：潜在承包人的信用记录、查询结果经确认后将与交易文件一起存档。</w:t>
      </w:r>
    </w:p>
    <w:p w14:paraId="538F8411">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4.3.3信用信息的使用规则：经查询列入失信被执行人名单、重大税收违法案件当事人名单、严重失信黑名单的潜在承包人将取消成交人资格。</w:t>
      </w:r>
    </w:p>
    <w:p w14:paraId="2FCA1C45">
      <w:pPr>
        <w:kinsoku/>
        <w:topLinePunct/>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4.3.4联合体信用信息查询：两个以上的自然人、法人或者其他组织组成一个联合体，以一个潜在承包人的身份共同参加本次交易活动的，应当对所有联合体成员进行信用记录查询，联合体成员存在不良信用记录的，视同联合体存在不良信用记录。</w:t>
      </w:r>
    </w:p>
    <w:p w14:paraId="35DDB4D3">
      <w:pPr>
        <w:pStyle w:val="4"/>
        <w:kinsoku/>
        <w:topLinePunct/>
        <w:autoSpaceDE/>
        <w:autoSpaceDN/>
        <w:spacing w:line="25" w:lineRule="atLeast"/>
        <w:rPr>
          <w:rFonts w:ascii="Times New Roman" w:hAnsi="Times New Roman" w:cs="Times New Roman"/>
          <w:color w:val="auto"/>
          <w:szCs w:val="24"/>
          <w14:textOutline w14:w="5448" w14:cap="flat" w14:cmpd="sng" w14:algn="ctr">
            <w14:solidFill>
              <w14:srgbClr w14:val="000000"/>
            </w14:solidFill>
            <w14:prstDash w14:val="solid"/>
            <w14:miter w14:val="0"/>
          </w14:textOutline>
        </w:rPr>
      </w:pPr>
      <w:r>
        <w:rPr>
          <w:rFonts w:ascii="Times New Roman" w:hAnsi="Times New Roman" w:cs="Times New Roman"/>
          <w:color w:val="auto"/>
          <w:szCs w:val="24"/>
          <w14:textOutline w14:w="5448" w14:cap="flat" w14:cmpd="sng" w14:algn="ctr">
            <w14:solidFill>
              <w14:srgbClr w14:val="000000"/>
            </w14:solidFill>
            <w14:prstDash w14:val="solid"/>
            <w14:miter w14:val="0"/>
          </w14:textOutline>
        </w:rPr>
        <w:t>5.评审</w:t>
      </w:r>
    </w:p>
    <w:p w14:paraId="035CDF43">
      <w:pPr>
        <w:pStyle w:val="5"/>
        <w:kinsoku/>
        <w:topLinePunct/>
        <w:autoSpaceDE/>
        <w:autoSpaceDN/>
        <w:spacing w:line="25" w:lineRule="atLeast"/>
        <w:ind w:left="1102"/>
        <w:rPr>
          <w:rFonts w:ascii="Times New Roman" w:hAnsi="Times New Roman" w:cs="Times New Roman"/>
          <w:color w:val="auto"/>
        </w:rPr>
      </w:pPr>
      <w:r>
        <w:rPr>
          <w:rFonts w:ascii="Times New Roman" w:hAnsi="Times New Roman" w:cs="Times New Roman"/>
          <w:color w:val="auto"/>
          <w:lang w:val="en-US"/>
        </w:rPr>
        <w:t>5</w:t>
      </w:r>
      <w:r>
        <w:rPr>
          <w:rFonts w:ascii="Times New Roman" w:hAnsi="Times New Roman" w:cs="Times New Roman"/>
          <w:color w:val="auto"/>
        </w:rPr>
        <w:t>.1</w:t>
      </w:r>
      <w:r>
        <w:rPr>
          <w:rFonts w:ascii="Times New Roman" w:hAnsi="Times New Roman" w:cs="Times New Roman"/>
          <w:color w:val="auto"/>
          <w:lang w:val="en-US"/>
        </w:rPr>
        <w:t xml:space="preserve"> </w:t>
      </w:r>
      <w:r>
        <w:rPr>
          <w:rFonts w:ascii="Times New Roman" w:hAnsi="Times New Roman" w:cs="Times New Roman"/>
          <w:color w:val="auto"/>
        </w:rPr>
        <w:t>评审小组</w:t>
      </w:r>
    </w:p>
    <w:p w14:paraId="4DE75F4F">
      <w:pPr>
        <w:kinsoku/>
        <w:topLinePunct/>
        <w:autoSpaceDE/>
        <w:autoSpaceDN/>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5.1.1采用最低价法、合理低价法的项目，在响应文件开启阶段由系统智能辅助评审，由发包人负责符合性审查。</w:t>
      </w:r>
    </w:p>
    <w:p w14:paraId="63671C27">
      <w:pPr>
        <w:kinsoku/>
        <w:topLinePunct/>
        <w:autoSpaceDE/>
        <w:autoSpaceDN/>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5.1.2采用综合评估法的项目评审小组的组成见交易文件须知前附表。</w:t>
      </w:r>
    </w:p>
    <w:p w14:paraId="260B8B2B">
      <w:pPr>
        <w:pStyle w:val="5"/>
        <w:kinsoku/>
        <w:topLinePunct/>
        <w:autoSpaceDE/>
        <w:autoSpaceDN/>
        <w:spacing w:line="25" w:lineRule="atLeast"/>
        <w:ind w:left="1102"/>
        <w:rPr>
          <w:rFonts w:ascii="Times New Roman" w:hAnsi="Times New Roman" w:cs="Times New Roman"/>
          <w:color w:val="auto"/>
        </w:rPr>
      </w:pPr>
      <w:r>
        <w:rPr>
          <w:rFonts w:ascii="Times New Roman" w:hAnsi="Times New Roman" w:cs="Times New Roman"/>
          <w:color w:val="auto"/>
          <w:lang w:val="en-US"/>
        </w:rPr>
        <w:t>5</w:t>
      </w:r>
      <w:r>
        <w:rPr>
          <w:rFonts w:ascii="Times New Roman" w:hAnsi="Times New Roman" w:cs="Times New Roman"/>
          <w:color w:val="auto"/>
        </w:rPr>
        <w:t>.2</w:t>
      </w:r>
      <w:r>
        <w:rPr>
          <w:rFonts w:ascii="Times New Roman" w:hAnsi="Times New Roman" w:cs="Times New Roman"/>
          <w:color w:val="auto"/>
          <w:lang w:val="en-US"/>
        </w:rPr>
        <w:t xml:space="preserve"> </w:t>
      </w:r>
      <w:r>
        <w:rPr>
          <w:rFonts w:ascii="Times New Roman" w:hAnsi="Times New Roman" w:cs="Times New Roman"/>
          <w:color w:val="auto"/>
        </w:rPr>
        <w:t>评审原则</w:t>
      </w:r>
    </w:p>
    <w:p w14:paraId="4FA3EFC9">
      <w:pPr>
        <w:kinsoku/>
        <w:topLinePunct/>
        <w:autoSpaceDE/>
        <w:autoSpaceDN/>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评审活动遵循公平、公正、科学和择优的原则。</w:t>
      </w:r>
    </w:p>
    <w:p w14:paraId="2EAA1D69">
      <w:pPr>
        <w:pStyle w:val="5"/>
        <w:kinsoku/>
        <w:topLinePunct/>
        <w:autoSpaceDE/>
        <w:autoSpaceDN/>
        <w:spacing w:line="25" w:lineRule="atLeast"/>
        <w:ind w:left="1102"/>
        <w:rPr>
          <w:rFonts w:ascii="Times New Roman" w:hAnsi="Times New Roman" w:cs="Times New Roman"/>
          <w:color w:val="auto"/>
          <w:lang w:val="en-US"/>
        </w:rPr>
      </w:pPr>
      <w:r>
        <w:rPr>
          <w:rFonts w:ascii="Times New Roman" w:hAnsi="Times New Roman" w:cs="Times New Roman"/>
          <w:color w:val="auto"/>
          <w:lang w:val="en-US"/>
        </w:rPr>
        <w:t>5</w:t>
      </w:r>
      <w:r>
        <w:rPr>
          <w:rFonts w:ascii="Times New Roman" w:hAnsi="Times New Roman" w:cs="Times New Roman"/>
          <w:color w:val="auto"/>
        </w:rPr>
        <w:t>.3</w:t>
      </w:r>
      <w:r>
        <w:rPr>
          <w:rFonts w:ascii="Times New Roman" w:hAnsi="Times New Roman" w:cs="Times New Roman"/>
          <w:color w:val="auto"/>
          <w:lang w:val="en-US"/>
        </w:rPr>
        <w:t xml:space="preserve"> 评审办法</w:t>
      </w:r>
    </w:p>
    <w:p w14:paraId="3E48D3C1">
      <w:pPr>
        <w:kinsoku/>
        <w:topLinePunct/>
        <w:autoSpaceDE/>
        <w:autoSpaceDN/>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　详见第三章评审办法</w:t>
      </w:r>
    </w:p>
    <w:p w14:paraId="5151BAE3">
      <w:pPr>
        <w:pStyle w:val="5"/>
        <w:kinsoku/>
        <w:topLinePunct/>
        <w:autoSpaceDE/>
        <w:autoSpaceDN/>
        <w:spacing w:line="25" w:lineRule="atLeast"/>
        <w:ind w:left="1102"/>
        <w:rPr>
          <w:rFonts w:ascii="Times New Roman" w:hAnsi="Times New Roman" w:cs="Times New Roman"/>
          <w:color w:val="auto"/>
          <w:lang w:val="en-US"/>
        </w:rPr>
      </w:pPr>
      <w:r>
        <w:rPr>
          <w:rFonts w:ascii="Times New Roman" w:hAnsi="Times New Roman" w:cs="Times New Roman"/>
          <w:color w:val="auto"/>
          <w:lang w:val="en-US"/>
        </w:rPr>
        <w:t xml:space="preserve">5.4 </w:t>
      </w:r>
      <w:r>
        <w:rPr>
          <w:rFonts w:ascii="Times New Roman" w:hAnsi="Times New Roman" w:cs="Times New Roman"/>
          <w:color w:val="auto"/>
        </w:rPr>
        <w:t>评审</w:t>
      </w:r>
      <w:r>
        <w:rPr>
          <w:rFonts w:ascii="Times New Roman" w:hAnsi="Times New Roman" w:cs="Times New Roman"/>
          <w:color w:val="auto"/>
          <w:lang w:val="en-US"/>
        </w:rPr>
        <w:t>要求</w:t>
      </w:r>
    </w:p>
    <w:p w14:paraId="5CEF3D30">
      <w:pPr>
        <w:kinsoku/>
        <w:topLinePunct/>
        <w:autoSpaceDE/>
        <w:autoSpaceDN/>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5.4.1发包人或评审小组按照“第三章评审办法”规定的方法、评审因素、标准和程序对响应文件进行评审。“评审办法”没有规定的方法、评审因素和标准，不作为评审依据。</w:t>
      </w:r>
    </w:p>
    <w:p w14:paraId="6B4B7A03">
      <w:pPr>
        <w:kinsoku/>
        <w:topLinePunct/>
        <w:autoSpaceDE/>
        <w:autoSpaceDN/>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5.4.2评审完成后，评审小组应当向发包人提交书面评审报告和成交候选人名单。评审小组推荐成交候选人的数量见交易须知前附表。</w:t>
      </w:r>
    </w:p>
    <w:p w14:paraId="1FD8154F">
      <w:pPr>
        <w:pStyle w:val="4"/>
        <w:kinsoku/>
        <w:topLinePunct/>
        <w:autoSpaceDE/>
        <w:autoSpaceDN/>
        <w:spacing w:line="25" w:lineRule="atLeast"/>
        <w:rPr>
          <w:rFonts w:ascii="Times New Roman" w:hAnsi="Times New Roman" w:cs="Times New Roman"/>
          <w:color w:val="auto"/>
          <w:szCs w:val="24"/>
        </w:rPr>
      </w:pPr>
      <w:r>
        <w:rPr>
          <w:rFonts w:ascii="Times New Roman" w:hAnsi="Times New Roman" w:cs="Times New Roman"/>
          <w:color w:val="auto"/>
          <w:szCs w:val="24"/>
          <w14:textOutline w14:w="5448" w14:cap="flat" w14:cmpd="sng" w14:algn="ctr">
            <w14:solidFill>
              <w14:srgbClr w14:val="000000"/>
            </w14:solidFill>
            <w14:prstDash w14:val="solid"/>
            <w14:miter w14:val="0"/>
          </w14:textOutline>
        </w:rPr>
        <w:t>6.成交人确定</w:t>
      </w:r>
    </w:p>
    <w:p w14:paraId="75F19E13">
      <w:pPr>
        <w:pStyle w:val="5"/>
        <w:kinsoku/>
        <w:topLinePunct/>
        <w:autoSpaceDE/>
        <w:autoSpaceDN/>
        <w:spacing w:line="25" w:lineRule="atLeast"/>
        <w:ind w:left="1102"/>
        <w:rPr>
          <w:rFonts w:ascii="Times New Roman" w:hAnsi="Times New Roman" w:cs="Times New Roman"/>
          <w:color w:val="auto"/>
        </w:rPr>
      </w:pPr>
      <w:r>
        <w:rPr>
          <w:rFonts w:ascii="Times New Roman" w:hAnsi="Times New Roman" w:cs="Times New Roman"/>
          <w:color w:val="auto"/>
          <w:lang w:val="en-US"/>
        </w:rPr>
        <w:t>6</w:t>
      </w:r>
      <w:r>
        <w:rPr>
          <w:rFonts w:ascii="Times New Roman" w:hAnsi="Times New Roman" w:cs="Times New Roman"/>
          <w:color w:val="auto"/>
        </w:rPr>
        <w:t>.</w:t>
      </w:r>
      <w:r>
        <w:rPr>
          <w:rFonts w:ascii="Times New Roman" w:hAnsi="Times New Roman" w:cs="Times New Roman"/>
          <w:color w:val="auto"/>
          <w:lang w:val="en-US"/>
        </w:rPr>
        <w:t>1 成交公示</w:t>
      </w:r>
    </w:p>
    <w:p w14:paraId="59E85806">
      <w:pPr>
        <w:kinsoku/>
        <w:topLinePunct/>
        <w:autoSpaceDE/>
        <w:autoSpaceDN/>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6.1.1成交公示应当载明以下内容：成交候选人名称、报价、质量、工期等情况；提出异议(投诉)的渠道和方式；发包人认为其他应当载明的内容。</w:t>
      </w:r>
    </w:p>
    <w:p w14:paraId="73B4A54C">
      <w:pPr>
        <w:kinsoku/>
        <w:topLinePunct/>
        <w:autoSpaceDE/>
        <w:autoSpaceDN/>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6.1.2公示期限不少于1个日，且公示日最后1天须为工作日。</w:t>
      </w:r>
    </w:p>
    <w:p w14:paraId="6BEBFF77">
      <w:pPr>
        <w:pStyle w:val="5"/>
        <w:kinsoku/>
        <w:topLinePunct/>
        <w:autoSpaceDE/>
        <w:autoSpaceDN/>
        <w:spacing w:line="25" w:lineRule="atLeast"/>
        <w:ind w:left="1102"/>
        <w:rPr>
          <w:rFonts w:ascii="Times New Roman" w:hAnsi="Times New Roman" w:cs="Times New Roman"/>
          <w:color w:val="auto"/>
        </w:rPr>
      </w:pPr>
      <w:r>
        <w:rPr>
          <w:rFonts w:ascii="Times New Roman" w:hAnsi="Times New Roman" w:cs="Times New Roman"/>
          <w:color w:val="auto"/>
          <w:lang w:val="en-US"/>
        </w:rPr>
        <w:t xml:space="preserve">6.2 </w:t>
      </w:r>
      <w:r>
        <w:rPr>
          <w:rFonts w:ascii="Times New Roman" w:hAnsi="Times New Roman" w:cs="Times New Roman"/>
          <w:color w:val="auto"/>
        </w:rPr>
        <w:t>确定方式</w:t>
      </w:r>
    </w:p>
    <w:p w14:paraId="34800F77">
      <w:pPr>
        <w:kinsoku/>
        <w:topLinePunct/>
        <w:autoSpaceDE/>
        <w:autoSpaceDN/>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6.2.1发包人应当按照成交候选人名单排序，确定排名第一的成交候选人为拟成交人。</w:t>
      </w:r>
    </w:p>
    <w:p w14:paraId="5CD98449">
      <w:pPr>
        <w:kinsoku/>
        <w:topLinePunct/>
        <w:autoSpaceDE/>
        <w:autoSpaceDN/>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6.2.2成交公示期满无异议的，且经发包人对拟成交人和其拟派项目负责人查验符合规定的，可确认为成交人。</w:t>
      </w:r>
    </w:p>
    <w:p w14:paraId="7AF4B822">
      <w:pPr>
        <w:kinsoku/>
        <w:topLinePunct/>
        <w:autoSpaceDE/>
        <w:autoSpaceDN/>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6.2.3成交结果确认查验内容，见交易须知前附表。</w:t>
      </w:r>
    </w:p>
    <w:p w14:paraId="24A9F2DA">
      <w:pPr>
        <w:pStyle w:val="5"/>
        <w:kinsoku/>
        <w:topLinePunct/>
        <w:autoSpaceDE/>
        <w:autoSpaceDN/>
        <w:spacing w:line="25" w:lineRule="atLeast"/>
        <w:ind w:left="1102"/>
        <w:rPr>
          <w:rFonts w:ascii="Times New Roman" w:hAnsi="Times New Roman" w:cs="Times New Roman"/>
          <w:color w:val="auto"/>
        </w:rPr>
      </w:pPr>
      <w:r>
        <w:rPr>
          <w:rFonts w:ascii="Times New Roman" w:hAnsi="Times New Roman" w:cs="Times New Roman"/>
          <w:color w:val="auto"/>
          <w:lang w:val="en-US"/>
        </w:rPr>
        <w:t>6</w:t>
      </w:r>
      <w:r>
        <w:rPr>
          <w:rFonts w:ascii="Times New Roman" w:hAnsi="Times New Roman" w:cs="Times New Roman"/>
          <w:color w:val="auto"/>
        </w:rPr>
        <w:t>.</w:t>
      </w:r>
      <w:r>
        <w:rPr>
          <w:rFonts w:ascii="Times New Roman" w:hAnsi="Times New Roman" w:cs="Times New Roman"/>
          <w:color w:val="auto"/>
          <w:lang w:val="en-US"/>
        </w:rPr>
        <w:t xml:space="preserve">3 </w:t>
      </w:r>
      <w:r>
        <w:rPr>
          <w:rFonts w:ascii="Times New Roman" w:hAnsi="Times New Roman" w:cs="Times New Roman"/>
          <w:color w:val="auto"/>
        </w:rPr>
        <w:t>成交通知</w:t>
      </w:r>
    </w:p>
    <w:p w14:paraId="4E892BBE">
      <w:pPr>
        <w:kinsoku/>
        <w:wordWrap w:val="0"/>
        <w:topLinePunct/>
        <w:autoSpaceDE/>
        <w:autoSpaceDN/>
        <w:adjustRightInd/>
        <w:snapToGrid/>
        <w:spacing w:line="25" w:lineRule="atLeast"/>
        <w:ind w:firstLine="480" w:firstLineChars="200"/>
        <w:jc w:val="both"/>
        <w:rPr>
          <w:rFonts w:ascii="Times New Roman" w:hAnsi="Times New Roman" w:cs="Times New Roman"/>
          <w:color w:val="auto"/>
        </w:rPr>
      </w:pPr>
      <w:r>
        <w:rPr>
          <w:rFonts w:ascii="Times New Roman" w:hAnsi="Times New Roman" w:eastAsia="宋体" w:cs="Times New Roman"/>
          <w:color w:val="auto"/>
          <w:szCs w:val="24"/>
        </w:rPr>
        <w:t>6.3.1成交候选人公示结束且无尚未处理的异议后，由发包人或代理机构向成交人发出成交通知书，成交通知书和成交结果公告应当在规定时间内同时发出。</w:t>
      </w:r>
    </w:p>
    <w:p w14:paraId="08B6B166">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6.3.2排名第一的成交候选人放弃成交、成交人因不可抗力不履行合同、不按交易文件要求提交履约担保，或者被查实在影响成交结果的违法行为等情形不符合成交条件的，发包人可以按成交候选人名单排序依次确定其他成交候选人为成交人，也可以重新组织交易。</w:t>
      </w:r>
    </w:p>
    <w:p w14:paraId="106AFE07">
      <w:pPr>
        <w:pStyle w:val="4"/>
        <w:kinsoku/>
        <w:topLinePunct/>
        <w:autoSpaceDE/>
        <w:autoSpaceDN/>
        <w:spacing w:line="25" w:lineRule="atLeast"/>
        <w:rPr>
          <w:rFonts w:ascii="Times New Roman" w:hAnsi="Times New Roman" w:cs="Times New Roman"/>
          <w:color w:val="auto"/>
          <w:szCs w:val="24"/>
          <w14:textOutline w14:w="5448" w14:cap="flat" w14:cmpd="sng" w14:algn="ctr">
            <w14:solidFill>
              <w14:srgbClr w14:val="000000"/>
            </w14:solidFill>
            <w14:prstDash w14:val="solid"/>
            <w14:miter w14:val="0"/>
          </w14:textOutline>
        </w:rPr>
      </w:pPr>
      <w:r>
        <w:rPr>
          <w:rFonts w:ascii="Times New Roman" w:hAnsi="Times New Roman" w:cs="Times New Roman"/>
          <w:color w:val="auto"/>
          <w:szCs w:val="24"/>
          <w14:textOutline w14:w="5448" w14:cap="flat" w14:cmpd="sng" w14:algn="ctr">
            <w14:solidFill>
              <w14:srgbClr w14:val="000000"/>
            </w14:solidFill>
            <w14:prstDash w14:val="solid"/>
            <w14:miter w14:val="0"/>
          </w14:textOutline>
        </w:rPr>
        <w:t>7.合同授予</w:t>
      </w:r>
    </w:p>
    <w:p w14:paraId="0C78B3F0">
      <w:pPr>
        <w:pStyle w:val="5"/>
        <w:kinsoku/>
        <w:topLinePunct/>
        <w:autoSpaceDE/>
        <w:autoSpaceDN/>
        <w:spacing w:line="25" w:lineRule="atLeast"/>
        <w:ind w:left="1102"/>
        <w:rPr>
          <w:rFonts w:ascii="Times New Roman" w:hAnsi="Times New Roman" w:cs="Times New Roman"/>
          <w:color w:val="auto"/>
        </w:rPr>
      </w:pPr>
      <w:r>
        <w:rPr>
          <w:rFonts w:ascii="Times New Roman" w:hAnsi="Times New Roman" w:cs="Times New Roman"/>
          <w:color w:val="auto"/>
        </w:rPr>
        <w:t>7.</w:t>
      </w:r>
      <w:r>
        <w:rPr>
          <w:rFonts w:ascii="Times New Roman" w:hAnsi="Times New Roman" w:cs="Times New Roman"/>
          <w:color w:val="auto"/>
          <w:lang w:val="en-US"/>
        </w:rPr>
        <w:t xml:space="preserve">1 </w:t>
      </w:r>
      <w:r>
        <w:rPr>
          <w:rFonts w:ascii="Times New Roman" w:hAnsi="Times New Roman" w:cs="Times New Roman"/>
          <w:color w:val="auto"/>
        </w:rPr>
        <w:t>履约担保</w:t>
      </w:r>
    </w:p>
    <w:p w14:paraId="54B97920">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7.1.1在签订合同前，成交人应按交易须知前附表规定的金额、形式向发包人提交履约担保。联合体成交的，其履约担保由牵头人递交，并应符合交易须知前附表规定的金额、担保形式和交易文件规定的履约担保要求。</w:t>
      </w:r>
    </w:p>
    <w:p w14:paraId="13E7071C">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7.1.2成交人不能按本章第 7.1.1 项要求提交履约担保的，视为放弃成交，其交易保证金不予退还，给发包人造成的损失超过</w:t>
      </w:r>
      <w:r>
        <w:rPr>
          <w:rFonts w:hint="eastAsia" w:ascii="Times New Roman" w:hAnsi="Times New Roman" w:eastAsia="宋体" w:cs="Times New Roman"/>
          <w:color w:val="auto"/>
          <w:szCs w:val="24"/>
        </w:rPr>
        <w:t>交易</w:t>
      </w:r>
      <w:r>
        <w:rPr>
          <w:rFonts w:ascii="Times New Roman" w:hAnsi="Times New Roman" w:eastAsia="宋体" w:cs="Times New Roman"/>
          <w:color w:val="auto"/>
          <w:szCs w:val="24"/>
        </w:rPr>
        <w:t>保证金数额的，成交人还应当对超过部分予以赔偿。</w:t>
      </w:r>
    </w:p>
    <w:p w14:paraId="66F35747">
      <w:pPr>
        <w:pStyle w:val="5"/>
        <w:kinsoku/>
        <w:topLinePunct/>
        <w:autoSpaceDE/>
        <w:autoSpaceDN/>
        <w:spacing w:line="25" w:lineRule="atLeast"/>
        <w:ind w:left="1102"/>
        <w:rPr>
          <w:rFonts w:ascii="Times New Roman" w:hAnsi="Times New Roman" w:cs="Times New Roman"/>
          <w:color w:val="auto"/>
        </w:rPr>
      </w:pPr>
      <w:r>
        <w:rPr>
          <w:rFonts w:ascii="Times New Roman" w:hAnsi="Times New Roman" w:cs="Times New Roman"/>
          <w:color w:val="auto"/>
        </w:rPr>
        <w:t>7.</w:t>
      </w:r>
      <w:r>
        <w:rPr>
          <w:rFonts w:ascii="Times New Roman" w:hAnsi="Times New Roman" w:cs="Times New Roman"/>
          <w:color w:val="auto"/>
          <w:lang w:val="en-US"/>
        </w:rPr>
        <w:t xml:space="preserve">2 </w:t>
      </w:r>
      <w:r>
        <w:rPr>
          <w:rFonts w:ascii="Times New Roman" w:hAnsi="Times New Roman" w:cs="Times New Roman"/>
          <w:color w:val="auto"/>
        </w:rPr>
        <w:t>签订合同</w:t>
      </w:r>
    </w:p>
    <w:p w14:paraId="317FE81E">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7.2.1 发包人和成交人应当在成交通知书发出之日起30日内，根据交易文件和成交人的响应文件订立书面合同。</w:t>
      </w:r>
    </w:p>
    <w:p w14:paraId="3DA7ED60">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7.2.2 发出成交通知书后，成交人无正当理由拒签合同，发包人有权取消其成交资格；给发包人造成损失的，成交人应当予以赔偿。发包人无正当理由拒签合同，给成交人造成损失的，还应当赔偿损失。</w:t>
      </w:r>
    </w:p>
    <w:p w14:paraId="0020BE7D">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7.2.3 联合体成交的，联合体各方应当共同与发包人签订合同，就成交项目向发包人承担连带责任。</w:t>
      </w:r>
    </w:p>
    <w:p w14:paraId="0A6692BA">
      <w:pPr>
        <w:pStyle w:val="4"/>
        <w:kinsoku/>
        <w:topLinePunct/>
        <w:autoSpaceDE/>
        <w:autoSpaceDN/>
        <w:spacing w:line="25" w:lineRule="atLeast"/>
        <w:rPr>
          <w:rFonts w:ascii="Times New Roman" w:hAnsi="Times New Roman" w:cs="Times New Roman"/>
          <w:color w:val="auto"/>
          <w:szCs w:val="24"/>
        </w:rPr>
      </w:pPr>
      <w:r>
        <w:rPr>
          <w:rFonts w:ascii="Times New Roman" w:hAnsi="Times New Roman" w:cs="Times New Roman"/>
          <w:color w:val="auto"/>
          <w:szCs w:val="24"/>
          <w14:textOutline w14:w="5448" w14:cap="flat" w14:cmpd="sng" w14:algn="ctr">
            <w14:solidFill>
              <w14:srgbClr w14:val="000000"/>
            </w14:solidFill>
            <w14:prstDash w14:val="solid"/>
            <w14:miter w14:val="0"/>
          </w14:textOutline>
        </w:rPr>
        <w:t>8.重新组织交易和终止交易</w:t>
      </w:r>
    </w:p>
    <w:p w14:paraId="08C4BC3D">
      <w:pPr>
        <w:pStyle w:val="5"/>
        <w:kinsoku/>
        <w:topLinePunct/>
        <w:autoSpaceDE/>
        <w:autoSpaceDN/>
        <w:spacing w:line="25" w:lineRule="atLeast"/>
        <w:ind w:left="1102"/>
        <w:rPr>
          <w:rFonts w:ascii="Times New Roman" w:hAnsi="Times New Roman" w:cs="Times New Roman"/>
          <w:color w:val="auto"/>
          <w:lang w:val="en-US"/>
        </w:rPr>
      </w:pPr>
      <w:r>
        <w:rPr>
          <w:rFonts w:ascii="Times New Roman" w:hAnsi="Times New Roman" w:cs="Times New Roman"/>
          <w:color w:val="auto"/>
          <w:lang w:val="en-US"/>
        </w:rPr>
        <w:t>8.1 重新组织交易</w:t>
      </w:r>
    </w:p>
    <w:p w14:paraId="465F22FF">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见交易须知前附表。</w:t>
      </w:r>
    </w:p>
    <w:p w14:paraId="1E0AAFAD">
      <w:pPr>
        <w:pStyle w:val="5"/>
        <w:kinsoku/>
        <w:topLinePunct/>
        <w:autoSpaceDE/>
        <w:autoSpaceDN/>
        <w:spacing w:line="25" w:lineRule="atLeast"/>
        <w:ind w:left="1102"/>
        <w:rPr>
          <w:rFonts w:ascii="Times New Roman" w:hAnsi="Times New Roman" w:cs="Times New Roman"/>
          <w:color w:val="auto"/>
          <w:lang w:val="en-US"/>
        </w:rPr>
      </w:pPr>
      <w:r>
        <w:rPr>
          <w:rFonts w:ascii="Times New Roman" w:hAnsi="Times New Roman" w:cs="Times New Roman"/>
          <w:color w:val="auto"/>
          <w:lang w:val="en-US"/>
        </w:rPr>
        <w:t>8.2  终止交易</w:t>
      </w:r>
    </w:p>
    <w:p w14:paraId="082E3F47">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项目因故发生变更，经原审批部门审批后可以终止交易。</w:t>
      </w:r>
    </w:p>
    <w:p w14:paraId="32456F92">
      <w:pPr>
        <w:pStyle w:val="4"/>
        <w:kinsoku/>
        <w:topLinePunct/>
        <w:autoSpaceDE/>
        <w:autoSpaceDN/>
        <w:spacing w:line="25" w:lineRule="atLeast"/>
        <w:rPr>
          <w:rFonts w:ascii="Times New Roman" w:hAnsi="Times New Roman" w:cs="Times New Roman"/>
          <w:color w:val="auto"/>
          <w:szCs w:val="24"/>
          <w14:textOutline w14:w="5448" w14:cap="flat" w14:cmpd="sng" w14:algn="ctr">
            <w14:solidFill>
              <w14:srgbClr w14:val="000000"/>
            </w14:solidFill>
            <w14:prstDash w14:val="solid"/>
            <w14:miter w14:val="0"/>
          </w14:textOutline>
        </w:rPr>
      </w:pPr>
      <w:r>
        <w:rPr>
          <w:rFonts w:ascii="Times New Roman" w:hAnsi="Times New Roman" w:cs="Times New Roman"/>
          <w:color w:val="auto"/>
          <w:szCs w:val="24"/>
          <w14:textOutline w14:w="5448" w14:cap="flat" w14:cmpd="sng" w14:algn="ctr">
            <w14:solidFill>
              <w14:srgbClr w14:val="000000"/>
            </w14:solidFill>
            <w14:prstDash w14:val="solid"/>
            <w14:miter w14:val="0"/>
          </w14:textOutline>
        </w:rPr>
        <w:t>9.纪律和监督</w:t>
      </w:r>
    </w:p>
    <w:p w14:paraId="3FD08AB6">
      <w:pPr>
        <w:pStyle w:val="5"/>
        <w:kinsoku/>
        <w:topLinePunct/>
        <w:autoSpaceDE/>
        <w:autoSpaceDN/>
        <w:spacing w:line="25" w:lineRule="atLeast"/>
        <w:ind w:left="1102"/>
        <w:rPr>
          <w:rFonts w:ascii="Times New Roman" w:hAnsi="Times New Roman" w:cs="Times New Roman"/>
          <w:color w:val="auto"/>
        </w:rPr>
      </w:pPr>
      <w:r>
        <w:rPr>
          <w:rFonts w:ascii="Times New Roman" w:hAnsi="Times New Roman" w:cs="Times New Roman"/>
          <w:color w:val="auto"/>
        </w:rPr>
        <w:t>9.1</w:t>
      </w:r>
      <w:r>
        <w:rPr>
          <w:rFonts w:ascii="Times New Roman" w:hAnsi="Times New Roman" w:cs="Times New Roman"/>
          <w:color w:val="auto"/>
          <w:lang w:val="en-US"/>
        </w:rPr>
        <w:t xml:space="preserve"> </w:t>
      </w:r>
      <w:r>
        <w:rPr>
          <w:rFonts w:ascii="Times New Roman" w:hAnsi="Times New Roman" w:cs="Times New Roman"/>
          <w:color w:val="auto"/>
        </w:rPr>
        <w:t>对发包人的纪律要求</w:t>
      </w:r>
    </w:p>
    <w:p w14:paraId="68BD2DE5">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发包人不得泄露交易活动中应当保密的情况和资料，不得与潜在承包人串通损害国家利益、社会公共利益或者他人合法权益。</w:t>
      </w:r>
    </w:p>
    <w:p w14:paraId="6A3E79ED">
      <w:pPr>
        <w:pStyle w:val="5"/>
        <w:kinsoku/>
        <w:topLinePunct/>
        <w:autoSpaceDE/>
        <w:autoSpaceDN/>
        <w:spacing w:line="25" w:lineRule="atLeast"/>
        <w:ind w:left="1102"/>
        <w:rPr>
          <w:rFonts w:ascii="Times New Roman" w:hAnsi="Times New Roman" w:cs="Times New Roman"/>
          <w:color w:val="auto"/>
        </w:rPr>
      </w:pPr>
      <w:r>
        <w:rPr>
          <w:rFonts w:ascii="Times New Roman" w:hAnsi="Times New Roman" w:cs="Times New Roman"/>
          <w:color w:val="auto"/>
        </w:rPr>
        <w:t>9.2</w:t>
      </w:r>
      <w:r>
        <w:rPr>
          <w:rFonts w:ascii="Times New Roman" w:hAnsi="Times New Roman" w:cs="Times New Roman"/>
          <w:color w:val="auto"/>
          <w:lang w:val="en-US"/>
        </w:rPr>
        <w:t xml:space="preserve">  </w:t>
      </w:r>
      <w:r>
        <w:rPr>
          <w:rFonts w:ascii="Times New Roman" w:hAnsi="Times New Roman" w:cs="Times New Roman"/>
          <w:color w:val="auto"/>
        </w:rPr>
        <w:t>对</w:t>
      </w:r>
      <w:r>
        <w:rPr>
          <w:rFonts w:ascii="Times New Roman" w:hAnsi="Times New Roman" w:cs="Times New Roman"/>
          <w:color w:val="auto"/>
          <w:szCs w:val="24"/>
          <w:lang w:val="en-US"/>
        </w:rPr>
        <w:t>潜在承包人</w:t>
      </w:r>
      <w:r>
        <w:rPr>
          <w:rFonts w:ascii="Times New Roman" w:hAnsi="Times New Roman" w:cs="Times New Roman"/>
          <w:color w:val="auto"/>
        </w:rPr>
        <w:t>的纪律要求</w:t>
      </w:r>
    </w:p>
    <w:p w14:paraId="04D49F1D">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潜在承包人不得相互串通或者与发包人串通，不得向发包人或者评审人员行贿谋取成交，不得以他人名义参与交易或者以其他方式弄虚作假参与交易；潜在承包人不得以任何方式干扰、影响评审工作。</w:t>
      </w:r>
    </w:p>
    <w:p w14:paraId="76B46FE4">
      <w:pPr>
        <w:kinsoku/>
        <w:topLinePunct/>
        <w:autoSpaceDE/>
        <w:autoSpaceDN/>
        <w:snapToGrid/>
        <w:spacing w:line="25" w:lineRule="atLeast"/>
        <w:ind w:firstLine="480" w:firstLineChars="200"/>
        <w:rPr>
          <w:rFonts w:ascii="Times New Roman" w:hAnsi="Times New Roman" w:cs="Times New Roman"/>
          <w:color w:val="auto"/>
        </w:rPr>
      </w:pPr>
      <w:r>
        <w:rPr>
          <w:rFonts w:ascii="Times New Roman" w:hAnsi="Times New Roman" w:eastAsia="宋体" w:cs="Times New Roman"/>
          <w:color w:val="auto"/>
          <w:szCs w:val="24"/>
          <w14:textOutline w14:w="5448" w14:cap="flat" w14:cmpd="sng" w14:algn="ctr">
            <w14:solidFill>
              <w14:srgbClr w14:val="000000"/>
            </w14:solidFill>
            <w14:prstDash w14:val="solid"/>
            <w14:miter w14:val="0"/>
          </w14:textOutline>
        </w:rPr>
        <w:t>9.2.1 失信行为的认定标准</w:t>
      </w:r>
    </w:p>
    <w:p w14:paraId="2843E96C">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(1)潜在承包人相互串通或与发包人串通交易；</w:t>
      </w:r>
    </w:p>
    <w:p w14:paraId="11240933">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(2)潜在承包人使用通过受让或者租借等方式获取的资格、资质证书交易；</w:t>
      </w:r>
    </w:p>
    <w:p w14:paraId="5EBC8951">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(3)潜在承包人以弄虚作假的方式骗取交易；</w:t>
      </w:r>
    </w:p>
    <w:p w14:paraId="0EE9090F">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(4)出让或者出租资格、资质证书供他人交易；</w:t>
      </w:r>
    </w:p>
    <w:p w14:paraId="66B47211">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(5)潜在承包人或其他利害关系人捏造事实、伪造材料或者以非法手段取得证明材料进行投诉；</w:t>
      </w:r>
    </w:p>
    <w:p w14:paraId="56B8F135">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(6)潜在承包人向发包人、代理机构、评审人员行贿或者提供其他不正当利益；</w:t>
      </w:r>
    </w:p>
    <w:p w14:paraId="0B2829F6">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(7)成交人无正当理由放弃成交资格、不与发包人签订合同，或无正当理由拒绝履行合同；</w:t>
      </w:r>
    </w:p>
    <w:p w14:paraId="4377FB9D">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(8)成交人无故不配合办理发包备案手续影响办理施工许可证的；</w:t>
      </w:r>
    </w:p>
    <w:p w14:paraId="05807DFD">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(9)成交人在签订合同时向发包人提出附加条件，或者未按照交易文件要求提交履约保证金；</w:t>
      </w:r>
    </w:p>
    <w:p w14:paraId="46655DBC">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(10) 成交人与发包人违反交易文件和成交人的响应文件订立合同，成交人与发包人订立背离合同实质性内容的协议；</w:t>
      </w:r>
    </w:p>
    <w:p w14:paraId="353AD433">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(11)成交人将成交项目违法转让给他人或将成交项目肢解后违法转让或非法分包给他人；</w:t>
      </w:r>
    </w:p>
    <w:p w14:paraId="562E6EA6">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(12)交付的工程、货物或服务不符合合同约定，或者弄虚作假、以次充好，验收达不到合同要求的；</w:t>
      </w:r>
    </w:p>
    <w:p w14:paraId="4376B4C4">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(13)对投诉反映或检查发现的工程、货物或提供的服务有重大安全、质量隐患，经督促不及时整改的；</w:t>
      </w:r>
    </w:p>
    <w:p w14:paraId="719E8F16">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(14)项目履约期间受到行业主管部门行政处罚的；</w:t>
      </w:r>
    </w:p>
    <w:p w14:paraId="5B10B1A8">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(15)其他违反签署的诚信承诺书或违法违规行为。</w:t>
      </w:r>
    </w:p>
    <w:p w14:paraId="60C52BA3">
      <w:pPr>
        <w:kinsoku/>
        <w:topLinePunct/>
        <w:autoSpaceDE/>
        <w:autoSpaceDN/>
        <w:snapToGrid/>
        <w:spacing w:line="25" w:lineRule="atLeas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14:textOutline w14:w="5448" w14:cap="flat" w14:cmpd="sng" w14:algn="ctr">
            <w14:solidFill>
              <w14:srgbClr w14:val="000000"/>
            </w14:solidFill>
            <w14:prstDash w14:val="solid"/>
            <w14:miter w14:val="0"/>
          </w14:textOutline>
        </w:rPr>
        <w:t>9.2.2</w:t>
      </w:r>
      <w:r>
        <w:rPr>
          <w:rFonts w:ascii="Times New Roman" w:hAnsi="Times New Roman" w:eastAsia="宋体" w:cs="Times New Roman"/>
          <w:color w:val="auto"/>
          <w:szCs w:val="24"/>
        </w:rPr>
        <w:t xml:space="preserve"> </w:t>
      </w:r>
      <w:r>
        <w:rPr>
          <w:rFonts w:ascii="Times New Roman" w:hAnsi="Times New Roman" w:eastAsia="宋体" w:cs="Times New Roman"/>
          <w:color w:val="auto"/>
          <w:szCs w:val="24"/>
          <w14:textOutline w14:w="5448" w14:cap="flat" w14:cmpd="sng" w14:algn="ctr">
            <w14:solidFill>
              <w14:srgbClr w14:val="000000"/>
            </w14:solidFill>
            <w14:prstDash w14:val="solid"/>
            <w14:miter w14:val="0"/>
          </w14:textOutline>
        </w:rPr>
        <w:t>对串通行为的认定标准</w:t>
      </w:r>
    </w:p>
    <w:p w14:paraId="49473149">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(1)潜在承包人之间协调报价等响应文件的实质性内容；</w:t>
      </w:r>
    </w:p>
    <w:p w14:paraId="7889FEE9">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(2)潜在承包人之间约定成交人；</w:t>
      </w:r>
    </w:p>
    <w:p w14:paraId="4313A0FB">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(3)潜在承包人之间约定部分潜在承包人放弃响应或者成交；</w:t>
      </w:r>
    </w:p>
    <w:p w14:paraId="4A091F24">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(4)属于同一集团、协会、商会等组织成员的潜在承包人按照该组织要求协同参与交易；</w:t>
      </w:r>
    </w:p>
    <w:p w14:paraId="4BC45434">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(5)不同潜在承包人的响应文件由同一单位或者个人编制，包括同一项目不同潜在承包人的电子响应文件的文件制作机器码相同的；</w:t>
      </w:r>
    </w:p>
    <w:p w14:paraId="12045091">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(6)不同潜在承包人委托同一单位或者个人办理本项目的交易事宜，包括不同潜在承包人从同一单位或同一自然人的IP地址下载交易文件、上传响应文件或参加交易活动的人员为同一标段其他潜在承包人的在职人员的；</w:t>
      </w:r>
    </w:p>
    <w:p w14:paraId="40B4AFD6">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(7)不同潜在承包人的响应文件载明的项目管理成员为同一人；</w:t>
      </w:r>
    </w:p>
    <w:p w14:paraId="25C0A684">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(8)不同潜在承包人的响应文件异常一致或者报价呈规律性差异 (合理低价法除外) ；</w:t>
      </w:r>
    </w:p>
    <w:p w14:paraId="3709A777">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(9)不同潜在承包人的响应文件相互混装；</w:t>
      </w:r>
    </w:p>
    <w:p w14:paraId="28C0A96D">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(10)不同潜在承包人的交易保证金从同一单位或个人账户转出；</w:t>
      </w:r>
    </w:p>
    <w:p w14:paraId="1FC735A2">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(11)潜在承包人之间为谋取成交或者排斥特定承包人而采取的其他联合行动；</w:t>
      </w:r>
    </w:p>
    <w:p w14:paraId="58B3E60A">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(12)发包人直接或间接向潜在承包人泄露应保密的评审小组成员、响应文件商业秘密等信息的；</w:t>
      </w:r>
    </w:p>
    <w:p w14:paraId="6000FA80">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(13)发包人明示或暗示潜在承包人压低或者抬高响应报价；</w:t>
      </w:r>
    </w:p>
    <w:p w14:paraId="5DE0B7C3">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(14)发包人授意潜在承包人撤换、修改响应文件；</w:t>
      </w:r>
    </w:p>
    <w:p w14:paraId="59E21C15">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(15)发包人明示或暗示潜在承包人为特定潜在承包人成交提供方便；</w:t>
      </w:r>
    </w:p>
    <w:p w14:paraId="6F89D27A">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(16)发包人与潜在承包人为谋求特定潜在承包人成交而采取的其他串通行为。</w:t>
      </w:r>
    </w:p>
    <w:p w14:paraId="7CAE7F9D">
      <w:pPr>
        <w:kinsoku/>
        <w:topLinePunct/>
        <w:snapToGrid/>
        <w:spacing w:line="25" w:lineRule="atLeast"/>
        <w:ind w:firstLine="480" w:firstLineChars="200"/>
        <w:rPr>
          <w:rFonts w:ascii="Times New Roman" w:hAnsi="Times New Roman" w:eastAsia="宋体" w:cs="Times New Roman"/>
          <w:color w:val="auto"/>
          <w:szCs w:val="24"/>
          <w14:textOutline w14:w="5448" w14:cap="flat" w14:cmpd="sng" w14:algn="ctr">
            <w14:solidFill>
              <w14:srgbClr w14:val="000000"/>
            </w14:solidFill>
            <w14:prstDash w14:val="solid"/>
            <w14:miter w14:val="0"/>
          </w14:textOutline>
        </w:rPr>
      </w:pPr>
      <w:r>
        <w:rPr>
          <w:rFonts w:ascii="Times New Roman" w:hAnsi="Times New Roman" w:eastAsia="宋体" w:cs="Times New Roman"/>
          <w:color w:val="auto"/>
          <w:szCs w:val="24"/>
          <w14:textOutline w14:w="5448" w14:cap="flat" w14:cmpd="sng" w14:algn="ctr">
            <w14:solidFill>
              <w14:srgbClr w14:val="000000"/>
            </w14:solidFill>
            <w14:prstDash w14:val="solid"/>
            <w14:miter w14:val="0"/>
          </w14:textOutline>
        </w:rPr>
        <w:t>9.2.3 失信行为和串通行为处理</w:t>
      </w:r>
    </w:p>
    <w:p w14:paraId="021E8BC0">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(1)成交人或潜在承包人被查实存在第9.2.1和9.2.2款等不良信用行为的，将被记录为不良信用信息，并根据影响程度确定交易暂停期限，原则上不少于6个月；经认定的不良信用信息，统一在城投集团小额工程交易平台进行公示，交易暂停期间不得参与城投集团系统小额工程交易活动。</w:t>
      </w:r>
    </w:p>
    <w:p w14:paraId="19E06353">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(2)发包人重新组织交易的，可以拒绝该潜在承包人再次参加该项目交易活动；存在串通行为或情节严重的失信行为的，将依法依规处理。</w:t>
      </w:r>
    </w:p>
    <w:p w14:paraId="19702390">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(3)</w:t>
      </w:r>
      <w:r>
        <w:rPr>
          <w:rFonts w:hint="eastAsia" w:ascii="Times New Roman" w:hAnsi="Times New Roman" w:eastAsia="宋体" w:cs="Times New Roman"/>
          <w:color w:val="auto"/>
          <w:szCs w:val="24"/>
        </w:rPr>
        <w:t>经查实存在失信行为和串通行为的：潜在承包人的交易保证金不予退还；已退还交易保证金的成交人，其履约担保不予退还；已退还交易保证金的其他潜在承包人，给发包人造成损失的，发包人有权索赔追偿</w:t>
      </w:r>
      <w:r>
        <w:rPr>
          <w:rFonts w:ascii="Times New Roman" w:hAnsi="Times New Roman" w:eastAsia="宋体" w:cs="Times New Roman"/>
          <w:color w:val="auto"/>
          <w:szCs w:val="24"/>
        </w:rPr>
        <w:t>。</w:t>
      </w:r>
    </w:p>
    <w:p w14:paraId="1D8FE7BA">
      <w:pPr>
        <w:pStyle w:val="5"/>
        <w:kinsoku/>
        <w:topLinePunct/>
        <w:spacing w:line="25" w:lineRule="atLeast"/>
        <w:ind w:left="1102"/>
        <w:rPr>
          <w:rFonts w:ascii="Times New Roman" w:hAnsi="Times New Roman" w:cs="Times New Roman"/>
          <w:color w:val="auto"/>
        </w:rPr>
      </w:pPr>
      <w:r>
        <w:rPr>
          <w:rFonts w:ascii="Times New Roman" w:hAnsi="Times New Roman" w:cs="Times New Roman"/>
          <w:color w:val="auto"/>
        </w:rPr>
        <w:t>9.3</w:t>
      </w:r>
      <w:r>
        <w:rPr>
          <w:rFonts w:ascii="Times New Roman" w:hAnsi="Times New Roman" w:cs="Times New Roman"/>
          <w:color w:val="auto"/>
          <w:lang w:val="en-US"/>
        </w:rPr>
        <w:t xml:space="preserve"> </w:t>
      </w:r>
      <w:r>
        <w:rPr>
          <w:rFonts w:ascii="Times New Roman" w:hAnsi="Times New Roman" w:cs="Times New Roman"/>
          <w:color w:val="auto"/>
        </w:rPr>
        <w:t>对评审人员的纪律要求</w:t>
      </w:r>
    </w:p>
    <w:p w14:paraId="0332164B">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评审人员不得收受他人的财物或者其他好处，不得向他人透露应当保密的相关内容。在评审活动中，评审人员不得擅离职守，影响评审程序正常进行，不得使用“评审办法”没有规定的评审因素和标准进行评审。</w:t>
      </w:r>
    </w:p>
    <w:p w14:paraId="49088AE8">
      <w:pPr>
        <w:pStyle w:val="5"/>
        <w:kinsoku/>
        <w:topLinePunct/>
        <w:spacing w:line="25" w:lineRule="atLeast"/>
        <w:ind w:left="1102"/>
        <w:rPr>
          <w:rFonts w:ascii="Times New Roman" w:hAnsi="Times New Roman" w:cs="Times New Roman"/>
          <w:color w:val="auto"/>
        </w:rPr>
      </w:pPr>
      <w:r>
        <w:rPr>
          <w:rFonts w:ascii="Times New Roman" w:hAnsi="Times New Roman" w:cs="Times New Roman"/>
          <w:color w:val="auto"/>
        </w:rPr>
        <w:t>9.4</w:t>
      </w:r>
      <w:r>
        <w:rPr>
          <w:rFonts w:ascii="Times New Roman" w:hAnsi="Times New Roman" w:cs="Times New Roman"/>
          <w:color w:val="auto"/>
          <w:lang w:val="en-US"/>
        </w:rPr>
        <w:t xml:space="preserve"> </w:t>
      </w:r>
      <w:r>
        <w:rPr>
          <w:rFonts w:ascii="Times New Roman" w:hAnsi="Times New Roman" w:cs="Times New Roman"/>
          <w:color w:val="auto"/>
        </w:rPr>
        <w:t>对与评审活动有关的工作人员的纪律要求</w:t>
      </w:r>
    </w:p>
    <w:p w14:paraId="3E3233F6">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与评审活动有关的工作人员不得收受他人的财物或者其他好处，不得向他人透露应当保密的相关内容。在评审活动中，与评审活动有关的工作人员不得擅离职守，影响评审程序正常进行。</w:t>
      </w:r>
    </w:p>
    <w:p w14:paraId="7C86B989">
      <w:pPr>
        <w:pStyle w:val="5"/>
        <w:kinsoku/>
        <w:topLinePunct/>
        <w:spacing w:line="25" w:lineRule="atLeast"/>
        <w:ind w:left="1102"/>
        <w:rPr>
          <w:rFonts w:ascii="Times New Roman" w:hAnsi="Times New Roman" w:cs="Times New Roman"/>
          <w:color w:val="auto"/>
        </w:rPr>
      </w:pPr>
      <w:r>
        <w:rPr>
          <w:rFonts w:ascii="Times New Roman" w:hAnsi="Times New Roman" w:cs="Times New Roman"/>
          <w:color w:val="auto"/>
        </w:rPr>
        <w:t>9.5</w:t>
      </w:r>
      <w:r>
        <w:rPr>
          <w:rFonts w:ascii="Times New Roman" w:hAnsi="Times New Roman" w:cs="Times New Roman"/>
          <w:color w:val="auto"/>
          <w:lang w:val="en-US"/>
        </w:rPr>
        <w:t xml:space="preserve"> </w:t>
      </w:r>
      <w:r>
        <w:rPr>
          <w:rFonts w:ascii="Times New Roman" w:hAnsi="Times New Roman" w:cs="Times New Roman"/>
          <w:color w:val="auto"/>
        </w:rPr>
        <w:t>异议和投诉</w:t>
      </w:r>
    </w:p>
    <w:p w14:paraId="587E1671">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9.5.1异议</w:t>
      </w:r>
    </w:p>
    <w:p w14:paraId="2E54CA36">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(1)潜在承包人对交易文件有异议的，应当在响应截止时间5日前以书面形式向发包人提出。发包人将在收到异议之日起2日内作出书面答复</w:t>
      </w:r>
      <w:r>
        <w:rPr>
          <w:rFonts w:hint="eastAsia" w:ascii="Times New Roman" w:hAnsi="Times New Roman" w:eastAsia="宋体" w:cs="Times New Roman"/>
          <w:color w:val="auto"/>
          <w:szCs w:val="24"/>
        </w:rPr>
        <w:t>；前附表另有规定的除外</w:t>
      </w:r>
      <w:r>
        <w:rPr>
          <w:rFonts w:ascii="Times New Roman" w:hAnsi="Times New Roman" w:eastAsia="宋体" w:cs="Times New Roman"/>
          <w:color w:val="auto"/>
          <w:szCs w:val="24"/>
        </w:rPr>
        <w:t>。</w:t>
      </w:r>
    </w:p>
    <w:p w14:paraId="5EF28A37">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(2)潜在承包人认为响应开启不符合有关规定的，应当在响应开启时提出异议。发包人将当场对异议给予处理或者告知处理的办法。异议和答复应记入响应记录或者制作专门记录以存档备查；</w:t>
      </w:r>
    </w:p>
    <w:p w14:paraId="4BFDD9E1">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(3)潜在承包人对评审结果有异议的，应当在成交候选人公示期内以书面形式向发包人提出。发包人应当在收到异议之日起3个工作日内作出书面答复。</w:t>
      </w:r>
    </w:p>
    <w:p w14:paraId="4A76505D">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9.5.2投诉</w:t>
      </w:r>
    </w:p>
    <w:p w14:paraId="17A743DA">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潜在承包人提起投诉前应当依据交易文件规定先向发包人提出异议，认为异议答复不满意的，可以自知道或者应当知道之日起10日内向交易公告的项目监督部门或监督机构提出投诉。异议答复期不计算在上述规定的期限内。投诉应当有明确的请求和必要的证明资料。上述时限最后一日如遇国家法定休假日的，顺延至法定休假日后的第一个工作日。</w:t>
      </w:r>
    </w:p>
    <w:p w14:paraId="6B5ABB43">
      <w:pPr>
        <w:pStyle w:val="4"/>
        <w:kinsoku/>
        <w:topLinePunct/>
        <w:spacing w:line="25" w:lineRule="atLeast"/>
        <w:rPr>
          <w:rFonts w:ascii="Times New Roman" w:hAnsi="Times New Roman" w:cs="Times New Roman"/>
          <w:color w:val="auto"/>
          <w:szCs w:val="24"/>
          <w14:textOutline w14:w="5448" w14:cap="flat" w14:cmpd="sng" w14:algn="ctr">
            <w14:solidFill>
              <w14:srgbClr w14:val="000000"/>
            </w14:solidFill>
            <w14:prstDash w14:val="solid"/>
            <w14:miter w14:val="0"/>
          </w14:textOutline>
        </w:rPr>
      </w:pPr>
      <w:r>
        <w:rPr>
          <w:rFonts w:ascii="Times New Roman" w:hAnsi="Times New Roman" w:cs="Times New Roman"/>
          <w:color w:val="auto"/>
          <w:szCs w:val="24"/>
          <w14:textOutline w14:w="5448" w14:cap="flat" w14:cmpd="sng" w14:algn="ctr">
            <w14:solidFill>
              <w14:srgbClr w14:val="000000"/>
            </w14:solidFill>
            <w14:prstDash w14:val="solid"/>
            <w14:miter w14:val="0"/>
          </w14:textOutline>
        </w:rPr>
        <w:t>10.在建合同工程</w:t>
      </w:r>
    </w:p>
    <w:p w14:paraId="666AC7F4">
      <w:pPr>
        <w:pStyle w:val="5"/>
        <w:kinsoku/>
        <w:topLinePunct/>
        <w:spacing w:line="25" w:lineRule="atLeast"/>
        <w:ind w:left="1102"/>
        <w:rPr>
          <w:rFonts w:ascii="Times New Roman" w:hAnsi="Times New Roman" w:cs="Times New Roman"/>
          <w:color w:val="auto"/>
        </w:rPr>
      </w:pPr>
      <w:r>
        <w:rPr>
          <w:rFonts w:ascii="Times New Roman" w:hAnsi="Times New Roman" w:cs="Times New Roman"/>
          <w:color w:val="auto"/>
        </w:rPr>
        <w:t>10.1</w:t>
      </w:r>
      <w:r>
        <w:rPr>
          <w:rFonts w:ascii="Times New Roman" w:hAnsi="Times New Roman" w:cs="Times New Roman"/>
          <w:color w:val="auto"/>
          <w:lang w:val="en-US"/>
        </w:rPr>
        <w:t xml:space="preserve"> </w:t>
      </w:r>
      <w:r>
        <w:rPr>
          <w:rFonts w:ascii="Times New Roman" w:hAnsi="Times New Roman" w:cs="Times New Roman"/>
          <w:color w:val="auto"/>
        </w:rPr>
        <w:t>对拟派项目负责人“有在建合同工程”的认定标准：</w:t>
      </w:r>
    </w:p>
    <w:p w14:paraId="37A0A6C5">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(1)拟派项目负责人在响应截止时间尚有在其他在建合同工程中担任项目负责人的情形为“有在建合同工程”。</w:t>
      </w:r>
    </w:p>
    <w:p w14:paraId="02CB9090">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(2)其他工程项目，包括在中华人民共和国境内所有建设工程，不受地域、行业和投资性质的限制。</w:t>
      </w:r>
    </w:p>
    <w:p w14:paraId="48739B87">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(3)在建合同工程的时间界定：在建合同工程的开始时间为合同工程成交 (成交) 通知书发出日期，不通过公开方式的则以合同签订日期为开始时间，结束时间为该合同工程验收合格或合同解除日期。</w:t>
      </w:r>
    </w:p>
    <w:p w14:paraId="20548058">
      <w:pPr>
        <w:pStyle w:val="5"/>
        <w:kinsoku/>
        <w:topLinePunct/>
        <w:spacing w:line="25" w:lineRule="atLeast"/>
        <w:ind w:left="1102"/>
        <w:rPr>
          <w:rFonts w:ascii="Times New Roman" w:hAnsi="Times New Roman" w:cs="Times New Roman"/>
          <w:color w:val="auto"/>
        </w:rPr>
      </w:pPr>
      <w:r>
        <w:rPr>
          <w:rFonts w:ascii="Times New Roman" w:hAnsi="Times New Roman" w:cs="Times New Roman"/>
          <w:color w:val="auto"/>
        </w:rPr>
        <w:t>10.2</w:t>
      </w:r>
      <w:r>
        <w:rPr>
          <w:rFonts w:ascii="Times New Roman" w:hAnsi="Times New Roman" w:cs="Times New Roman"/>
          <w:color w:val="auto"/>
          <w:lang w:val="en-US"/>
        </w:rPr>
        <w:t xml:space="preserve"> </w:t>
      </w:r>
      <w:r>
        <w:rPr>
          <w:rFonts w:ascii="Times New Roman" w:hAnsi="Times New Roman" w:cs="Times New Roman"/>
          <w:color w:val="auto"/>
        </w:rPr>
        <w:t>存在以下情形的视为“有在建合同工程”：</w:t>
      </w:r>
    </w:p>
    <w:p w14:paraId="2C968BBC">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(1)合同协议书尚未签订的，成交 (成交) 通知书中载明的项目负责人。</w:t>
      </w:r>
    </w:p>
    <w:p w14:paraId="49F70591">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(2)合同协议书已经签订，合同协议书中明确的项目负责人。</w:t>
      </w:r>
    </w:p>
    <w:p w14:paraId="24132A90">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(3)项目负责人发生更换的，以现任项目负责人视为有“在建合同工程”。</w:t>
      </w:r>
    </w:p>
    <w:p w14:paraId="5E357199">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(4)全国和浙江省建筑市场监管与诚信信息平台发布拟派项目负责人处于“锁定”状态且响应文件中未提交工程竣工验收材料或项目负责人变更材料的视为有“在建合同工程”。</w:t>
      </w:r>
    </w:p>
    <w:p w14:paraId="32D5144F">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(5)各级公共资源交易网站 (系统) 或行业主管部门网站 (系统) 发布的成交 (成交) 通知书或合同载明的项目负责人为拟派本项目的项目负责人且服务期限或工期包括了本项目的响应截止日期的，响应文件中未提交工程竣工验收材料或项目负责人变更材料的视为有“在建合同工程”。公共资源交易网站 (系统) 或行业主管部门网站 (系统) 可以查询到项目已竣工验收或项目负责人已变更的除外。</w:t>
      </w:r>
    </w:p>
    <w:p w14:paraId="52B7075E">
      <w:pPr>
        <w:pStyle w:val="5"/>
        <w:kinsoku/>
        <w:topLinePunct/>
        <w:spacing w:line="25" w:lineRule="atLeast"/>
        <w:ind w:left="12" w:leftChars="5" w:firstLine="198"/>
        <w:rPr>
          <w:rFonts w:ascii="Times New Roman" w:hAnsi="Times New Roman" w:cs="Times New Roman"/>
          <w:color w:val="auto"/>
        </w:rPr>
      </w:pPr>
      <w:r>
        <w:rPr>
          <w:rFonts w:ascii="Times New Roman" w:hAnsi="Times New Roman" w:cs="Times New Roman"/>
          <w:color w:val="auto"/>
        </w:rPr>
        <w:t>10.3在建项目的项目负责人 (包括在工程总承包项目中担任施工负责人或总负责人) 办理更换后，递交响应文件时需提供的资料：</w:t>
      </w:r>
    </w:p>
    <w:p w14:paraId="0B6F9C33">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(1)项目业主同意更换的证明。</w:t>
      </w:r>
    </w:p>
    <w:p w14:paraId="336465D2">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(2)原项目负责人在建项目信息有备案在建设主管部门的，应提供建设主管部门同意更换的证明或网上变更信息扫描件。</w:t>
      </w:r>
    </w:p>
    <w:p w14:paraId="332A057F">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(3)未提供有效证明材料的视作无变更，事后补充的变更证明材料均不予认可。</w:t>
      </w:r>
    </w:p>
    <w:p w14:paraId="24D10EE8">
      <w:pPr>
        <w:pStyle w:val="4"/>
        <w:kinsoku/>
        <w:topLinePunct/>
        <w:spacing w:line="25" w:lineRule="atLeast"/>
        <w:rPr>
          <w:rFonts w:ascii="Times New Roman" w:hAnsi="Times New Roman" w:cs="Times New Roman"/>
          <w:color w:val="auto"/>
          <w:szCs w:val="24"/>
          <w14:textOutline w14:w="5448" w14:cap="flat" w14:cmpd="sng" w14:algn="ctr">
            <w14:solidFill>
              <w14:srgbClr w14:val="000000"/>
            </w14:solidFill>
            <w14:prstDash w14:val="solid"/>
            <w14:miter w14:val="0"/>
          </w14:textOutline>
        </w:rPr>
      </w:pPr>
      <w:r>
        <w:rPr>
          <w:rFonts w:ascii="Times New Roman" w:hAnsi="Times New Roman" w:cs="Times New Roman"/>
          <w:color w:val="auto"/>
          <w:szCs w:val="24"/>
          <w14:textOutline w14:w="5448" w14:cap="flat" w14:cmpd="sng" w14:algn="ctr">
            <w14:solidFill>
              <w14:srgbClr w14:val="000000"/>
            </w14:solidFill>
            <w14:prstDash w14:val="solid"/>
            <w14:miter w14:val="0"/>
          </w14:textOutline>
        </w:rPr>
        <w:t>11.电子交易活动的中止</w:t>
      </w:r>
    </w:p>
    <w:p w14:paraId="2484D968">
      <w:pPr>
        <w:pStyle w:val="5"/>
        <w:kinsoku/>
        <w:topLinePunct/>
        <w:spacing w:line="25" w:lineRule="atLeast"/>
        <w:ind w:left="12" w:leftChars="5" w:firstLine="198"/>
        <w:rPr>
          <w:rFonts w:ascii="Times New Roman" w:hAnsi="Times New Roman" w:cs="Times New Roman"/>
          <w:color w:val="auto"/>
        </w:rPr>
      </w:pPr>
      <w:r>
        <w:rPr>
          <w:rFonts w:ascii="Times New Roman" w:hAnsi="Times New Roman" w:cs="Times New Roman"/>
          <w:color w:val="auto"/>
          <w:lang w:val="en-US"/>
        </w:rPr>
        <w:t xml:space="preserve">11.1 </w:t>
      </w:r>
      <w:r>
        <w:rPr>
          <w:rFonts w:ascii="Times New Roman" w:hAnsi="Times New Roman" w:cs="Times New Roman"/>
          <w:color w:val="auto"/>
        </w:rPr>
        <w:t>中止</w:t>
      </w:r>
    </w:p>
    <w:p w14:paraId="24C32C62">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发包过程中出现以下情形，导致电子交易平台无法正常运行，或者无法保证电子交易的公平、公正和安全时，发包人或代理机构可中止电子交易活动：</w:t>
      </w:r>
    </w:p>
    <w:p w14:paraId="19046651">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 xml:space="preserve">(1)电子交易平台发生故障而无法登录访问的； </w:t>
      </w:r>
    </w:p>
    <w:p w14:paraId="1BD38137">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(2)电子交易平台应用或数据库出现错误，不能进行正常操作的；</w:t>
      </w:r>
    </w:p>
    <w:p w14:paraId="7093C2B8">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(3)电子交易平台发现严重安全漏洞，有潜在泄密危险的；</w:t>
      </w:r>
    </w:p>
    <w:p w14:paraId="076E69EF">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 xml:space="preserve">(4)病毒发作导致不能进行正常操作的； </w:t>
      </w:r>
    </w:p>
    <w:p w14:paraId="1A30DD16">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(5)其他无法保证电子交易的公平、公正和安全的情况。</w:t>
      </w:r>
    </w:p>
    <w:p w14:paraId="6F7223D7">
      <w:pPr>
        <w:pStyle w:val="5"/>
        <w:kinsoku/>
        <w:topLinePunct/>
        <w:spacing w:line="25" w:lineRule="atLeast"/>
        <w:ind w:left="12" w:leftChars="5" w:firstLine="198"/>
        <w:rPr>
          <w:rFonts w:ascii="Times New Roman" w:hAnsi="Times New Roman" w:cs="Times New Roman"/>
          <w:color w:val="auto"/>
          <w:lang w:val="en-US"/>
        </w:rPr>
      </w:pPr>
      <w:r>
        <w:rPr>
          <w:rFonts w:ascii="Times New Roman" w:hAnsi="Times New Roman" w:cs="Times New Roman"/>
          <w:color w:val="auto"/>
          <w:lang w:val="en-US"/>
        </w:rPr>
        <w:t xml:space="preserve">11.2 </w:t>
      </w:r>
      <w:r>
        <w:rPr>
          <w:rFonts w:ascii="Times New Roman" w:hAnsi="Times New Roman" w:cs="Times New Roman"/>
          <w:color w:val="auto"/>
        </w:rPr>
        <w:t>中止后处置</w:t>
      </w:r>
    </w:p>
    <w:p w14:paraId="6B40FD05">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出现以上情形，不影响交易公平、公正性的，发包人或代理机构可以待上述情形消除后继续组织电子交易活动，也可以决定某些环节以纸质形式进行；影响或可能影响交易公平、公正性的，应当重新组织交易。</w:t>
      </w:r>
    </w:p>
    <w:p w14:paraId="40C6DACE">
      <w:pPr>
        <w:pStyle w:val="4"/>
        <w:kinsoku/>
        <w:topLinePunct/>
        <w:spacing w:line="25" w:lineRule="atLeast"/>
        <w:rPr>
          <w:rFonts w:ascii="Times New Roman" w:hAnsi="Times New Roman" w:cs="Times New Roman"/>
          <w:color w:val="auto"/>
          <w:szCs w:val="24"/>
        </w:rPr>
      </w:pPr>
      <w:r>
        <w:rPr>
          <w:rFonts w:ascii="Times New Roman" w:hAnsi="Times New Roman" w:cs="Times New Roman"/>
          <w:color w:val="auto"/>
          <w:szCs w:val="24"/>
          <w14:textOutline w14:w="5448" w14:cap="flat" w14:cmpd="sng" w14:algn="ctr">
            <w14:solidFill>
              <w14:srgbClr w14:val="000000"/>
            </w14:solidFill>
            <w14:prstDash w14:val="solid"/>
            <w14:miter w14:val="0"/>
          </w14:textOutline>
        </w:rPr>
        <w:t>12.特殊说明</w:t>
      </w:r>
    </w:p>
    <w:p w14:paraId="7D8BA2A1">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见交易须知前附表。</w:t>
      </w:r>
    </w:p>
    <w:p w14:paraId="03AC22D3">
      <w:pPr>
        <w:pStyle w:val="3"/>
        <w:kinsoku/>
        <w:topLinePunct/>
        <w:spacing w:line="25" w:lineRule="atLeast"/>
        <w:rPr>
          <w:rFonts w:ascii="Times New Roman" w:hAnsi="Times New Roman" w:cs="Times New Roman"/>
          <w:color w:val="auto"/>
        </w:rPr>
        <w:sectPr>
          <w:footerReference r:id="rId11" w:type="default"/>
          <w:pgSz w:w="11906" w:h="16838"/>
          <w:pgMar w:top="1440" w:right="1083" w:bottom="1440" w:left="1083" w:header="850" w:footer="850" w:gutter="0"/>
          <w:cols w:space="0" w:num="1"/>
        </w:sectPr>
      </w:pPr>
    </w:p>
    <w:p w14:paraId="6486787A">
      <w:pPr>
        <w:pStyle w:val="2"/>
        <w:kinsoku/>
        <w:topLinePunct/>
        <w:rPr>
          <w:rFonts w:ascii="Times New Roman" w:hAnsi="Times New Roman" w:cs="Times New Roman"/>
          <w:b w:val="0"/>
          <w:bCs w:val="0"/>
          <w:color w:val="auto"/>
        </w:rPr>
      </w:pPr>
      <w:r>
        <w:rPr>
          <w:rFonts w:ascii="Times New Roman" w:hAnsi="Times New Roman" w:cs="Times New Roman"/>
          <w:b w:val="0"/>
          <w:bCs w:val="0"/>
          <w:color w:val="auto"/>
          <w:spacing w:val="-6"/>
          <w14:textOutline w14:w="8712" w14:cap="flat" w14:cmpd="sng" w14:algn="ctr">
            <w14:solidFill>
              <w14:srgbClr w14:val="000000"/>
            </w14:solidFill>
            <w14:prstDash w14:val="solid"/>
            <w14:miter w14:val="0"/>
          </w14:textOutline>
        </w:rPr>
        <w:t>第三章</w:t>
      </w:r>
      <w:r>
        <w:rPr>
          <w:rFonts w:ascii="Times New Roman" w:hAnsi="Times New Roman" w:cs="Times New Roman"/>
          <w:b w:val="0"/>
          <w:bCs w:val="0"/>
          <w:color w:val="auto"/>
          <w:spacing w:val="-5"/>
        </w:rPr>
        <w:t xml:space="preserve"> </w:t>
      </w:r>
      <w:r>
        <w:rPr>
          <w:rFonts w:ascii="Times New Roman" w:hAnsi="Times New Roman" w:cs="Times New Roman"/>
          <w:b w:val="0"/>
          <w:bCs w:val="0"/>
          <w:color w:val="auto"/>
          <w:spacing w:val="-5"/>
          <w14:textOutline w14:w="8712" w14:cap="flat" w14:cmpd="sng" w14:algn="ctr">
            <w14:solidFill>
              <w14:srgbClr w14:val="000000"/>
            </w14:solidFill>
            <w14:prstDash w14:val="solid"/>
            <w14:miter w14:val="0"/>
          </w14:textOutline>
        </w:rPr>
        <w:t>评审办法</w:t>
      </w:r>
    </w:p>
    <w:p w14:paraId="40A8840D">
      <w:pPr>
        <w:kinsoku/>
        <w:rPr>
          <w:rFonts w:ascii="Times New Roman" w:hAnsi="Times New Roman" w:eastAsia="仿宋" w:cs="Times New Roman"/>
          <w:color w:val="auto"/>
          <w:spacing w:val="-15"/>
          <w:position w:val="21"/>
          <w:sz w:val="30"/>
          <w:szCs w:val="30"/>
        </w:rPr>
      </w:pPr>
      <w:r>
        <w:rPr>
          <w:rFonts w:hint="eastAsia" w:ascii="Times New Roman" w:hAnsi="Times New Roman" w:eastAsia="宋体" w:cs="Times New Roman"/>
          <w:color w:val="auto"/>
          <w:spacing w:val="-15"/>
          <w:position w:val="21"/>
          <w:sz w:val="30"/>
          <w:szCs w:val="30"/>
          <w:shd w:val="pct15" w:color="auto" w:fill="FFFFFF"/>
        </w:rPr>
        <w:t>■</w:t>
      </w:r>
      <w:r>
        <w:rPr>
          <w:rFonts w:ascii="Times New Roman" w:hAnsi="Times New Roman" w:eastAsia="宋体" w:cs="Times New Roman"/>
          <w:color w:val="auto"/>
          <w:spacing w:val="-15"/>
          <w:position w:val="21"/>
          <w:sz w:val="30"/>
          <w:szCs w:val="30"/>
          <w:shd w:val="pct15" w:color="auto" w:fill="FFFFFF"/>
        </w:rPr>
        <w:t>评审办法二</w:t>
      </w:r>
    </w:p>
    <w:p w14:paraId="50E22A9F">
      <w:pPr>
        <w:pStyle w:val="3"/>
        <w:kinsoku/>
        <w:topLinePunct/>
        <w:rPr>
          <w:rFonts w:ascii="Times New Roman" w:hAnsi="Times New Roman" w:cs="Times New Roman"/>
          <w:color w:val="auto"/>
        </w:rPr>
      </w:pPr>
      <w:r>
        <w:rPr>
          <w:rFonts w:ascii="Times New Roman" w:hAnsi="Times New Roman" w:cs="Times New Roman"/>
          <w:color w:val="auto"/>
        </w:rPr>
        <w:t>合理低价法</w:t>
      </w:r>
    </w:p>
    <w:p w14:paraId="13C6D21B">
      <w:pPr>
        <w:kinsoku/>
        <w:topLinePunct/>
        <w:snapToGrid/>
        <w:ind w:right="89"/>
        <w:rPr>
          <w:rFonts w:ascii="Times New Roman" w:hAnsi="Times New Roman" w:eastAsia="宋体" w:cs="Times New Roman"/>
          <w:color w:val="auto"/>
          <w:spacing w:val="5"/>
          <w:szCs w:val="24"/>
        </w:rPr>
      </w:pPr>
    </w:p>
    <w:p w14:paraId="27FB10DA">
      <w:pPr>
        <w:kinsoku/>
        <w:topLinePunct/>
        <w:snapToGrid/>
        <w:spacing w:line="400" w:lineRule="exact"/>
        <w:ind w:firstLine="480" w:firstLineChars="200"/>
        <w:rPr>
          <w:rFonts w:ascii="Times New Roman" w:hAnsi="Times New Roman" w:eastAsia="宋体" w:cs="Times New Roman"/>
          <w:color w:val="auto"/>
          <w:szCs w:val="24"/>
        </w:rPr>
      </w:pPr>
      <w:r>
        <w:rPr>
          <w:rFonts w:ascii="Times New Roman" w:hAnsi="Times New Roman" w:eastAsia="宋体" w:cs="Times New Roman"/>
          <w:snapToGrid/>
          <w:color w:val="auto"/>
          <w:szCs w:val="24"/>
          <w14:textOutline w14:w="4356" w14:cap="flat" w14:cmpd="sng" w14:algn="ctr">
            <w14:solidFill>
              <w14:srgbClr w14:val="000000"/>
            </w14:solidFill>
            <w14:prstDash w14:val="solid"/>
            <w14:miter w14:val="0"/>
          </w14:textOutline>
        </w:rPr>
        <w:t>一、</w:t>
      </w:r>
      <w:r>
        <w:rPr>
          <w:rFonts w:ascii="Times New Roman" w:hAnsi="Times New Roman" w:cs="Times New Roman"/>
          <w:snapToGrid/>
          <w:color w:val="auto"/>
          <w:szCs w:val="24"/>
          <w14:textOutline w14:w="4356" w14:cap="flat" w14:cmpd="sng" w14:algn="ctr">
            <w14:solidFill>
              <w14:srgbClr w14:val="000000"/>
            </w14:solidFill>
            <w14:prstDash w14:val="solid"/>
            <w14:miter w14:val="0"/>
          </w14:textOutline>
        </w:rPr>
        <w:t>智能评审</w:t>
      </w:r>
      <w:r>
        <w:rPr>
          <w:rFonts w:ascii="Times New Roman" w:hAnsi="Times New Roman" w:eastAsia="宋体" w:cs="Times New Roman"/>
          <w:snapToGrid/>
          <w:color w:val="auto"/>
          <w:szCs w:val="24"/>
          <w14:textOutline w14:w="4356" w14:cap="flat" w14:cmpd="sng" w14:algn="ctr">
            <w14:solidFill>
              <w14:srgbClr w14:val="000000"/>
            </w14:solidFill>
            <w14:prstDash w14:val="solid"/>
            <w14:miter w14:val="0"/>
          </w14:textOutline>
        </w:rPr>
        <w:t>程序</w:t>
      </w:r>
    </w:p>
    <w:p w14:paraId="0D6242B4">
      <w:pPr>
        <w:kinsoku/>
        <w:topLinePunct/>
        <w:snapToGrid/>
        <w:spacing w:line="400" w:lineRule="exac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(一)初步审查</w:t>
      </w:r>
    </w:p>
    <w:p w14:paraId="7E799EC5">
      <w:pPr>
        <w:kinsoku/>
        <w:topLinePunct/>
        <w:snapToGrid/>
        <w:spacing w:line="400" w:lineRule="exac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(二)确定评审区间和合理最低价</w:t>
      </w:r>
    </w:p>
    <w:p w14:paraId="3C1D8381">
      <w:pPr>
        <w:kinsoku/>
        <w:topLinePunct/>
        <w:snapToGrid/>
        <w:spacing w:line="400" w:lineRule="exac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(三)推荐成交候选人</w:t>
      </w:r>
    </w:p>
    <w:p w14:paraId="3AF8933C">
      <w:pPr>
        <w:kinsoku/>
        <w:topLinePunct/>
        <w:snapToGrid/>
        <w:spacing w:line="400" w:lineRule="exac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(四)符合性审查</w:t>
      </w:r>
    </w:p>
    <w:p w14:paraId="6B2EA519">
      <w:pPr>
        <w:kinsoku/>
        <w:topLinePunct/>
        <w:snapToGrid/>
        <w:spacing w:line="400" w:lineRule="exact"/>
        <w:ind w:firstLine="480" w:firstLineChars="200"/>
        <w:rPr>
          <w:rFonts w:ascii="Times New Roman" w:hAnsi="Times New Roman" w:eastAsia="宋体" w:cs="Times New Roman"/>
          <w:snapToGrid/>
          <w:color w:val="auto"/>
          <w:szCs w:val="24"/>
          <w14:textOutline w14:w="4356" w14:cap="flat" w14:cmpd="sng" w14:algn="ctr">
            <w14:solidFill>
              <w14:srgbClr w14:val="000000"/>
            </w14:solidFill>
            <w14:prstDash w14:val="solid"/>
            <w14:miter w14:val="0"/>
          </w14:textOutline>
        </w:rPr>
      </w:pPr>
      <w:r>
        <w:rPr>
          <w:rFonts w:ascii="Times New Roman" w:hAnsi="Times New Roman" w:eastAsia="宋体" w:cs="Times New Roman"/>
          <w:snapToGrid/>
          <w:color w:val="auto"/>
          <w:szCs w:val="24"/>
          <w14:textOutline w14:w="4356" w14:cap="flat" w14:cmpd="sng" w14:algn="ctr">
            <w14:solidFill>
              <w14:srgbClr w14:val="000000"/>
            </w14:solidFill>
            <w14:prstDash w14:val="solid"/>
            <w14:miter w14:val="0"/>
          </w14:textOutline>
        </w:rPr>
        <w:t>二、具体步骤</w:t>
      </w:r>
    </w:p>
    <w:p w14:paraId="63E28C90">
      <w:pPr>
        <w:kinsoku/>
        <w:topLinePunct/>
        <w:spacing w:line="400" w:lineRule="exact"/>
        <w:ind w:firstLine="482" w:firstLineChars="200"/>
        <w:rPr>
          <w:rFonts w:ascii="Times New Roman" w:hAnsi="Times New Roman" w:eastAsia="宋体" w:cs="Times New Roman"/>
          <w:b/>
          <w:bCs/>
          <w:color w:val="auto"/>
          <w:szCs w:val="24"/>
        </w:rPr>
      </w:pPr>
      <w:r>
        <w:rPr>
          <w:rFonts w:ascii="Times New Roman" w:hAnsi="Times New Roman" w:eastAsia="宋体" w:cs="Times New Roman"/>
          <w:b/>
          <w:bCs/>
          <w:color w:val="auto"/>
          <w:szCs w:val="24"/>
        </w:rPr>
        <w:t>(一)初步审查（系统</w:t>
      </w:r>
      <w:r>
        <w:rPr>
          <w:rFonts w:hint="eastAsia" w:ascii="Times New Roman" w:hAnsi="Times New Roman" w:eastAsia="宋体" w:cs="Times New Roman"/>
          <w:b/>
          <w:bCs/>
          <w:color w:val="auto"/>
          <w:szCs w:val="24"/>
        </w:rPr>
        <w:t>辅助</w:t>
      </w:r>
      <w:r>
        <w:rPr>
          <w:rFonts w:ascii="Times New Roman" w:hAnsi="Times New Roman" w:eastAsia="宋体" w:cs="Times New Roman"/>
          <w:b/>
          <w:bCs/>
          <w:color w:val="auto"/>
          <w:szCs w:val="24"/>
        </w:rPr>
        <w:t>审查）</w:t>
      </w:r>
    </w:p>
    <w:p w14:paraId="3A7B53B1">
      <w:pPr>
        <w:kinsoku/>
        <w:wordWrap w:val="0"/>
        <w:topLinePunct/>
        <w:autoSpaceDE/>
        <w:autoSpaceDN/>
        <w:adjustRightInd/>
        <w:snapToGrid/>
        <w:spacing w:line="400" w:lineRule="exac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1.潜在承包人存在以下情形之一的，初步审查不予通过，否决其响应文件，不再进入后续的评审程序：</w:t>
      </w:r>
    </w:p>
    <w:p w14:paraId="281DD66F">
      <w:pPr>
        <w:kinsoku/>
        <w:wordWrap w:val="0"/>
        <w:topLinePunct/>
        <w:autoSpaceDE/>
        <w:autoSpaceDN/>
        <w:adjustRightInd/>
        <w:snapToGrid/>
        <w:spacing w:line="400" w:lineRule="exac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(1)总报价高于最高限价的；</w:t>
      </w:r>
    </w:p>
    <w:p w14:paraId="7DFC9B87">
      <w:pPr>
        <w:kinsoku/>
        <w:wordWrap w:val="0"/>
        <w:topLinePunct/>
        <w:autoSpaceDE/>
        <w:autoSpaceDN/>
        <w:adjustRightInd/>
        <w:snapToGrid/>
        <w:spacing w:line="400" w:lineRule="exac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(2)不同潜在承包人的响应文件检测码相同的；</w:t>
      </w:r>
    </w:p>
    <w:p w14:paraId="763F3EB8">
      <w:pPr>
        <w:kinsoku/>
        <w:wordWrap w:val="0"/>
        <w:topLinePunct/>
        <w:autoSpaceDE/>
        <w:autoSpaceDN/>
        <w:adjustRightInd/>
        <w:snapToGrid/>
        <w:spacing w:line="400" w:lineRule="exac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(3)企业资质不符合项目要求的（以招必得交易系统</w:t>
      </w:r>
      <w:r>
        <w:rPr>
          <w:rFonts w:hint="eastAsia" w:ascii="Times New Roman" w:hAnsi="Times New Roman" w:eastAsia="宋体" w:cs="Times New Roman"/>
          <w:color w:val="auto"/>
          <w:szCs w:val="24"/>
        </w:rPr>
        <w:t>“企业用户中心-资质库”内</w:t>
      </w:r>
      <w:r>
        <w:rPr>
          <w:rFonts w:ascii="Times New Roman" w:hAnsi="Times New Roman" w:eastAsia="宋体" w:cs="Times New Roman"/>
          <w:color w:val="auto"/>
          <w:szCs w:val="24"/>
        </w:rPr>
        <w:t>维护数据为准）；</w:t>
      </w:r>
    </w:p>
    <w:p w14:paraId="77988B69">
      <w:pPr>
        <w:kinsoku/>
        <w:wordWrap w:val="0"/>
        <w:topLinePunct/>
        <w:autoSpaceDE/>
        <w:autoSpaceDN/>
        <w:adjustRightInd/>
        <w:snapToGrid/>
        <w:spacing w:line="400" w:lineRule="exac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(4)潜在承包人不以自己的名义或未按照</w:t>
      </w:r>
      <w:r>
        <w:rPr>
          <w:rFonts w:hint="eastAsia" w:ascii="Times New Roman" w:hAnsi="Times New Roman" w:eastAsia="宋体" w:cs="Times New Roman"/>
          <w:color w:val="auto"/>
          <w:szCs w:val="24"/>
        </w:rPr>
        <w:t>交易</w:t>
      </w:r>
      <w:r>
        <w:rPr>
          <w:rFonts w:ascii="Times New Roman" w:hAnsi="Times New Roman" w:eastAsia="宋体" w:cs="Times New Roman"/>
          <w:color w:val="auto"/>
          <w:szCs w:val="24"/>
        </w:rPr>
        <w:t>文件的要求提供交易保证金（含以保证保</w:t>
      </w:r>
      <w:r>
        <w:rPr>
          <w:rFonts w:hint="eastAsia" w:ascii="Times New Roman" w:hAnsi="Times New Roman" w:eastAsia="宋体" w:cs="Times New Roman"/>
          <w:color w:val="auto"/>
          <w:szCs w:val="24"/>
        </w:rPr>
        <w:t>险</w:t>
      </w:r>
      <w:r>
        <w:rPr>
          <w:rFonts w:ascii="Times New Roman" w:hAnsi="Times New Roman" w:eastAsia="宋体" w:cs="Times New Roman"/>
          <w:color w:val="auto"/>
          <w:szCs w:val="24"/>
        </w:rPr>
        <w:t>形式提交的交易担保但未按交易文件要求提供）；</w:t>
      </w:r>
    </w:p>
    <w:p w14:paraId="7AB3D555">
      <w:pPr>
        <w:pStyle w:val="7"/>
        <w:tabs>
          <w:tab w:val="left" w:pos="1343"/>
          <w:tab w:val="left" w:pos="2697"/>
          <w:tab w:val="left" w:pos="3264"/>
          <w:tab w:val="left" w:pos="4896"/>
          <w:tab w:val="left" w:pos="6005"/>
          <w:tab w:val="left" w:pos="7085"/>
          <w:tab w:val="left" w:pos="7498"/>
        </w:tabs>
        <w:kinsoku/>
        <w:wordWrap w:val="0"/>
        <w:autoSpaceDE/>
        <w:autoSpaceDN/>
        <w:adjustRightInd/>
        <w:snapToGrid/>
        <w:spacing w:line="400" w:lineRule="exact"/>
        <w:ind w:left="0" w:firstLine="480" w:firstLineChars="200"/>
        <w:jc w:val="both"/>
        <w:rPr>
          <w:rFonts w:eastAsia="宋体" w:cs="Times New Roman"/>
          <w:color w:val="auto"/>
          <w:szCs w:val="24"/>
        </w:rPr>
      </w:pPr>
      <w:r>
        <w:rPr>
          <w:rFonts w:eastAsia="宋体" w:cs="Times New Roman"/>
          <w:color w:val="auto"/>
          <w:szCs w:val="24"/>
        </w:rPr>
        <w:t>(5)潜在承包人经城投集团认定存在不良信用行为而限制交易且在交易暂停期内。</w:t>
      </w:r>
    </w:p>
    <w:p w14:paraId="13BA23FA">
      <w:pPr>
        <w:widowControl w:val="0"/>
        <w:kinsoku/>
        <w:wordWrap w:val="0"/>
        <w:topLinePunct/>
        <w:autoSpaceDE/>
        <w:autoSpaceDN/>
        <w:adjustRightInd/>
        <w:snapToGrid/>
        <w:spacing w:line="400" w:lineRule="exac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2.公开竞标：有效响应文件少于3家时，应否决全部响应文件，发包人应分析失败原因并重新组织交易。</w:t>
      </w:r>
    </w:p>
    <w:p w14:paraId="57A4E17B">
      <w:pPr>
        <w:widowControl w:val="0"/>
        <w:kinsoku/>
        <w:wordWrap w:val="0"/>
        <w:topLinePunct/>
        <w:autoSpaceDE/>
        <w:autoSpaceDN/>
        <w:adjustRightInd/>
        <w:snapToGrid/>
        <w:spacing w:line="400" w:lineRule="exac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邀请竞标：通过初步审查的有效响应文件少于3家时，应否决全部响应文件，分析失败原因并重新组织交易。原公开竞标项目因有效</w:t>
      </w:r>
      <w:r>
        <w:rPr>
          <w:rFonts w:hint="eastAsia" w:ascii="Times New Roman" w:hAnsi="Times New Roman" w:eastAsia="宋体" w:cs="Times New Roman"/>
          <w:color w:val="auto"/>
          <w:szCs w:val="24"/>
        </w:rPr>
        <w:t>响应</w:t>
      </w:r>
      <w:r>
        <w:rPr>
          <w:rFonts w:ascii="Times New Roman" w:hAnsi="Times New Roman" w:eastAsia="宋体" w:cs="Times New Roman"/>
          <w:color w:val="auto"/>
          <w:szCs w:val="24"/>
        </w:rPr>
        <w:t>不足三家，发包人重新组织再次竞标仍不足三家的且专家审查认为交易文件没有倾向性或歧视性条款而转为邀请竞标的，有效响应文件不少于2家时可继续开启响应文件。</w:t>
      </w:r>
    </w:p>
    <w:p w14:paraId="373AC3EF">
      <w:pPr>
        <w:kinsoku/>
        <w:topLinePunct/>
        <w:spacing w:line="400" w:lineRule="exact"/>
        <w:ind w:firstLine="482" w:firstLineChars="200"/>
        <w:rPr>
          <w:rFonts w:ascii="Times New Roman" w:hAnsi="Times New Roman" w:eastAsia="宋体" w:cs="Times New Roman"/>
          <w:b/>
          <w:bCs/>
          <w:color w:val="auto"/>
          <w:szCs w:val="24"/>
        </w:rPr>
      </w:pPr>
      <w:r>
        <w:rPr>
          <w:rFonts w:ascii="Times New Roman" w:hAnsi="Times New Roman" w:eastAsia="宋体" w:cs="Times New Roman"/>
          <w:b/>
          <w:bCs/>
          <w:color w:val="auto"/>
          <w:szCs w:val="24"/>
        </w:rPr>
        <w:t>(二)确定评审区间和合理最低价</w:t>
      </w:r>
    </w:p>
    <w:p w14:paraId="3AAE4190">
      <w:pPr>
        <w:kinsoku/>
        <w:topLinePunct/>
        <w:snapToGrid/>
        <w:spacing w:line="400" w:lineRule="exac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1.确定评审区间</w:t>
      </w:r>
    </w:p>
    <w:p w14:paraId="5F52182E">
      <w:pPr>
        <w:kinsoku/>
        <w:topLinePunct/>
        <w:snapToGrid/>
        <w:spacing w:line="400" w:lineRule="exact"/>
        <w:ind w:firstLine="480" w:firstLineChars="200"/>
        <w:rPr>
          <w:rFonts w:ascii="Times New Roman" w:hAnsi="Times New Roman" w:cs="Times New Roman"/>
          <w:color w:val="auto"/>
        </w:rPr>
      </w:pPr>
      <w:r>
        <w:rPr>
          <w:rFonts w:ascii="Times New Roman" w:hAnsi="Times New Roman" w:eastAsia="宋体" w:cs="Times New Roman"/>
          <w:color w:val="auto"/>
          <w:szCs w:val="24"/>
        </w:rPr>
        <w:t>所有通过初步审查的潜在承包人的报价等于或低于最高限价的为有效响应报价。</w:t>
      </w:r>
    </w:p>
    <w:p w14:paraId="1B8124EC">
      <w:pPr>
        <w:kinsoku/>
        <w:topLinePunct/>
        <w:snapToGrid/>
        <w:spacing w:line="400" w:lineRule="exac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2.确定合理最低价</w:t>
      </w:r>
    </w:p>
    <w:p w14:paraId="4613E631">
      <w:pPr>
        <w:kinsoku/>
        <w:topLinePunct/>
        <w:snapToGrid/>
        <w:spacing w:line="400" w:lineRule="exac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(1)计算一次算术平均值：所有有效响应报价进行算术平均，得到一次算术平均值。</w:t>
      </w:r>
    </w:p>
    <w:p w14:paraId="0D4539D6">
      <w:pPr>
        <w:kinsoku/>
        <w:topLinePunct/>
        <w:snapToGrid/>
        <w:spacing w:line="400" w:lineRule="exac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(2)下浮系数(K值)：由发包人或代理机构在响应文件开启环节现场随机抽取，抽取区间为8%~12%，抽取间隔为0.5%且均匀分布。</w:t>
      </w:r>
    </w:p>
    <w:p w14:paraId="6D9326C1">
      <w:pPr>
        <w:kinsoku/>
        <w:topLinePunct/>
        <w:snapToGrid/>
        <w:spacing w:line="400" w:lineRule="exac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(3)确定合理最低价：合理最低价=一次算术平均值*(1-下浮系数)若响应报价低于合理最低价，则不进入下一步评审。</w:t>
      </w:r>
    </w:p>
    <w:p w14:paraId="18AF0FC8">
      <w:pPr>
        <w:kinsoku/>
        <w:topLinePunct/>
        <w:snapToGrid/>
        <w:spacing w:line="400" w:lineRule="exact"/>
        <w:ind w:firstLine="480" w:firstLineChars="200"/>
        <w:rPr>
          <w:rFonts w:ascii="Times New Roman" w:hAnsi="Times New Roman" w:eastAsia="宋体" w:cs="Times New Roman"/>
          <w:color w:val="auto"/>
          <w:szCs w:val="24"/>
          <w14:textOutline w14:w="5448" w14:cap="flat" w14:cmpd="sng" w14:algn="ctr">
            <w14:solidFill>
              <w14:srgbClr w14:val="000000"/>
            </w14:solidFill>
            <w14:prstDash w14:val="solid"/>
            <w14:miter w14:val="0"/>
          </w14:textOutline>
        </w:rPr>
      </w:pPr>
      <w:r>
        <w:rPr>
          <w:rFonts w:ascii="Times New Roman" w:hAnsi="Times New Roman" w:eastAsia="宋体" w:cs="Times New Roman"/>
          <w:color w:val="auto"/>
          <w:szCs w:val="24"/>
        </w:rPr>
        <w:t>(4)计算二次算术平均值：将通过第3步的剩余有效响应报价进行算术平均，得到二次算术平均值。</w:t>
      </w:r>
    </w:p>
    <w:p w14:paraId="2BD237BD">
      <w:pPr>
        <w:kinsoku/>
        <w:topLinePunct/>
        <w:spacing w:line="400" w:lineRule="exact"/>
        <w:ind w:firstLine="482" w:firstLineChars="200"/>
        <w:rPr>
          <w:rFonts w:ascii="Times New Roman" w:hAnsi="Times New Roman" w:eastAsia="宋体" w:cs="Times New Roman"/>
          <w:b/>
          <w:bCs/>
          <w:color w:val="auto"/>
          <w:szCs w:val="24"/>
        </w:rPr>
      </w:pPr>
      <w:r>
        <w:rPr>
          <w:rFonts w:ascii="Times New Roman" w:hAnsi="Times New Roman" w:eastAsia="宋体" w:cs="Times New Roman"/>
          <w:b/>
          <w:bCs/>
          <w:color w:val="auto"/>
          <w:szCs w:val="24"/>
        </w:rPr>
        <w:t>(三)推荐成交候选人</w:t>
      </w:r>
    </w:p>
    <w:p w14:paraId="6F7E1704">
      <w:pPr>
        <w:kinsoku/>
        <w:spacing w:line="400" w:lineRule="exact"/>
        <w:ind w:firstLine="480" w:firstLineChars="200"/>
        <w:textAlignment w:val="auto"/>
        <w:rPr>
          <w:rFonts w:ascii="Times New Roman" w:hAnsi="Times New Roman" w:eastAsia="宋体" w:cs="Times New Roman"/>
          <w:color w:val="auto"/>
          <w:szCs w:val="30"/>
        </w:rPr>
      </w:pPr>
      <w:r>
        <w:rPr>
          <w:rFonts w:ascii="Times New Roman" w:hAnsi="Times New Roman" w:eastAsia="宋体" w:cs="Times New Roman"/>
          <w:color w:val="auto"/>
        </w:rPr>
        <w:t>按对响应报价等于或低于且最接近二次算术平均值的潜在承包人依次排序推荐为成交候选人。如存在报价相同的情况，随机抽取产生第一成交候选人。</w:t>
      </w:r>
    </w:p>
    <w:p w14:paraId="77421462">
      <w:pPr>
        <w:kinsoku/>
        <w:topLinePunct/>
        <w:spacing w:line="400" w:lineRule="exact"/>
        <w:ind w:firstLine="482" w:firstLineChars="200"/>
        <w:rPr>
          <w:rFonts w:ascii="Times New Roman" w:hAnsi="Times New Roman" w:eastAsia="宋体" w:cs="Times New Roman"/>
          <w:b/>
          <w:bCs/>
          <w:color w:val="auto"/>
          <w:szCs w:val="24"/>
        </w:rPr>
      </w:pPr>
      <w:r>
        <w:rPr>
          <w:rFonts w:ascii="Times New Roman" w:hAnsi="Times New Roman" w:eastAsia="宋体" w:cs="Times New Roman"/>
          <w:b/>
          <w:bCs/>
          <w:color w:val="auto"/>
          <w:szCs w:val="24"/>
        </w:rPr>
        <w:t>(四)符合性审查</w:t>
      </w:r>
    </w:p>
    <w:p w14:paraId="1EC08A98">
      <w:pPr>
        <w:kinsoku/>
        <w:wordWrap w:val="0"/>
        <w:topLinePunct/>
        <w:autoSpaceDE/>
        <w:autoSpaceDN/>
        <w:adjustRightInd/>
        <w:snapToGrid/>
        <w:spacing w:line="400" w:lineRule="exac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由发包人负责对成交候选人进行符合性审查。成交候选人存在以下情形之一的，符合性审查不予通过，取消成交候选人资格，并依序递补：</w:t>
      </w:r>
    </w:p>
    <w:p w14:paraId="5941FE8D">
      <w:pPr>
        <w:widowControl w:val="0"/>
        <w:numPr>
          <w:ilvl w:val="0"/>
          <w:numId w:val="9"/>
        </w:numPr>
        <w:kinsoku/>
        <w:wordWrap w:val="0"/>
        <w:topLinePunct/>
        <w:autoSpaceDE/>
        <w:autoSpaceDN/>
        <w:adjustRightInd/>
        <w:snapToGrid/>
        <w:spacing w:line="400" w:lineRule="exact"/>
        <w:ind w:left="0"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响应报价显著偏离市场价，或措施方案（若有）与相应报价不匹配，而潜在承包人拒绝按要求提供报价分析说明和证明材料的；</w:t>
      </w:r>
    </w:p>
    <w:p w14:paraId="33D73A37">
      <w:pPr>
        <w:widowControl w:val="0"/>
        <w:numPr>
          <w:ilvl w:val="0"/>
          <w:numId w:val="9"/>
        </w:numPr>
        <w:kinsoku/>
        <w:wordWrap w:val="0"/>
        <w:topLinePunct/>
        <w:autoSpaceDE/>
        <w:autoSpaceDN/>
        <w:adjustRightInd/>
        <w:snapToGrid/>
        <w:spacing w:line="400" w:lineRule="exact"/>
        <w:ind w:left="0"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未按照交易文件要求提供与资格条件相应的有效资格证明材料的，或资格证明材料不满足交易公告载明的企业资质、项目负责人、业绩条件要求的；</w:t>
      </w:r>
    </w:p>
    <w:p w14:paraId="181F15E8">
      <w:pPr>
        <w:widowControl w:val="0"/>
        <w:numPr>
          <w:ilvl w:val="0"/>
          <w:numId w:val="9"/>
        </w:numPr>
        <w:kinsoku/>
        <w:wordWrap w:val="0"/>
        <w:topLinePunct/>
        <w:autoSpaceDE/>
        <w:autoSpaceDN/>
        <w:adjustRightInd/>
        <w:snapToGrid/>
        <w:spacing w:line="400" w:lineRule="exact"/>
        <w:ind w:left="0"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lang w:val="zh-CN"/>
        </w:rPr>
        <w:t>响应</w:t>
      </w:r>
      <w:r>
        <w:rPr>
          <w:rFonts w:ascii="Times New Roman" w:hAnsi="Times New Roman" w:eastAsia="宋体" w:cs="Times New Roman"/>
          <w:color w:val="auto"/>
          <w:szCs w:val="24"/>
        </w:rPr>
        <w:t>文件未按交易文件规定的格式填写，或关键内容缺失的；</w:t>
      </w:r>
    </w:p>
    <w:p w14:paraId="559190D6">
      <w:pPr>
        <w:widowControl w:val="0"/>
        <w:numPr>
          <w:ilvl w:val="0"/>
          <w:numId w:val="9"/>
        </w:numPr>
        <w:kinsoku/>
        <w:wordWrap w:val="0"/>
        <w:topLinePunct/>
        <w:autoSpaceDE/>
        <w:autoSpaceDN/>
        <w:adjustRightInd/>
        <w:snapToGrid/>
        <w:spacing w:line="400" w:lineRule="exact"/>
        <w:ind w:left="0" w:firstLine="480" w:firstLineChars="200"/>
        <w:jc w:val="both"/>
        <w:rPr>
          <w:rFonts w:ascii="Times New Roman" w:hAnsi="Times New Roman" w:eastAsia="宋体" w:cs="Times New Roman"/>
          <w:color w:val="auto"/>
          <w:szCs w:val="24"/>
          <w:lang w:val="zh-CN"/>
        </w:rPr>
      </w:pPr>
      <w:r>
        <w:rPr>
          <w:rFonts w:ascii="Times New Roman" w:hAnsi="Times New Roman" w:eastAsia="宋体" w:cs="Times New Roman"/>
          <w:color w:val="auto"/>
          <w:szCs w:val="24"/>
          <w:lang w:val="zh-CN"/>
        </w:rPr>
        <w:t>响应文件未按交易文件规定的格式要求签字和盖章的；</w:t>
      </w:r>
    </w:p>
    <w:p w14:paraId="59170E73">
      <w:pPr>
        <w:widowControl w:val="0"/>
        <w:numPr>
          <w:ilvl w:val="0"/>
          <w:numId w:val="9"/>
        </w:numPr>
        <w:kinsoku/>
        <w:wordWrap w:val="0"/>
        <w:topLinePunct/>
        <w:autoSpaceDE/>
        <w:autoSpaceDN/>
        <w:adjustRightInd/>
        <w:snapToGrid/>
        <w:spacing w:line="400" w:lineRule="exact"/>
        <w:ind w:left="0" w:firstLine="480" w:firstLineChars="200"/>
        <w:jc w:val="both"/>
        <w:rPr>
          <w:rFonts w:ascii="Times New Roman" w:hAnsi="Times New Roman" w:eastAsia="宋体" w:cs="Times New Roman"/>
          <w:color w:val="auto"/>
          <w:szCs w:val="24"/>
          <w:lang w:val="zh-CN"/>
        </w:rPr>
      </w:pPr>
      <w:r>
        <w:rPr>
          <w:rFonts w:ascii="Times New Roman" w:hAnsi="Times New Roman" w:eastAsia="宋体" w:cs="Times New Roman"/>
          <w:color w:val="auto"/>
          <w:szCs w:val="24"/>
        </w:rPr>
        <w:t xml:space="preserve">响应文件未按交易文件规定的格式要求，经法定代表人(或提供有效“授权委托书”的委托代理人)签字和盖章的； </w:t>
      </w:r>
    </w:p>
    <w:p w14:paraId="1EB31014">
      <w:pPr>
        <w:widowControl w:val="0"/>
        <w:numPr>
          <w:ilvl w:val="0"/>
          <w:numId w:val="9"/>
        </w:numPr>
        <w:kinsoku/>
        <w:wordWrap w:val="0"/>
        <w:topLinePunct/>
        <w:autoSpaceDE/>
        <w:autoSpaceDN/>
        <w:adjustRightInd/>
        <w:snapToGrid/>
        <w:spacing w:line="400" w:lineRule="exact"/>
        <w:ind w:left="0"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潜在承包人递交两份或多份内容不同的响应文件，或在一份响应文件中对同一项目报有两个或多个报价，或出现多个潜在承包人单位名称、项目负责人，且未声明哪一个有效的，按交易文件规定提交备选响应方案的除外；</w:t>
      </w:r>
    </w:p>
    <w:p w14:paraId="0CF90F65">
      <w:pPr>
        <w:numPr>
          <w:ilvl w:val="0"/>
          <w:numId w:val="9"/>
        </w:numPr>
        <w:kinsoku/>
        <w:wordWrap w:val="0"/>
        <w:topLinePunct/>
        <w:autoSpaceDE/>
        <w:autoSpaceDN/>
        <w:adjustRightInd/>
        <w:snapToGrid/>
        <w:spacing w:line="400" w:lineRule="exact"/>
        <w:ind w:left="0" w:firstLine="480" w:firstLineChars="200"/>
        <w:jc w:val="both"/>
        <w:rPr>
          <w:rFonts w:ascii="Times New Roman" w:hAnsi="Times New Roman" w:eastAsia="宋体" w:cs="Times New Roman"/>
          <w:color w:val="auto"/>
          <w:szCs w:val="24"/>
          <w:lang w:val="zh-CN"/>
        </w:rPr>
      </w:pPr>
      <w:r>
        <w:rPr>
          <w:rFonts w:ascii="Times New Roman" w:hAnsi="Times New Roman" w:eastAsia="宋体" w:cs="Times New Roman"/>
          <w:color w:val="auto"/>
          <w:szCs w:val="24"/>
          <w:lang w:val="zh-CN"/>
        </w:rPr>
        <w:t>C类证书专职安全生产管理人员配备不符合规定；</w:t>
      </w:r>
    </w:p>
    <w:p w14:paraId="15AC918D">
      <w:pPr>
        <w:numPr>
          <w:ilvl w:val="0"/>
          <w:numId w:val="9"/>
        </w:numPr>
        <w:kinsoku/>
        <w:wordWrap w:val="0"/>
        <w:topLinePunct/>
        <w:autoSpaceDE/>
        <w:autoSpaceDN/>
        <w:adjustRightInd/>
        <w:snapToGrid/>
        <w:spacing w:line="400" w:lineRule="exact"/>
        <w:ind w:left="0" w:firstLine="480" w:firstLineChars="200"/>
        <w:jc w:val="both"/>
        <w:rPr>
          <w:rFonts w:ascii="Times New Roman" w:hAnsi="Times New Roman" w:eastAsia="宋体" w:cs="Times New Roman"/>
          <w:color w:val="auto"/>
          <w:szCs w:val="24"/>
          <w:lang w:val="zh-CN"/>
        </w:rPr>
      </w:pPr>
      <w:r>
        <w:rPr>
          <w:rFonts w:ascii="Times New Roman" w:hAnsi="Times New Roman" w:eastAsia="宋体" w:cs="Times New Roman"/>
          <w:color w:val="auto"/>
          <w:szCs w:val="24"/>
          <w:lang w:val="zh-CN"/>
        </w:rPr>
        <w:t>拟派驻现场关键岗位人员个数及合同、社保缴纳证明不符合交易文件要求。</w:t>
      </w:r>
    </w:p>
    <w:p w14:paraId="6065E08D">
      <w:pPr>
        <w:numPr>
          <w:ilvl w:val="0"/>
          <w:numId w:val="9"/>
        </w:numPr>
        <w:kinsoku/>
        <w:wordWrap w:val="0"/>
        <w:topLinePunct/>
        <w:autoSpaceDE/>
        <w:autoSpaceDN/>
        <w:adjustRightInd/>
        <w:snapToGrid/>
        <w:spacing w:line="400" w:lineRule="exact"/>
        <w:ind w:left="0"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改变交易文件明确的暂定不竞争内容的；</w:t>
      </w:r>
    </w:p>
    <w:p w14:paraId="46DECA47">
      <w:pPr>
        <w:widowControl w:val="0"/>
        <w:numPr>
          <w:ilvl w:val="0"/>
          <w:numId w:val="9"/>
        </w:numPr>
        <w:kinsoku/>
        <w:wordWrap w:val="0"/>
        <w:topLinePunct/>
        <w:autoSpaceDE/>
        <w:autoSpaceDN/>
        <w:adjustRightInd/>
        <w:snapToGrid/>
        <w:spacing w:line="400" w:lineRule="exact"/>
        <w:ind w:left="0"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 xml:space="preserve">响应文件含有发包人不能接受的附加条件的； </w:t>
      </w:r>
    </w:p>
    <w:p w14:paraId="2125036A">
      <w:pPr>
        <w:widowControl w:val="0"/>
        <w:numPr>
          <w:ilvl w:val="0"/>
          <w:numId w:val="9"/>
        </w:numPr>
        <w:kinsoku/>
        <w:wordWrap w:val="0"/>
        <w:topLinePunct/>
        <w:autoSpaceDE/>
        <w:autoSpaceDN/>
        <w:adjustRightInd/>
        <w:snapToGrid/>
        <w:spacing w:line="400" w:lineRule="exact"/>
        <w:ind w:left="0"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提供虚假材料参与交易的；</w:t>
      </w:r>
    </w:p>
    <w:p w14:paraId="2F280BCE">
      <w:pPr>
        <w:numPr>
          <w:ilvl w:val="0"/>
          <w:numId w:val="9"/>
        </w:numPr>
        <w:kinsoku/>
        <w:wordWrap w:val="0"/>
        <w:topLinePunct/>
        <w:autoSpaceDE/>
        <w:autoSpaceDN/>
        <w:adjustRightInd/>
        <w:snapToGrid/>
        <w:spacing w:line="400" w:lineRule="exact"/>
        <w:ind w:left="0"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响应文件不能满足交易文件载明的实质性要求的，包括但不限于响应文件</w:t>
      </w:r>
      <w:r>
        <w:rPr>
          <w:rFonts w:ascii="Times New Roman" w:hAnsi="Times New Roman" w:eastAsia="宋体" w:cs="Times New Roman"/>
          <w:color w:val="auto"/>
          <w:szCs w:val="24"/>
          <w:lang w:val="zh-CN"/>
        </w:rPr>
        <w:t>不能满足交易文件载明的</w:t>
      </w:r>
      <w:r>
        <w:rPr>
          <w:rFonts w:ascii="Times New Roman" w:hAnsi="Times New Roman" w:eastAsia="宋体" w:cs="Times New Roman"/>
          <w:color w:val="auto"/>
          <w:szCs w:val="24"/>
        </w:rPr>
        <w:t>工程质量、工程验收标准、施工工期、保修期要求的；</w:t>
      </w:r>
    </w:p>
    <w:p w14:paraId="4A6ADEA5">
      <w:pPr>
        <w:widowControl w:val="0"/>
        <w:numPr>
          <w:ilvl w:val="0"/>
          <w:numId w:val="9"/>
        </w:numPr>
        <w:wordWrap w:val="0"/>
        <w:topLinePunct/>
        <w:autoSpaceDE/>
        <w:autoSpaceDN/>
        <w:adjustRightInd/>
        <w:snapToGrid/>
        <w:spacing w:line="400" w:lineRule="exact"/>
        <w:ind w:left="0" w:firstLine="480" w:firstLineChars="200"/>
        <w:rPr>
          <w:rFonts w:ascii="Times New Roman" w:hAnsi="Times New Roman" w:eastAsia="宋体" w:cs="Times New Roman"/>
          <w:color w:val="auto"/>
        </w:rPr>
      </w:pPr>
      <w:r>
        <w:rPr>
          <w:rFonts w:ascii="Times New Roman" w:hAnsi="Times New Roman" w:eastAsia="宋体" w:cs="Times New Roman"/>
          <w:color w:val="auto"/>
          <w:szCs w:val="24"/>
        </w:rPr>
        <w:t>潜在承包人未按交易须知1.4.4项规定执行的；</w:t>
      </w:r>
    </w:p>
    <w:p w14:paraId="275C871C">
      <w:pPr>
        <w:numPr>
          <w:ilvl w:val="0"/>
          <w:numId w:val="9"/>
        </w:numPr>
        <w:kinsoku/>
        <w:wordWrap w:val="0"/>
        <w:topLinePunct/>
        <w:autoSpaceDE/>
        <w:autoSpaceDN/>
        <w:adjustRightInd/>
        <w:snapToGrid/>
        <w:spacing w:line="400" w:lineRule="exact"/>
        <w:ind w:left="0"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法律法规、规章及规范性文件规定其他应否决响应文件的情形；</w:t>
      </w:r>
    </w:p>
    <w:p w14:paraId="586D78BC">
      <w:pPr>
        <w:kinsoku/>
        <w:ind w:firstLine="482" w:firstLineChars="200"/>
        <w:rPr>
          <w:rFonts w:ascii="Times New Roman" w:hAnsi="Times New Roman" w:eastAsia="宋体" w:cs="Times New Roman"/>
          <w:color w:val="auto"/>
          <w:sz w:val="30"/>
          <w:szCs w:val="30"/>
        </w:rPr>
      </w:pPr>
      <w:r>
        <w:rPr>
          <w:rFonts w:ascii="Times New Roman" w:hAnsi="Times New Roman" w:eastAsia="宋体" w:cs="Times New Roman"/>
          <w:b/>
          <w:bCs/>
          <w:color w:val="auto"/>
          <w:szCs w:val="24"/>
        </w:rPr>
        <w:t>2.符合性审查最终通过的成交候选人数量</w:t>
      </w:r>
      <w:r>
        <w:rPr>
          <w:rFonts w:hint="eastAsia" w:ascii="Times New Roman" w:hAnsi="Times New Roman" w:eastAsia="宋体" w:cs="Times New Roman"/>
          <w:b/>
          <w:bCs/>
          <w:color w:val="auto"/>
          <w:szCs w:val="24"/>
        </w:rPr>
        <w:t>不满足</w:t>
      </w:r>
      <w:r>
        <w:rPr>
          <w:rFonts w:ascii="Times New Roman" w:hAnsi="Times New Roman" w:eastAsia="宋体" w:cs="Times New Roman"/>
          <w:b/>
          <w:bCs/>
          <w:color w:val="auto"/>
          <w:szCs w:val="24"/>
        </w:rPr>
        <w:t>交易须知前附表规定的要求时，</w:t>
      </w:r>
      <w:r>
        <w:rPr>
          <w:rFonts w:ascii="Times New Roman" w:hAnsi="Times New Roman" w:eastAsia="宋体" w:cs="Times New Roman"/>
          <w:color w:val="auto"/>
          <w:szCs w:val="24"/>
        </w:rPr>
        <w:t>应判定本次交易是否具有竞争力。若发包人认为本次交易明显缺乏竞争力的，可以否决全部响应文件重新组织交易</w:t>
      </w:r>
      <w:r>
        <w:rPr>
          <w:rFonts w:ascii="Times New Roman" w:hAnsi="Times New Roman" w:eastAsia="宋体" w:cs="Times New Roman"/>
          <w:szCs w:val="24"/>
        </w:rPr>
        <w:t>。</w:t>
      </w:r>
      <w:r>
        <w:rPr>
          <w:rFonts w:ascii="Times New Roman" w:hAnsi="Times New Roman" w:eastAsia="宋体" w:cs="Times New Roman"/>
          <w:color w:val="auto"/>
          <w:sz w:val="30"/>
          <w:szCs w:val="30"/>
        </w:rPr>
        <w:br w:type="page"/>
      </w:r>
    </w:p>
    <w:p w14:paraId="53FB7F4F">
      <w:pPr>
        <w:pStyle w:val="2"/>
        <w:ind w:left="0" w:firstLine="0"/>
        <w:rPr>
          <w:rFonts w:ascii="Times New Roman" w:hAnsi="Times New Roman" w:cs="Times New Roman"/>
          <w:b w:val="0"/>
          <w:bCs w:val="0"/>
          <w:color w:val="auto"/>
          <w:spacing w:val="-6"/>
          <w14:textOutline w14:w="8712" w14:cap="flat" w14:cmpd="sng" w14:algn="ctr">
            <w14:solidFill>
              <w14:srgbClr w14:val="000000"/>
            </w14:solidFill>
            <w14:prstDash w14:val="solid"/>
            <w14:miter w14:val="0"/>
          </w14:textOutline>
        </w:rPr>
      </w:pPr>
      <w:r>
        <w:rPr>
          <w:rFonts w:ascii="Times New Roman" w:hAnsi="Times New Roman" w:cs="Times New Roman"/>
          <w:b w:val="0"/>
          <w:bCs w:val="0"/>
          <w:color w:val="auto"/>
          <w:spacing w:val="-6"/>
          <w14:textOutline w14:w="8712" w14:cap="flat" w14:cmpd="sng" w14:algn="ctr">
            <w14:solidFill>
              <w14:srgbClr w14:val="000000"/>
            </w14:solidFill>
            <w14:prstDash w14:val="solid"/>
            <w14:miter w14:val="0"/>
          </w14:textOutline>
        </w:rPr>
        <w:t>第四章 合同条款及格式</w:t>
      </w:r>
    </w:p>
    <w:p w14:paraId="1E879BEF">
      <w:pPr>
        <w:rPr>
          <w:rFonts w:ascii="宋体" w:hAnsi="宋体" w:cs="宋体"/>
          <w:color w:val="auto"/>
          <w:sz w:val="24"/>
          <w:highlight w:val="none"/>
          <w:u w:val="single"/>
        </w:rPr>
      </w:pPr>
      <w:r>
        <w:rPr>
          <w:rFonts w:ascii="Times New Roman" w:hAnsi="Times New Roman" w:eastAsia="宋体" w:cs="Times New Roman"/>
          <w:color w:val="auto"/>
          <w:szCs w:val="24"/>
        </w:rPr>
        <w:t>　　</w:t>
      </w: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LJGS-2026-          </w:t>
      </w:r>
    </w:p>
    <w:p w14:paraId="502B84E3">
      <w:pPr>
        <w:spacing w:line="480" w:lineRule="auto"/>
        <w:jc w:val="both"/>
        <w:rPr>
          <w:rFonts w:hint="eastAsia" w:ascii="宋体" w:hAnsi="宋体" w:cs="宋体"/>
          <w:b/>
          <w:color w:val="auto"/>
          <w:sz w:val="36"/>
          <w:szCs w:val="36"/>
          <w:highlight w:val="none"/>
        </w:rPr>
      </w:pPr>
    </w:p>
    <w:p w14:paraId="5D390015">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lang w:val="en-US" w:eastAsia="zh-CN"/>
        </w:rPr>
        <w:t>施工</w:t>
      </w:r>
      <w:r>
        <w:rPr>
          <w:rFonts w:hint="eastAsia" w:ascii="宋体" w:hAnsi="宋体" w:cs="宋体"/>
          <w:b/>
          <w:color w:val="auto"/>
          <w:sz w:val="36"/>
          <w:szCs w:val="36"/>
          <w:highlight w:val="none"/>
        </w:rPr>
        <w:t>合同</w:t>
      </w:r>
    </w:p>
    <w:p w14:paraId="2056D16D">
      <w:pPr>
        <w:spacing w:before="120" w:line="22" w:lineRule="atLeast"/>
        <w:rPr>
          <w:rFonts w:ascii="宋体" w:hAnsi="宋体" w:cs="宋体"/>
          <w:color w:val="auto"/>
          <w:sz w:val="24"/>
          <w:highlight w:val="none"/>
        </w:rPr>
      </w:pPr>
    </w:p>
    <w:p w14:paraId="210108E4">
      <w:pPr>
        <w:pStyle w:val="3"/>
        <w:tabs>
          <w:tab w:val="left" w:pos="432"/>
        </w:tabs>
        <w:rPr>
          <w:color w:val="auto"/>
          <w:highlight w:val="none"/>
        </w:rPr>
      </w:pPr>
      <w:r>
        <w:rPr>
          <w:rFonts w:hint="eastAsia"/>
          <w:color w:val="auto"/>
          <w:highlight w:val="none"/>
        </w:rPr>
        <w:t xml:space="preserve">              </w:t>
      </w:r>
    </w:p>
    <w:p w14:paraId="100F0C14">
      <w:pPr>
        <w:spacing w:before="120" w:line="22" w:lineRule="atLeast"/>
        <w:ind w:left="960"/>
        <w:rPr>
          <w:rFonts w:ascii="宋体" w:hAnsi="宋体" w:cs="宋体"/>
          <w:color w:val="auto"/>
          <w:sz w:val="24"/>
          <w:highlight w:val="none"/>
        </w:rPr>
      </w:pPr>
      <w:r>
        <w:rPr>
          <w:rFonts w:hint="eastAsia" w:ascii="宋体" w:hAnsi="宋体" w:cs="宋体"/>
          <w:color w:val="auto"/>
          <w:sz w:val="24"/>
          <w:highlight w:val="none"/>
        </w:rPr>
        <w:t>项</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目</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名</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称：</w:t>
      </w:r>
      <w:r>
        <w:rPr>
          <w:rFonts w:hint="eastAsia" w:ascii="宋体" w:hAnsi="宋体" w:cs="宋体"/>
          <w:color w:val="auto"/>
          <w:sz w:val="24"/>
          <w:highlight w:val="none"/>
          <w:u w:val="single"/>
        </w:rPr>
        <w:t xml:space="preserve">   临江环境2026年垃圾吊轨道大修项目施工         </w:t>
      </w:r>
    </w:p>
    <w:p w14:paraId="20DC5D05">
      <w:pPr>
        <w:rPr>
          <w:rFonts w:ascii="宋体" w:hAnsi="宋体" w:cs="宋体"/>
          <w:color w:val="auto"/>
          <w:sz w:val="24"/>
          <w:highlight w:val="none"/>
        </w:rPr>
      </w:pPr>
    </w:p>
    <w:p w14:paraId="1BE2802F">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方</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发包人</w:t>
      </w:r>
      <w:r>
        <w:rPr>
          <w:rFonts w:hint="eastAsia" w:ascii="宋体" w:hAnsi="宋体" w:cs="宋体"/>
          <w:color w:val="auto"/>
          <w:sz w:val="24"/>
          <w:highlight w:val="none"/>
          <w:lang w:eastAsia="zh-CN"/>
        </w:rPr>
        <w:t>）</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杭州临江环境能源有限公司         </w:t>
      </w:r>
    </w:p>
    <w:p w14:paraId="0CEE0F2C">
      <w:pPr>
        <w:spacing w:before="120" w:line="22" w:lineRule="atLeast"/>
        <w:rPr>
          <w:rFonts w:ascii="宋体" w:hAnsi="宋体" w:cs="宋体"/>
          <w:color w:val="auto"/>
          <w:sz w:val="24"/>
          <w:highlight w:val="none"/>
        </w:rPr>
      </w:pPr>
    </w:p>
    <w:p w14:paraId="4DAEE60D">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方</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承包人</w:t>
      </w:r>
      <w:r>
        <w:rPr>
          <w:rFonts w:hint="eastAsia" w:ascii="宋体" w:hAnsi="宋体" w:cs="宋体"/>
          <w:color w:val="auto"/>
          <w:sz w:val="24"/>
          <w:highlight w:val="none"/>
          <w:lang w:eastAsia="zh-CN"/>
        </w:rPr>
        <w:t>）</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***有限公司                      </w:t>
      </w:r>
    </w:p>
    <w:p w14:paraId="1D03AAAC">
      <w:pPr>
        <w:spacing w:before="120" w:line="22" w:lineRule="atLeast"/>
        <w:rPr>
          <w:rFonts w:ascii="宋体" w:hAnsi="宋体" w:cs="宋体"/>
          <w:color w:val="auto"/>
          <w:sz w:val="24"/>
          <w:highlight w:val="none"/>
        </w:rPr>
      </w:pPr>
    </w:p>
    <w:p w14:paraId="23B7330D">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订</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浙江省杭州市钱塘区                </w:t>
      </w:r>
    </w:p>
    <w:p w14:paraId="5F0F111B">
      <w:pPr>
        <w:spacing w:before="120" w:line="22" w:lineRule="atLeast"/>
        <w:rPr>
          <w:rFonts w:ascii="宋体" w:hAnsi="宋体" w:cs="宋体"/>
          <w:color w:val="auto"/>
          <w:sz w:val="24"/>
          <w:highlight w:val="none"/>
        </w:rPr>
      </w:pPr>
    </w:p>
    <w:p w14:paraId="39F88A37">
      <w:pPr>
        <w:spacing w:before="120" w:line="22" w:lineRule="atLeast"/>
        <w:ind w:firstLine="960" w:firstLineChars="400"/>
        <w:rPr>
          <w:rFonts w:ascii="宋体" w:hAnsi="宋体" w:cs="宋体"/>
          <w:color w:val="auto"/>
          <w:kern w:val="0"/>
          <w:sz w:val="24"/>
          <w:highlight w:val="none"/>
        </w:rPr>
        <w:sectPr>
          <w:headerReference r:id="rId12" w:type="default"/>
          <w:footerReference r:id="rId13" w:type="default"/>
          <w:pgSz w:w="11907" w:h="16840"/>
          <w:pgMar w:top="1440" w:right="1083" w:bottom="1440" w:left="1083" w:header="851" w:footer="851" w:gutter="0"/>
          <w:pgNumType w:fmt="decimal"/>
          <w:cols w:space="720" w:num="1"/>
        </w:sectPr>
      </w:pPr>
      <w:r>
        <w:rPr>
          <w:rFonts w:hint="eastAsia" w:ascii="宋体" w:hAnsi="宋体" w:cs="宋体"/>
          <w:color w:val="auto"/>
          <w:sz w:val="24"/>
          <w:highlight w:val="none"/>
        </w:rPr>
        <w:t>签</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订</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0DA0484F">
      <w:pPr>
        <w:pageBreakBefore w:val="0"/>
        <w:widowControl/>
        <w:wordWrap/>
        <w:overflowPunct/>
        <w:topLinePunct w:val="0"/>
        <w:bidi w:val="0"/>
        <w:spacing w:line="440" w:lineRule="exact"/>
        <w:ind w:left="0" w:leftChars="0"/>
        <w:jc w:val="both"/>
        <w:rPr>
          <w:rFonts w:hint="eastAsia" w:ascii="宋体" w:hAnsi="宋体" w:eastAsia="宋体" w:cs="宋体"/>
          <w:b/>
          <w:color w:val="auto"/>
          <w:sz w:val="24"/>
          <w:szCs w:val="24"/>
          <w:highlight w:val="none"/>
        </w:rPr>
      </w:pPr>
    </w:p>
    <w:p w14:paraId="708FEE40">
      <w:pPr>
        <w:pageBreakBefore w:val="0"/>
        <w:widowControl/>
        <w:wordWrap/>
        <w:overflowPunct/>
        <w:topLinePunct w:val="0"/>
        <w:bidi w:val="0"/>
        <w:spacing w:line="440" w:lineRule="exact"/>
        <w:ind w:left="0" w:leftChars="0"/>
        <w:jc w:val="both"/>
        <w:rPr>
          <w:rFonts w:hint="eastAsia" w:ascii="宋体" w:hAnsi="宋体" w:eastAsia="宋体" w:cs="宋体"/>
          <w:b/>
          <w:color w:val="auto"/>
          <w:sz w:val="24"/>
          <w:szCs w:val="24"/>
          <w:highlight w:val="none"/>
        </w:rPr>
      </w:pPr>
    </w:p>
    <w:p w14:paraId="162A0061">
      <w:pPr>
        <w:pageBreakBefore w:val="0"/>
        <w:widowControl/>
        <w:wordWrap/>
        <w:overflowPunct/>
        <w:topLinePunct w:val="0"/>
        <w:bidi w:val="0"/>
        <w:spacing w:line="440" w:lineRule="exact"/>
        <w:ind w:left="0" w:leftChars="0"/>
        <w:jc w:val="both"/>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甲方（</w:t>
      </w:r>
      <w:r>
        <w:rPr>
          <w:rFonts w:hint="eastAsia" w:ascii="宋体" w:hAnsi="宋体" w:eastAsia="宋体" w:cs="宋体"/>
          <w:b/>
          <w:color w:val="auto"/>
          <w:sz w:val="24"/>
          <w:szCs w:val="24"/>
          <w:highlight w:val="none"/>
          <w:lang w:val="en-US" w:eastAsia="zh-CN"/>
        </w:rPr>
        <w:t>发包人</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u w:val="single"/>
          <w:lang w:val="en-US" w:eastAsia="zh-CN"/>
        </w:rPr>
        <w:t xml:space="preserve">  杭州临江环境能源有限公司  </w:t>
      </w:r>
      <w:r>
        <w:rPr>
          <w:rFonts w:hint="eastAsia" w:ascii="宋体" w:hAnsi="宋体" w:eastAsia="宋体" w:cs="宋体"/>
          <w:b/>
          <w:color w:val="auto"/>
          <w:sz w:val="24"/>
          <w:szCs w:val="24"/>
          <w:highlight w:val="none"/>
          <w:u w:val="single"/>
        </w:rPr>
        <w:t xml:space="preserve"> </w:t>
      </w:r>
    </w:p>
    <w:p w14:paraId="780FECC2">
      <w:pPr>
        <w:pageBreakBefore w:val="0"/>
        <w:widowControl/>
        <w:wordWrap/>
        <w:overflowPunct/>
        <w:topLinePunct w:val="0"/>
        <w:bidi w:val="0"/>
        <w:spacing w:line="440" w:lineRule="exact"/>
        <w:jc w:val="both"/>
        <w:rPr>
          <w:rFonts w:hint="eastAsia" w:ascii="宋体" w:hAnsi="宋体" w:eastAsia="宋体" w:cs="宋体"/>
          <w:b/>
          <w:color w:val="auto"/>
          <w:sz w:val="24"/>
          <w:szCs w:val="24"/>
          <w:highlight w:val="none"/>
          <w:u w:val="single"/>
          <w:lang w:val="en-US" w:eastAsia="zh-CN"/>
        </w:rPr>
      </w:pPr>
      <w:r>
        <w:rPr>
          <w:rFonts w:hint="eastAsia" w:ascii="宋体" w:hAnsi="宋体" w:eastAsia="宋体" w:cs="宋体"/>
          <w:b/>
          <w:color w:val="auto"/>
          <w:sz w:val="24"/>
          <w:szCs w:val="24"/>
          <w:highlight w:val="none"/>
        </w:rPr>
        <w:t>乙方（</w:t>
      </w:r>
      <w:r>
        <w:rPr>
          <w:rFonts w:hint="eastAsia" w:ascii="宋体" w:hAnsi="宋体" w:eastAsia="宋体" w:cs="宋体"/>
          <w:b/>
          <w:color w:val="auto"/>
          <w:sz w:val="24"/>
          <w:szCs w:val="24"/>
          <w:highlight w:val="none"/>
          <w:lang w:val="en-US" w:eastAsia="zh-CN"/>
        </w:rPr>
        <w:t>承包人</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u w:val="single"/>
          <w:lang w:val="en-US" w:eastAsia="zh-CN"/>
        </w:rPr>
        <w:t xml:space="preserve">                          </w:t>
      </w:r>
    </w:p>
    <w:p w14:paraId="101C0A58">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根据《中华人民共和国建筑法》《建设工程质量管理条例》及其国家和工程所在地的适用于工程的包括但不限于</w:t>
      </w:r>
      <w:r>
        <w:rPr>
          <w:rFonts w:hint="eastAsia" w:ascii="宋体" w:hAnsi="宋体" w:eastAsia="宋体" w:cs="宋体"/>
          <w:color w:val="auto"/>
          <w:sz w:val="24"/>
          <w:szCs w:val="24"/>
          <w:highlight w:val="none"/>
          <w:lang w:eastAsia="zh-CN"/>
        </w:rPr>
        <w:t>法律法规</w:t>
      </w:r>
      <w:r>
        <w:rPr>
          <w:rFonts w:hint="eastAsia" w:ascii="宋体" w:hAnsi="宋体" w:eastAsia="宋体" w:cs="宋体"/>
          <w:color w:val="auto"/>
          <w:sz w:val="24"/>
          <w:szCs w:val="24"/>
          <w:highlight w:val="none"/>
        </w:rPr>
        <w:t>、规定、通知、决定、指导意见等各种规范性文件，甲、乙双方就本项目建设工程施工及有关事项协商一致，签订本合同。</w:t>
      </w:r>
    </w:p>
    <w:p w14:paraId="23C18F54">
      <w:pPr>
        <w:pStyle w:val="5"/>
        <w:pageBreakBefore w:val="0"/>
        <w:widowControl/>
        <w:wordWrap/>
        <w:overflowPunct/>
        <w:topLinePunct w:val="0"/>
        <w:bidi w:val="0"/>
        <w:spacing w:line="440" w:lineRule="exact"/>
        <w:ind w:left="0" w:leftChars="0" w:firstLine="482" w:firstLineChars="200"/>
        <w:jc w:val="both"/>
        <w:rPr>
          <w:rFonts w:hint="eastAsia" w:ascii="宋体" w:hAnsi="宋体" w:eastAsia="宋体" w:cs="宋体"/>
          <w:b/>
          <w:bCs w:val="0"/>
          <w:color w:val="auto"/>
          <w:sz w:val="24"/>
          <w:szCs w:val="24"/>
          <w:highlight w:val="none"/>
        </w:rPr>
      </w:pPr>
      <w:bookmarkStart w:id="0" w:name="_Toc351203481"/>
      <w:r>
        <w:rPr>
          <w:rFonts w:hint="eastAsia" w:ascii="宋体" w:hAnsi="宋体" w:eastAsia="宋体" w:cs="宋体"/>
          <w:b/>
          <w:bCs w:val="0"/>
          <w:color w:val="auto"/>
          <w:sz w:val="24"/>
          <w:szCs w:val="24"/>
          <w:highlight w:val="none"/>
        </w:rPr>
        <w:t>一、工程概况</w:t>
      </w:r>
      <w:bookmarkEnd w:id="0"/>
    </w:p>
    <w:p w14:paraId="263DFAD3">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lang w:eastAsia="zh-CN"/>
        </w:rPr>
        <w:t>1.</w:t>
      </w:r>
      <w:r>
        <w:rPr>
          <w:rFonts w:hint="eastAsia" w:ascii="宋体" w:hAnsi="宋体" w:eastAsia="宋体" w:cs="宋体"/>
          <w:bCs/>
          <w:color w:val="auto"/>
          <w:sz w:val="24"/>
          <w:szCs w:val="24"/>
          <w:highlight w:val="none"/>
        </w:rPr>
        <w:t>工程名称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临江环境2026年垃圾吊轨道大修项目施工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5232074">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2.</w:t>
      </w:r>
      <w:r>
        <w:rPr>
          <w:rFonts w:hint="eastAsia" w:ascii="宋体" w:hAnsi="宋体" w:eastAsia="宋体" w:cs="宋体"/>
          <w:bCs/>
          <w:color w:val="auto"/>
          <w:sz w:val="24"/>
          <w:szCs w:val="24"/>
          <w:highlight w:val="none"/>
        </w:rPr>
        <w:t>工程地点</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浙江省杭州</w:t>
      </w:r>
      <w:r>
        <w:rPr>
          <w:rFonts w:hint="eastAsia" w:ascii="宋体" w:hAnsi="宋体" w:eastAsia="宋体" w:cs="宋体"/>
          <w:color w:val="auto"/>
          <w:sz w:val="24"/>
          <w:szCs w:val="24"/>
          <w:highlight w:val="none"/>
          <w:u w:val="single"/>
          <w:lang w:val="en-US" w:eastAsia="zh-CN"/>
        </w:rPr>
        <w:t>市钱塘区临江街道杭州临江环境能源有限公司厂区内</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4741490">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eastAsia="zh-CN"/>
        </w:rPr>
        <w:t>3.</w:t>
      </w:r>
      <w:r>
        <w:rPr>
          <w:rFonts w:hint="eastAsia" w:ascii="宋体" w:hAnsi="宋体" w:eastAsia="宋体" w:cs="宋体"/>
          <w:bCs/>
          <w:color w:val="auto"/>
          <w:sz w:val="24"/>
          <w:szCs w:val="24"/>
          <w:highlight w:val="none"/>
        </w:rPr>
        <w:t>工程承包范围：</w:t>
      </w:r>
      <w:r>
        <w:rPr>
          <w:rFonts w:hint="eastAsia" w:ascii="宋体" w:hAnsi="宋体" w:eastAsia="宋体" w:cs="宋体"/>
          <w:color w:val="auto"/>
          <w:sz w:val="24"/>
          <w:szCs w:val="24"/>
          <w:highlight w:val="none"/>
          <w:u w:val="single"/>
          <w:lang w:val="en-US" w:eastAsia="zh-CN"/>
        </w:rPr>
        <w:t>招标文件及工程量清单范围内的所有内容</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bookmarkStart w:id="1" w:name="_Toc351203482"/>
    </w:p>
    <w:p w14:paraId="2B07CAFD">
      <w:pPr>
        <w:pageBreakBefore w:val="0"/>
        <w:widowControl/>
        <w:wordWrap/>
        <w:overflowPunct/>
        <w:topLinePunct w:val="0"/>
        <w:bidi w:val="0"/>
        <w:spacing w:line="440" w:lineRule="exact"/>
        <w:ind w:left="0" w:leftChars="0" w:firstLine="482" w:firstLineChars="200"/>
        <w:jc w:val="both"/>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二、合同工期</w:t>
      </w:r>
      <w:bookmarkEnd w:id="1"/>
      <w:r>
        <w:rPr>
          <w:rFonts w:hint="eastAsia" w:ascii="宋体" w:hAnsi="宋体" w:eastAsia="宋体" w:cs="宋体"/>
          <w:b/>
          <w:bCs w:val="0"/>
          <w:color w:val="auto"/>
          <w:sz w:val="24"/>
          <w:szCs w:val="24"/>
          <w:highlight w:val="none"/>
        </w:rPr>
        <w:t>和延期</w:t>
      </w:r>
      <w:r>
        <w:rPr>
          <w:rFonts w:hint="eastAsia" w:ascii="宋体" w:hAnsi="宋体" w:eastAsia="宋体" w:cs="宋体"/>
          <w:b/>
          <w:bCs w:val="0"/>
          <w:color w:val="auto"/>
          <w:sz w:val="24"/>
          <w:szCs w:val="24"/>
          <w:highlight w:val="none"/>
          <w:lang w:val="en-US" w:eastAsia="zh-CN"/>
        </w:rPr>
        <w:t>违约金</w:t>
      </w:r>
    </w:p>
    <w:p w14:paraId="1F430568">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工期总日历天数：</w:t>
      </w:r>
      <w:r>
        <w:rPr>
          <w:rFonts w:hint="eastAsia" w:ascii="宋体" w:hAnsi="宋体" w:eastAsia="宋体" w:cs="宋体"/>
          <w:color w:val="auto"/>
          <w:sz w:val="24"/>
          <w:szCs w:val="24"/>
          <w:highlight w:val="none"/>
          <w:u w:val="single"/>
          <w:lang w:val="en-US" w:eastAsia="zh-CN"/>
        </w:rPr>
        <w:t>90</w:t>
      </w:r>
      <w:r>
        <w:rPr>
          <w:rFonts w:hint="eastAsia" w:ascii="宋体" w:hAnsi="宋体" w:eastAsia="宋体" w:cs="宋体"/>
          <w:color w:val="auto"/>
          <w:sz w:val="24"/>
          <w:szCs w:val="24"/>
          <w:highlight w:val="none"/>
          <w:u w:val="single"/>
        </w:rPr>
        <w:t>天</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分次施工</w:t>
      </w:r>
      <w:r>
        <w:rPr>
          <w:rFonts w:hint="eastAsia" w:ascii="宋体" w:hAnsi="宋体" w:eastAsia="宋体" w:cs="宋体"/>
          <w:color w:val="auto"/>
          <w:sz w:val="24"/>
          <w:szCs w:val="24"/>
          <w:highlight w:val="none"/>
        </w:rPr>
        <w:t>。开工日期为甲方或者</w:t>
      </w:r>
      <w:r>
        <w:rPr>
          <w:rFonts w:hint="eastAsia" w:ascii="宋体" w:hAnsi="宋体" w:eastAsia="宋体" w:cs="宋体"/>
          <w:color w:val="auto"/>
          <w:sz w:val="24"/>
          <w:szCs w:val="24"/>
          <w:highlight w:val="none"/>
          <w:lang w:eastAsia="zh-CN"/>
        </w:rPr>
        <w:t>监理人或发包人</w:t>
      </w:r>
      <w:r>
        <w:rPr>
          <w:rFonts w:hint="eastAsia" w:ascii="宋体" w:hAnsi="宋体" w:eastAsia="宋体" w:cs="宋体"/>
          <w:color w:val="auto"/>
          <w:sz w:val="24"/>
          <w:szCs w:val="24"/>
          <w:highlight w:val="none"/>
        </w:rPr>
        <w:t>签发的开工通知载明的开工日期。</w:t>
      </w:r>
    </w:p>
    <w:p w14:paraId="1F2ECFC4">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因承包人原因造成工期延误，逾期竣工违约金的上限：工期延误30天（不含）以内，每延误一天，缴纳违约金500元；累计延误30天（含）以上的，每天缴纳违约金1000元。</w:t>
      </w:r>
    </w:p>
    <w:p w14:paraId="2B2F6347">
      <w:pPr>
        <w:spacing w:before="113" w:line="221" w:lineRule="auto"/>
        <w:ind w:left="4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ascii="宋体" w:hAnsi="宋体" w:eastAsia="宋体" w:cs="宋体"/>
          <w:color w:val="auto"/>
          <w:spacing w:val="-4"/>
          <w:sz w:val="24"/>
          <w:szCs w:val="24"/>
          <w:highlight w:val="none"/>
        </w:rPr>
        <w:t>因发包人原因导致工期延误的情形：</w:t>
      </w:r>
    </w:p>
    <w:p w14:paraId="22A1466D">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重大方案变更引起的工期延误；</w:t>
      </w:r>
    </w:p>
    <w:p w14:paraId="5ACE2841">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施工期间，有重要参观团或领导视察安排，为确保现场秩序及安全，需临时暂停施工作业，待参观接待活动结束后方可恢复正常施工进度。由此引起的工期延误，甲方签证确认后予以工期顺延，但费用不予赔偿或补偿。</w:t>
      </w:r>
    </w:p>
    <w:p w14:paraId="3F9E912F">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政策法规调整、群体事件</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不可抗力引起的工期延误， 甲方签证确认后予以工期顺延，但费用不予赔偿或补偿。</w:t>
      </w:r>
    </w:p>
    <w:p w14:paraId="76A5E93C">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经发包确认影响施工进度的其他情形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甲方签证确认后予以工期顺延，但费用不予赔偿或补偿。</w:t>
      </w:r>
    </w:p>
    <w:p w14:paraId="496BCE94">
      <w:pPr>
        <w:pStyle w:val="5"/>
        <w:pageBreakBefore w:val="0"/>
        <w:widowControl/>
        <w:wordWrap/>
        <w:overflowPunct/>
        <w:topLinePunct w:val="0"/>
        <w:bidi w:val="0"/>
        <w:spacing w:line="440" w:lineRule="exact"/>
        <w:ind w:left="0" w:leftChars="0" w:firstLine="482" w:firstLineChars="200"/>
        <w:jc w:val="both"/>
        <w:rPr>
          <w:rFonts w:hint="eastAsia" w:ascii="宋体" w:hAnsi="宋体" w:eastAsia="宋体" w:cs="宋体"/>
          <w:b/>
          <w:bCs w:val="0"/>
          <w:color w:val="auto"/>
          <w:sz w:val="24"/>
          <w:szCs w:val="24"/>
          <w:highlight w:val="none"/>
        </w:rPr>
      </w:pPr>
      <w:bookmarkStart w:id="2" w:name="_Toc351203483"/>
      <w:r>
        <w:rPr>
          <w:rFonts w:hint="eastAsia" w:ascii="宋体" w:hAnsi="宋体" w:eastAsia="宋体" w:cs="宋体"/>
          <w:b/>
          <w:bCs w:val="0"/>
          <w:color w:val="auto"/>
          <w:sz w:val="24"/>
          <w:szCs w:val="24"/>
          <w:highlight w:val="none"/>
        </w:rPr>
        <w:t>三、质量标准</w:t>
      </w:r>
      <w:bookmarkEnd w:id="2"/>
      <w:r>
        <w:rPr>
          <w:rFonts w:hint="eastAsia" w:ascii="宋体" w:hAnsi="宋体" w:eastAsia="宋体" w:cs="宋体"/>
          <w:b/>
          <w:bCs w:val="0"/>
          <w:color w:val="auto"/>
          <w:sz w:val="24"/>
          <w:szCs w:val="24"/>
          <w:highlight w:val="none"/>
        </w:rPr>
        <w:t>及违约责任</w:t>
      </w:r>
    </w:p>
    <w:p w14:paraId="25088FD8">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质量要求：工</w:t>
      </w:r>
      <w:r>
        <w:rPr>
          <w:rFonts w:hint="eastAsia" w:ascii="宋体" w:hAnsi="宋体" w:eastAsia="宋体" w:cs="宋体"/>
          <w:color w:val="auto"/>
          <w:sz w:val="24"/>
          <w:szCs w:val="24"/>
          <w:highlight w:val="none"/>
          <w:lang w:eastAsia="zh-CN"/>
        </w:rPr>
        <w:t>程质量</w:t>
      </w:r>
      <w:r>
        <w:rPr>
          <w:rFonts w:hint="eastAsia" w:ascii="宋体" w:hAnsi="宋体" w:eastAsia="宋体" w:cs="宋体"/>
          <w:color w:val="auto"/>
          <w:sz w:val="24"/>
          <w:szCs w:val="24"/>
          <w:highlight w:val="none"/>
        </w:rPr>
        <w:t>符合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合格</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标准。如因乙方原因导致工程未能通过竣工验收， 乙方除需按合同价的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2 </w:t>
      </w:r>
      <w:r>
        <w:rPr>
          <w:rFonts w:hint="eastAsia" w:ascii="宋体" w:hAnsi="宋体" w:eastAsia="宋体" w:cs="宋体"/>
          <w:color w:val="auto"/>
          <w:sz w:val="24"/>
          <w:szCs w:val="24"/>
          <w:highlight w:val="none"/>
        </w:rPr>
        <w:t xml:space="preserve"> %向甲方支付违约金外，还需按要求进行整改直至通过验收，且工期不顺延。若乙方拒绝整改，甲方有权委托第三方进行整改，由此产生的费用由乙方承担。</w:t>
      </w:r>
    </w:p>
    <w:p w14:paraId="0FE9D9F1">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工程质量保修期：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12个月</w:t>
      </w:r>
      <w:r>
        <w:rPr>
          <w:rFonts w:hint="eastAsia" w:ascii="宋体" w:hAnsi="宋体" w:eastAsia="宋体" w:cs="宋体"/>
          <w:color w:val="auto"/>
          <w:sz w:val="24"/>
          <w:szCs w:val="24"/>
          <w:highlight w:val="none"/>
          <w:u w:val="single"/>
        </w:rPr>
        <w:t xml:space="preserve">     </w:t>
      </w:r>
    </w:p>
    <w:p w14:paraId="48D52219">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bookmarkStart w:id="3" w:name="_Toc351203484"/>
    </w:p>
    <w:p w14:paraId="38C8184E">
      <w:pPr>
        <w:pStyle w:val="8"/>
        <w:pageBreakBefore w:val="0"/>
        <w:widowControl/>
        <w:tabs>
          <w:tab w:val="left" w:pos="9360"/>
        </w:tabs>
        <w:wordWrap/>
        <w:overflowPunct/>
        <w:topLinePunct w:val="0"/>
        <w:bidi w:val="0"/>
        <w:spacing w:line="440" w:lineRule="exact"/>
        <w:ind w:left="0" w:leftChars="0" w:firstLine="482"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四、履约担保</w:t>
      </w:r>
    </w:p>
    <w:p w14:paraId="7EC0C441">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承包人应于本合同签订前按招标文件和本合同约定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向发包人</w:t>
      </w:r>
      <w:r>
        <w:rPr>
          <w:rFonts w:hint="eastAsia" w:ascii="宋体" w:hAnsi="宋体" w:eastAsia="宋体" w:cs="宋体"/>
          <w:color w:val="auto"/>
          <w:sz w:val="24"/>
          <w:szCs w:val="24"/>
          <w:highlight w:val="none"/>
        </w:rPr>
        <w:t>交纳合同价2%</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履约保证金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履约担保银行保函/保证保险/转账形式(从基本账户转出)。若采用履约保函形式，因故导致保函有效期在竣工验收前过期的，乙方无条件做好延期，未按时延期的，视同未按时交纳履约担保，按合同价的万分之五/日计算违约金。保函从签订本合同至竣工验收合格后90天内有效。</w:t>
      </w:r>
    </w:p>
    <w:p w14:paraId="3255EC37">
      <w:pPr>
        <w:pageBreakBefore w:val="0"/>
        <w:widowControl/>
        <w:wordWrap/>
        <w:overflowPunct/>
        <w:topLinePunct w:val="0"/>
        <w:bidi w:val="0"/>
        <w:spacing w:line="440" w:lineRule="exact"/>
        <w:ind w:left="0" w:leftChars="0" w:firstLine="480" w:firstLineChars="20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履约担保的退还：承包人完成全部合同约定内容，合同履约期间无违约行为，在工程竣工验收合格并提交完整归档资料后30个工作日内，发包人退还履约担保（无息）。</w:t>
      </w:r>
    </w:p>
    <w:p w14:paraId="056A8FC3">
      <w:pPr>
        <w:pageBreakBefore w:val="0"/>
        <w:widowControl/>
        <w:wordWrap/>
        <w:overflowPunct/>
        <w:topLinePunct w:val="0"/>
        <w:bidi w:val="0"/>
        <w:spacing w:line="440" w:lineRule="exact"/>
        <w:ind w:left="0" w:leftChars="0" w:firstLine="482" w:firstLineChars="200"/>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五、签约合同价</w:t>
      </w:r>
      <w:bookmarkEnd w:id="3"/>
      <w:r>
        <w:rPr>
          <w:rFonts w:hint="eastAsia" w:ascii="宋体" w:hAnsi="宋体" w:eastAsia="宋体" w:cs="宋体"/>
          <w:b/>
          <w:bCs w:val="0"/>
          <w:color w:val="auto"/>
          <w:sz w:val="24"/>
          <w:szCs w:val="24"/>
          <w:highlight w:val="none"/>
        </w:rPr>
        <w:t>及结算方式</w:t>
      </w:r>
    </w:p>
    <w:p w14:paraId="449BB768">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1、签约合同价（含税）为：¥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；其中：</w:t>
      </w:r>
    </w:p>
    <w:p w14:paraId="10D1CCA4">
      <w:pPr>
        <w:keepNext w:val="0"/>
        <w:keepLines w:val="0"/>
        <w:pageBreakBefore w:val="0"/>
        <w:widowControl/>
        <w:kinsoku/>
        <w:wordWrap/>
        <w:overflowPunct/>
        <w:topLinePunct w:val="0"/>
        <w:autoSpaceDE/>
        <w:autoSpaceDN/>
        <w:bidi w:val="0"/>
        <w:spacing w:line="44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（1）安全文明施工费：</w:t>
      </w:r>
    </w:p>
    <w:p w14:paraId="79B78F84">
      <w:pPr>
        <w:keepNext w:val="0"/>
        <w:keepLines w:val="0"/>
        <w:pageBreakBefore w:val="0"/>
        <w:widowControl/>
        <w:kinsoku/>
        <w:wordWrap/>
        <w:overflowPunct/>
        <w:topLinePunct w:val="0"/>
        <w:autoSpaceDE/>
        <w:autoSpaceDN/>
        <w:bidi w:val="0"/>
        <w:spacing w:line="44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人民币（大写）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3CDF946B">
      <w:pPr>
        <w:keepNext w:val="0"/>
        <w:keepLines w:val="0"/>
        <w:pageBreakBefore w:val="0"/>
        <w:widowControl/>
        <w:kinsoku/>
        <w:wordWrap/>
        <w:overflowPunct/>
        <w:topLinePunct w:val="0"/>
        <w:autoSpaceDE/>
        <w:autoSpaceDN/>
        <w:bidi w:val="0"/>
        <w:spacing w:line="44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（2）材料和工程设备暂估价金额：</w:t>
      </w:r>
    </w:p>
    <w:p w14:paraId="776F1A7F">
      <w:pPr>
        <w:keepNext w:val="0"/>
        <w:keepLines w:val="0"/>
        <w:pageBreakBefore w:val="0"/>
        <w:widowControl/>
        <w:kinsoku/>
        <w:wordWrap/>
        <w:overflowPunct/>
        <w:topLinePunct w:val="0"/>
        <w:autoSpaceDE/>
        <w:autoSpaceDN/>
        <w:bidi w:val="0"/>
        <w:spacing w:line="44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人民币（大写）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151F0120">
      <w:pPr>
        <w:keepNext w:val="0"/>
        <w:keepLines w:val="0"/>
        <w:pageBreakBefore w:val="0"/>
        <w:widowControl/>
        <w:kinsoku/>
        <w:wordWrap/>
        <w:overflowPunct/>
        <w:topLinePunct w:val="0"/>
        <w:autoSpaceDE/>
        <w:autoSpaceDN/>
        <w:bidi w:val="0"/>
        <w:spacing w:line="44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（3）专业工程暂估价金额：</w:t>
      </w:r>
    </w:p>
    <w:p w14:paraId="0D6B7C40">
      <w:pPr>
        <w:keepNext w:val="0"/>
        <w:keepLines w:val="0"/>
        <w:pageBreakBefore w:val="0"/>
        <w:widowControl/>
        <w:kinsoku/>
        <w:wordWrap/>
        <w:overflowPunct/>
        <w:topLinePunct w:val="0"/>
        <w:autoSpaceDE/>
        <w:autoSpaceDN/>
        <w:bidi w:val="0"/>
        <w:spacing w:line="44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人民币（大写）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34CB5E0C">
      <w:pPr>
        <w:keepNext w:val="0"/>
        <w:keepLines w:val="0"/>
        <w:pageBreakBefore w:val="0"/>
        <w:widowControl/>
        <w:kinsoku/>
        <w:wordWrap/>
        <w:overflowPunct/>
        <w:topLinePunct w:val="0"/>
        <w:autoSpaceDE/>
        <w:autoSpaceDN/>
        <w:bidi w:val="0"/>
        <w:spacing w:line="44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（4）暂列金额：</w:t>
      </w:r>
    </w:p>
    <w:p w14:paraId="1F658B88">
      <w:pPr>
        <w:keepNext w:val="0"/>
        <w:keepLines w:val="0"/>
        <w:pageBreakBefore w:val="0"/>
        <w:widowControl/>
        <w:kinsoku/>
        <w:wordWrap/>
        <w:overflowPunct/>
        <w:topLinePunct w:val="0"/>
        <w:autoSpaceDE/>
        <w:autoSpaceDN/>
        <w:bidi w:val="0"/>
        <w:spacing w:line="44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人民币（大写）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52B9870D">
      <w:pPr>
        <w:pageBreakBefore w:val="0"/>
        <w:widowControl/>
        <w:numPr>
          <w:ilvl w:val="0"/>
          <w:numId w:val="10"/>
        </w:numPr>
        <w:wordWrap/>
        <w:overflowPunct/>
        <w:topLinePunct w:val="0"/>
        <w:bidi w:val="0"/>
        <w:spacing w:line="44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合同价格形式：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lang w:eastAsia="zh-CN"/>
        </w:rPr>
        <w:t>）</w:t>
      </w:r>
      <w:r>
        <w:rPr>
          <w:rFonts w:hint="eastAsia" w:ascii="宋体" w:hAnsi="宋体" w:eastAsia="宋体" w:cs="宋体"/>
          <w:bCs/>
          <w:color w:val="auto"/>
          <w:sz w:val="24"/>
          <w:szCs w:val="24"/>
          <w:highlight w:val="none"/>
          <w:u w:val="single"/>
        </w:rPr>
        <w:t>固定综合单价合同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159BA1F">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（1）固定综合单价合同：采用固定综合单价合同方式，工程量按实计量，其中组织措施费及</w:t>
      </w:r>
      <w:r>
        <w:rPr>
          <w:rFonts w:hint="eastAsia" w:ascii="宋体" w:hAnsi="宋体" w:eastAsia="宋体" w:cs="宋体"/>
          <w:color w:val="auto"/>
          <w:sz w:val="24"/>
          <w:szCs w:val="24"/>
          <w:highlight w:val="none"/>
        </w:rPr>
        <w:t>技术措施费</w:t>
      </w:r>
      <w:r>
        <w:rPr>
          <w:rFonts w:hint="eastAsia" w:ascii="宋体" w:hAnsi="宋体" w:eastAsia="宋体" w:cs="宋体"/>
          <w:bCs/>
          <w:color w:val="auto"/>
          <w:sz w:val="24"/>
          <w:szCs w:val="24"/>
          <w:highlight w:val="none"/>
        </w:rPr>
        <w:t>原则上包干</w:t>
      </w:r>
      <w:r>
        <w:rPr>
          <w:rFonts w:hint="eastAsia" w:ascii="宋体" w:hAnsi="宋体" w:eastAsia="宋体" w:cs="宋体"/>
          <w:color w:val="auto"/>
          <w:sz w:val="24"/>
          <w:szCs w:val="24"/>
          <w:highlight w:val="none"/>
        </w:rPr>
        <w:t>不予调整。</w:t>
      </w:r>
      <w:r>
        <w:rPr>
          <w:rFonts w:hint="eastAsia" w:ascii="宋体" w:hAnsi="宋体" w:eastAsia="宋体" w:cs="宋体"/>
          <w:bCs/>
          <w:color w:val="auto"/>
          <w:sz w:val="24"/>
          <w:szCs w:val="24"/>
          <w:highlight w:val="none"/>
        </w:rPr>
        <w:t>综合单价包含的风险范围：</w:t>
      </w:r>
    </w:p>
    <w:p w14:paraId="6DA79FB3">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）应由承包人承担的工、料、机在投标编制期或预算书编制期与合同实施期间所发生的市场价格波动。</w:t>
      </w:r>
    </w:p>
    <w:p w14:paraId="7F180E45">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）其他：</w:t>
      </w:r>
    </w:p>
    <w:p w14:paraId="532C7CE7">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a.</w:t>
      </w:r>
      <w:r>
        <w:rPr>
          <w:rFonts w:hint="eastAsia" w:ascii="宋体" w:hAnsi="宋体" w:eastAsia="宋体" w:cs="宋体"/>
          <w:bCs/>
          <w:color w:val="auto"/>
          <w:sz w:val="24"/>
          <w:szCs w:val="24"/>
          <w:highlight w:val="none"/>
        </w:rPr>
        <w:t>国家规定允许调整外的工日、材料（设备）、机械台班价格的上涨；</w:t>
      </w:r>
    </w:p>
    <w:p w14:paraId="52F67AD2">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b.</w:t>
      </w:r>
      <w:r>
        <w:rPr>
          <w:rFonts w:hint="eastAsia" w:ascii="宋体" w:hAnsi="宋体" w:eastAsia="宋体" w:cs="宋体"/>
          <w:bCs/>
          <w:color w:val="auto"/>
          <w:sz w:val="24"/>
          <w:szCs w:val="24"/>
          <w:highlight w:val="none"/>
        </w:rPr>
        <w:t>在工程施工中应能预计的费用；</w:t>
      </w:r>
    </w:p>
    <w:p w14:paraId="6E21F512">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c.</w:t>
      </w:r>
      <w:r>
        <w:rPr>
          <w:rFonts w:hint="eastAsia" w:ascii="宋体" w:hAnsi="宋体" w:eastAsia="宋体" w:cs="宋体"/>
          <w:bCs/>
          <w:color w:val="auto"/>
          <w:sz w:val="24"/>
          <w:szCs w:val="24"/>
          <w:highlight w:val="none"/>
        </w:rPr>
        <w:t>所有招标文件或工程量清单明示要求报价的内容而承包人未予报价的；</w:t>
      </w:r>
    </w:p>
    <w:p w14:paraId="59254DDB">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d.</w:t>
      </w:r>
      <w:r>
        <w:rPr>
          <w:rFonts w:hint="eastAsia" w:ascii="宋体" w:hAnsi="宋体" w:eastAsia="宋体" w:cs="宋体"/>
          <w:bCs/>
          <w:color w:val="auto"/>
          <w:sz w:val="24"/>
          <w:szCs w:val="24"/>
          <w:highlight w:val="none"/>
        </w:rPr>
        <w:t>承包人对工程现场环境以及发包人提供的招标文件、图纸等资料作出错误的推论、理解而导致的报价失误；</w:t>
      </w:r>
    </w:p>
    <w:p w14:paraId="73972DFF">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e.</w:t>
      </w:r>
      <w:r>
        <w:rPr>
          <w:rFonts w:hint="eastAsia" w:ascii="宋体" w:hAnsi="宋体" w:eastAsia="宋体" w:cs="宋体"/>
          <w:bCs/>
          <w:color w:val="auto"/>
          <w:sz w:val="24"/>
          <w:szCs w:val="24"/>
          <w:highlight w:val="none"/>
        </w:rPr>
        <w:t>招标范围项目组织措施费包干，结算时不</w:t>
      </w:r>
      <w:r>
        <w:rPr>
          <w:rFonts w:hint="eastAsia" w:ascii="宋体" w:hAnsi="宋体" w:eastAsia="宋体" w:cs="宋体"/>
          <w:bCs/>
          <w:color w:val="auto"/>
          <w:sz w:val="24"/>
          <w:szCs w:val="24"/>
          <w:highlight w:val="none"/>
          <w:lang w:eastAsia="zh-CN"/>
        </w:rPr>
        <w:t>作调整</w:t>
      </w:r>
      <w:r>
        <w:rPr>
          <w:rFonts w:hint="eastAsia" w:ascii="宋体" w:hAnsi="宋体" w:eastAsia="宋体" w:cs="宋体"/>
          <w:bCs/>
          <w:color w:val="auto"/>
          <w:sz w:val="24"/>
          <w:szCs w:val="24"/>
          <w:highlight w:val="none"/>
        </w:rPr>
        <w:t>，但工程发生重大甩项时，应根据实际情况酌情扣减。技术措施费按项报价实行包干，结算时不作调整，工程发生重大变更导致确实需要调整技术措施费用、并经重大变更相关会议决定同意的，可予调整；</w:t>
      </w:r>
    </w:p>
    <w:p w14:paraId="2753AEC9">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f.</w:t>
      </w:r>
      <w:r>
        <w:rPr>
          <w:rFonts w:hint="eastAsia" w:ascii="宋体" w:hAnsi="宋体" w:eastAsia="宋体" w:cs="宋体"/>
          <w:bCs/>
          <w:color w:val="auto"/>
          <w:sz w:val="24"/>
          <w:szCs w:val="24"/>
          <w:highlight w:val="none"/>
        </w:rPr>
        <w:t>按图集或规范施工的，单价必须满足规范和图集要求，单价不得调整；</w:t>
      </w:r>
    </w:p>
    <w:p w14:paraId="1F72F495">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g.</w:t>
      </w:r>
      <w:r>
        <w:rPr>
          <w:rFonts w:hint="eastAsia" w:ascii="宋体" w:hAnsi="宋体" w:eastAsia="宋体" w:cs="宋体"/>
          <w:bCs/>
          <w:color w:val="auto"/>
          <w:sz w:val="24"/>
          <w:szCs w:val="24"/>
          <w:highlight w:val="none"/>
        </w:rPr>
        <w:t>工程量项目特征描述中未描述或描述不全，但又是完成该清单项目中必须有的工作内容，均应包括在报价内；</w:t>
      </w:r>
    </w:p>
    <w:p w14:paraId="2AB6043A">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h.</w:t>
      </w:r>
      <w:r>
        <w:rPr>
          <w:rFonts w:hint="eastAsia" w:ascii="宋体" w:hAnsi="宋体" w:eastAsia="宋体" w:cs="宋体"/>
          <w:bCs/>
          <w:color w:val="auto"/>
          <w:sz w:val="24"/>
          <w:szCs w:val="24"/>
          <w:highlight w:val="none"/>
        </w:rPr>
        <w:t>因施工场地窄小、场内施工不便等需要增加的各种费用；</w:t>
      </w:r>
    </w:p>
    <w:p w14:paraId="74426021">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i.</w:t>
      </w:r>
      <w:r>
        <w:rPr>
          <w:rFonts w:hint="eastAsia" w:ascii="宋体" w:hAnsi="宋体" w:eastAsia="宋体" w:cs="宋体"/>
          <w:bCs/>
          <w:color w:val="auto"/>
          <w:sz w:val="24"/>
          <w:szCs w:val="24"/>
          <w:highlight w:val="none"/>
        </w:rPr>
        <w:t>在工程施工中有经验的承包人应能预计</w:t>
      </w:r>
      <w:r>
        <w:rPr>
          <w:rFonts w:hint="eastAsia" w:ascii="宋体" w:hAnsi="宋体" w:eastAsia="宋体" w:cs="宋体"/>
          <w:bCs/>
          <w:color w:val="auto"/>
          <w:sz w:val="24"/>
          <w:szCs w:val="24"/>
          <w:highlight w:val="none"/>
          <w:lang w:eastAsia="zh-CN"/>
        </w:rPr>
        <w:t>的其他费用</w:t>
      </w:r>
      <w:r>
        <w:rPr>
          <w:rFonts w:hint="eastAsia" w:ascii="宋体" w:hAnsi="宋体" w:eastAsia="宋体" w:cs="宋体"/>
          <w:bCs/>
          <w:color w:val="auto"/>
          <w:sz w:val="24"/>
          <w:szCs w:val="24"/>
          <w:highlight w:val="none"/>
        </w:rPr>
        <w:t>。</w:t>
      </w:r>
    </w:p>
    <w:p w14:paraId="19D06309">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工程实施中属于招标文件和本合同约定需要投标报价和合同包干风险范围内应考虑的费用，虽经发包人现场签证认可，在工程结算时可认定该签证无效。</w:t>
      </w:r>
    </w:p>
    <w:p w14:paraId="2D7E4E5B">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风险费用的计算方法：以上风险范围之内的费用承包人已预估并计入投标总价，不再另行计取。</w:t>
      </w:r>
    </w:p>
    <w:p w14:paraId="24EDBFB4">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风险范围以外合同价格的调整方法：</w:t>
      </w:r>
      <w:r>
        <w:rPr>
          <w:rFonts w:hint="eastAsia" w:ascii="宋体" w:hAnsi="宋体" w:eastAsia="宋体" w:cs="宋体"/>
          <w:bCs/>
          <w:color w:val="auto"/>
          <w:sz w:val="24"/>
          <w:szCs w:val="24"/>
          <w:highlight w:val="none"/>
          <w:u w:val="single"/>
        </w:rPr>
        <w:t>市场价格波动引起的调整按本合同</w:t>
      </w:r>
      <w:r>
        <w:rPr>
          <w:rFonts w:hint="eastAsia" w:ascii="宋体" w:hAnsi="宋体" w:eastAsia="宋体" w:cs="宋体"/>
          <w:bCs/>
          <w:color w:val="auto"/>
          <w:sz w:val="24"/>
          <w:szCs w:val="24"/>
          <w:highlight w:val="none"/>
          <w:u w:val="single"/>
          <w:lang w:val="en-US" w:eastAsia="zh-CN"/>
        </w:rPr>
        <w:t>本条款第5条【价格调整】</w:t>
      </w:r>
      <w:r>
        <w:rPr>
          <w:rFonts w:hint="eastAsia" w:ascii="宋体" w:hAnsi="宋体" w:eastAsia="宋体" w:cs="宋体"/>
          <w:bCs/>
          <w:color w:val="auto"/>
          <w:sz w:val="24"/>
          <w:szCs w:val="24"/>
          <w:highlight w:val="none"/>
          <w:u w:val="single"/>
        </w:rPr>
        <w:t>的约定计算。</w:t>
      </w:r>
    </w:p>
    <w:p w14:paraId="0F0B4F15">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（2）固定总价合同：本工程总价已包含招标文件、投标文件及合同协议书、招标范围内施工图、已标价工程量清单、中标通知书等合同文件所列内容及所涉及的所有风险费用。</w:t>
      </w:r>
      <w:r>
        <w:rPr>
          <w:rFonts w:hint="eastAsia" w:ascii="宋体" w:hAnsi="宋体" w:eastAsia="宋体" w:cs="宋体"/>
          <w:color w:val="auto"/>
          <w:sz w:val="24"/>
          <w:szCs w:val="24"/>
          <w:highlight w:val="none"/>
        </w:rPr>
        <w:t>在约定的范围内合同总价不作调整，约定范围外的部分另行结算。</w:t>
      </w:r>
      <w:r>
        <w:rPr>
          <w:rFonts w:hint="eastAsia" w:ascii="宋体" w:hAnsi="宋体" w:eastAsia="宋体" w:cs="宋体"/>
          <w:bCs/>
          <w:color w:val="auto"/>
          <w:sz w:val="24"/>
          <w:szCs w:val="24"/>
          <w:highlight w:val="none"/>
        </w:rPr>
        <w:t>其他约定：</w:t>
      </w:r>
      <w:r>
        <w:rPr>
          <w:rFonts w:hint="eastAsia" w:ascii="宋体" w:hAnsi="宋体" w:eastAsia="宋体" w:cs="宋体"/>
          <w:bCs/>
          <w:color w:val="auto"/>
          <w:sz w:val="24"/>
          <w:szCs w:val="24"/>
          <w:highlight w:val="none"/>
          <w:u w:val="single"/>
        </w:rPr>
        <w:t xml:space="preserve"> / </w:t>
      </w:r>
      <w:r>
        <w:rPr>
          <w:rFonts w:hint="eastAsia" w:ascii="宋体" w:hAnsi="宋体" w:eastAsia="宋体" w:cs="宋体"/>
          <w:bCs/>
          <w:color w:val="auto"/>
          <w:sz w:val="24"/>
          <w:szCs w:val="24"/>
          <w:highlight w:val="none"/>
        </w:rPr>
        <w:t>。</w:t>
      </w:r>
    </w:p>
    <w:p w14:paraId="019AB042">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定额计价合同：工程量按实计量，价格套用《浙江省建设工程计价规则》（2018版）、《浙江省房屋建筑与装饰工程预算定额》（2018版）等本省2018版计价依据，施工期《杭州市造价信息》《浙江省造价信息》及现行有关规定执行，无信息价的按双方协商市场价计取（签证价不下浮），企业管理费、利润费率按中值计取，规费及税金按计价规范和有关规定计算，总价需下浮</w:t>
      </w:r>
      <w:r>
        <w:rPr>
          <w:rFonts w:hint="eastAsia" w:ascii="宋体" w:hAnsi="宋体" w:eastAsia="宋体" w:cs="宋体"/>
          <w:bCs/>
          <w:color w:val="auto"/>
          <w:sz w:val="24"/>
          <w:szCs w:val="24"/>
          <w:highlight w:val="none"/>
          <w:u w:val="single"/>
        </w:rPr>
        <w:t xml:space="preserve">  /  </w:t>
      </w:r>
      <w:r>
        <w:rPr>
          <w:rFonts w:hint="eastAsia" w:ascii="宋体" w:hAnsi="宋体" w:eastAsia="宋体" w:cs="宋体"/>
          <w:bCs/>
          <w:color w:val="auto"/>
          <w:sz w:val="24"/>
          <w:szCs w:val="24"/>
          <w:highlight w:val="none"/>
        </w:rPr>
        <w:t>%，最终以结算审计单位审定为准。</w:t>
      </w:r>
    </w:p>
    <w:p w14:paraId="73D8ABB5">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3.变更范围</w:t>
      </w:r>
    </w:p>
    <w:p w14:paraId="111B9F5C">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关于</w:t>
      </w:r>
      <w:r>
        <w:rPr>
          <w:rFonts w:hint="eastAsia" w:ascii="宋体" w:hAnsi="宋体" w:eastAsia="宋体" w:cs="宋体"/>
          <w:bCs/>
          <w:color w:val="auto"/>
          <w:sz w:val="24"/>
          <w:szCs w:val="24"/>
          <w:highlight w:val="none"/>
          <w:lang w:eastAsia="zh-CN"/>
        </w:rPr>
        <w:t>变更</w:t>
      </w:r>
      <w:r>
        <w:rPr>
          <w:rFonts w:hint="eastAsia" w:ascii="宋体" w:hAnsi="宋体" w:eastAsia="宋体" w:cs="宋体"/>
          <w:bCs/>
          <w:color w:val="auto"/>
          <w:sz w:val="24"/>
          <w:szCs w:val="24"/>
          <w:highlight w:val="none"/>
        </w:rPr>
        <w:t>范围的约定：按照建设单位及上级管理部门的变更管理</w:t>
      </w:r>
      <w:r>
        <w:rPr>
          <w:rFonts w:hint="eastAsia" w:ascii="宋体" w:hAnsi="宋体" w:eastAsia="宋体" w:cs="宋体"/>
          <w:bCs/>
          <w:color w:val="auto"/>
          <w:sz w:val="24"/>
          <w:szCs w:val="24"/>
          <w:highlight w:val="none"/>
          <w:lang w:eastAsia="zh-CN"/>
        </w:rPr>
        <w:t>办法</w:t>
      </w:r>
      <w:r>
        <w:rPr>
          <w:rFonts w:hint="eastAsia" w:ascii="宋体" w:hAnsi="宋体" w:eastAsia="宋体" w:cs="宋体"/>
          <w:bCs/>
          <w:color w:val="auto"/>
          <w:sz w:val="24"/>
          <w:szCs w:val="24"/>
          <w:highlight w:val="none"/>
        </w:rPr>
        <w:t>的相关规定。</w:t>
      </w:r>
    </w:p>
    <w:p w14:paraId="7357747E">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施工中发包人需对原工程设计变更，应提前14天以书面形式向承包人发出变更通知。变更超过原设计标准或批准的建设规模时，发包人应报相关管理部门和其他有关部门重新审查批准。承包人按照发包人发出的变更通知、图纸及有关要求进行变更。</w:t>
      </w:r>
    </w:p>
    <w:p w14:paraId="442F57E9">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施工中承包人不得对原工程设计方案进行变更。因承包人擅自变更设计方案发生的费用和由此导致发包人的直接损失， 由承包人承担，延误的工期不予顺延。</w:t>
      </w:r>
    </w:p>
    <w:p w14:paraId="1CE36757">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承包人在施工中提出的合理化建议</w:t>
      </w:r>
      <w:r>
        <w:rPr>
          <w:rFonts w:hint="eastAsia" w:ascii="宋体" w:hAnsi="宋体" w:eastAsia="宋体" w:cs="宋体"/>
          <w:bCs/>
          <w:color w:val="auto"/>
          <w:sz w:val="24"/>
          <w:szCs w:val="24"/>
          <w:highlight w:val="none"/>
          <w:lang w:eastAsia="zh-CN"/>
        </w:rPr>
        <w:t>涉及</w:t>
      </w:r>
      <w:r>
        <w:rPr>
          <w:rFonts w:hint="eastAsia" w:ascii="宋体" w:hAnsi="宋体" w:eastAsia="宋体" w:cs="宋体"/>
          <w:bCs/>
          <w:color w:val="auto"/>
          <w:sz w:val="24"/>
          <w:szCs w:val="24"/>
          <w:highlight w:val="none"/>
        </w:rPr>
        <w:t>对设计图纸或施工组织方案的更改及对材料、设备的换用，须经发包人同意。未经同意擅自更改或换用时，承包人承担由此发生的费用，并赔偿发包人的有关损失，延误的工期不予顺延。</w:t>
      </w:r>
    </w:p>
    <w:p w14:paraId="77B1DD4A">
      <w:pPr>
        <w:pageBreakBefore w:val="0"/>
        <w:widowControl/>
        <w:wordWrap/>
        <w:overflowPunct/>
        <w:topLinePunct w:val="0"/>
        <w:bidi w:val="0"/>
        <w:spacing w:line="440" w:lineRule="exact"/>
        <w:ind w:left="0" w:leftChars="0" w:firstLine="480" w:firstLineChars="200"/>
        <w:jc w:val="both"/>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发包人有可能根据工程需要修改方案或发出指令增加或减少工程量，工程量不论增减多少，承包人均应无条件服从，对因变更增加或减少的工程量，其结算口径按本合同专用条款执行。</w:t>
      </w:r>
    </w:p>
    <w:p w14:paraId="7116A9E1">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变更估价原则：</w:t>
      </w:r>
    </w:p>
    <w:p w14:paraId="018AC158">
      <w:pPr>
        <w:spacing w:before="115" w:line="219" w:lineRule="auto"/>
        <w:ind w:left="493"/>
        <w:rPr>
          <w:rFonts w:ascii="宋体" w:hAnsi="宋体" w:eastAsia="宋体" w:cs="宋体"/>
          <w:color w:val="auto"/>
          <w:sz w:val="24"/>
          <w:szCs w:val="24"/>
          <w:highlight w:val="none"/>
        </w:rPr>
      </w:pPr>
      <w:bookmarkStart w:id="4" w:name="_Toc351203485"/>
      <w:r>
        <w:rPr>
          <w:rFonts w:ascii="宋体" w:hAnsi="宋体" w:eastAsia="宋体" w:cs="宋体"/>
          <w:color w:val="auto"/>
          <w:spacing w:val="3"/>
          <w:sz w:val="24"/>
          <w:szCs w:val="24"/>
          <w:highlight w:val="none"/>
        </w:rPr>
        <w:t>关于变更估价的约定</w:t>
      </w:r>
      <w:r>
        <w:rPr>
          <w:rFonts w:hint="eastAsia" w:ascii="宋体" w:hAnsi="宋体" w:eastAsia="宋体" w:cs="宋体"/>
          <w:color w:val="auto"/>
          <w:spacing w:val="3"/>
          <w:sz w:val="24"/>
          <w:szCs w:val="24"/>
          <w:highlight w:val="none"/>
          <w:lang w:eastAsia="zh-CN"/>
        </w:rPr>
        <w:t>：</w:t>
      </w:r>
    </w:p>
    <w:p w14:paraId="716EA894">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（1）已标价工程量清单或预算书有相同项目的，按照相同项目单价确定，变更单价按就低不就高，补少不补多，扣多不扣少的原则。</w:t>
      </w:r>
    </w:p>
    <w:p w14:paraId="14047563">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（2）已标价工程量清单或预算书中无相同项目，但有类似项目的，参照类似项目的单价确定。</w:t>
      </w:r>
    </w:p>
    <w:p w14:paraId="0C800B3A">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①清单项目某一特征或工程内容变化，不影响其他特征及工程内容价格的，其他特征组合标准不变，仅调整发生变化的组合子目价格。</w:t>
      </w:r>
    </w:p>
    <w:p w14:paraId="7E34E903">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②某种材料（包括半成品或成品）等级、标准发生变化的，清单组价子目不变，仅调整不同材料编制期信息价的差价（计税金）：材料编制期信息价计价顺序依次为《杭州市造价信息</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浙江省造价信息》正刊，对造价信息价正刊没有的材料，发包人将在充分市场询价基础上，参照同期同类材料市场价格水平，按照相关规定审批程序签证确定其编制期信息价。</w:t>
      </w:r>
    </w:p>
    <w:p w14:paraId="127B2125">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（3）已标价工程量清单或预算书中无相同项目及类似项目单价的，其单价的确定，按以下约定：</w:t>
      </w:r>
    </w:p>
    <w:p w14:paraId="1E1F4CFF">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①定额套用顺序：新增单价依据《杭州市建设工程工程量清单计价实施细则》</w:t>
      </w:r>
      <w:r>
        <w:rPr>
          <w:rFonts w:hint="eastAsia" w:ascii="宋体" w:hAnsi="宋体" w:eastAsia="宋体" w:cs="宋体"/>
          <w:bCs/>
          <w:color w:val="auto"/>
          <w:sz w:val="24"/>
          <w:szCs w:val="24"/>
          <w:highlight w:val="none"/>
        </w:rPr>
        <w:tab/>
      </w:r>
      <w:r>
        <w:rPr>
          <w:rFonts w:hint="eastAsia" w:ascii="宋体" w:hAnsi="宋体" w:eastAsia="宋体" w:cs="宋体"/>
          <w:bCs/>
          <w:color w:val="auto"/>
          <w:sz w:val="24"/>
          <w:szCs w:val="24"/>
          <w:highlight w:val="none"/>
        </w:rPr>
        <w:t>（杭建市发</w:t>
      </w:r>
      <w:r>
        <w:rPr>
          <w:rFonts w:hint="eastAsia" w:ascii="宋体" w:hAnsi="宋体" w:eastAsia="宋体" w:cs="宋体"/>
          <w:bCs/>
          <w:color w:val="auto"/>
          <w:sz w:val="24"/>
          <w:szCs w:val="24"/>
          <w:highlight w:val="none"/>
          <w:lang w:eastAsia="zh-CN"/>
        </w:rPr>
        <w:t>〔2018〕578号</w:t>
      </w:r>
      <w:r>
        <w:rPr>
          <w:rFonts w:hint="eastAsia" w:ascii="宋体" w:hAnsi="宋体" w:eastAsia="宋体" w:cs="宋体"/>
          <w:bCs/>
          <w:color w:val="auto"/>
          <w:sz w:val="24"/>
          <w:szCs w:val="24"/>
          <w:highlight w:val="none"/>
        </w:rPr>
        <w:t>）并依次采用浙江省安装工程预算定额（2018版）、浙江省市政工程预算定额（2018版）、浙江省建筑工程预算定额（2018版）、其他定额（如无法直接套用定额的，可参考其他部委类似定额自行补充）；</w:t>
      </w:r>
    </w:p>
    <w:p w14:paraId="423D2EB3">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②材料单价：按投标截止时间日前28日历天所在月份的杭州市公开发布的《杭州造价信息》计算，信息价中没有的材料价格经发包人、承包人市场调查询价后，参照施工期同类材料市场价格水平，并形成市场询价资料，按照相关规定审批程序签证确定；</w:t>
      </w:r>
    </w:p>
    <w:p w14:paraId="125C4E68">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③费率：按采用的相应定额取费标准（中值），规费、税金、农民工工伤保险按投标口径执行；</w:t>
      </w:r>
    </w:p>
    <w:p w14:paraId="6560B212">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④优惠幅度：新增综合单价按上述①、②、③原则计算后乘以（1-承包人报价浮动率L）得出结算单价，承包人报价浮动率L=（1-中标价÷招标控制价）×100%。</w:t>
      </w:r>
    </w:p>
    <w:p w14:paraId="7007E09C">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⑤当零星工程发生签证人工、机械台班数量，人工和机械台班单价有投标价的执行投标价，无投标价的执行相应定额并按投标口径同比例优惠。</w:t>
      </w:r>
    </w:p>
    <w:p w14:paraId="4756204B">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（4）工程量清单错误和（或）设计变更导致实际完成的工程量与已标价工程量</w:t>
      </w:r>
    </w:p>
    <w:p w14:paraId="44B727D9">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清单或预算书中列明的该项目工程量的变化幅度超过以下情况的，其单价允许调整：凡合价金额占合同总价2%及以上的分部分项清单项目，其工程量增加或减少超过本</w:t>
      </w:r>
    </w:p>
    <w:p w14:paraId="202907D9">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工程数量15%及以上时，或者合价金额占合同总价不到2%的分部分项清单项目，但其工程量增加或减少超过本项目工程数量25%以上时。工程量偏差超过上述变化幅度之外变动部分的相应单价调整方法按以下方式约定：</w:t>
      </w:r>
    </w:p>
    <w:p w14:paraId="050D452A">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按照《建设工程工程量清单计价规范》（GB50500-2013）9.6.2条规定，增加部分的工程量的综合单价应予调低，减少后剩余部分的工程量的综合单价应予调高，可按下列公式调整</w:t>
      </w:r>
      <w:r>
        <w:rPr>
          <w:rFonts w:hint="eastAsia" w:ascii="宋体" w:hAnsi="宋体" w:eastAsia="宋体" w:cs="宋体"/>
          <w:bCs/>
          <w:color w:val="auto"/>
          <w:sz w:val="24"/>
          <w:szCs w:val="24"/>
          <w:highlight w:val="none"/>
          <w:lang w:eastAsia="zh-CN"/>
        </w:rPr>
        <w:t>：</w:t>
      </w:r>
    </w:p>
    <w:p w14:paraId="720EA79F">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凡合价金额占合同总价2%及以上的分部分项清单项目，</w:t>
      </w:r>
    </w:p>
    <w:p w14:paraId="12D8AD57">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①当Q1&gt;1.15Q0时</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 xml:space="preserve">       S=1.15Q0×P0+（Q1-1.15 Q0）×P1</w:t>
      </w:r>
    </w:p>
    <w:p w14:paraId="13F889C7">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②当Q1&lt;0.85Q0时</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 xml:space="preserve">       S=Q1×P1</w:t>
      </w:r>
    </w:p>
    <w:p w14:paraId="41793511">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凡合价金额占合同总价不到2%的分部分项清单项目，</w:t>
      </w:r>
    </w:p>
    <w:p w14:paraId="650DD2C4">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③当Q1&gt;1.25Q0时</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 xml:space="preserve">       S=1.25Q0×P0+（Q1-1.25 Q0）×P1</w:t>
      </w:r>
    </w:p>
    <w:p w14:paraId="00D455EF">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④当Q1&lt;0.75Q0时</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 xml:space="preserve">       S=Q1×P1</w:t>
      </w:r>
    </w:p>
    <w:p w14:paraId="7AB1B544">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式中 S——调整后某一分部分项工程费结算价；</w:t>
      </w:r>
    </w:p>
    <w:p w14:paraId="06182041">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ab/>
      </w:r>
      <w:r>
        <w:rPr>
          <w:rFonts w:hint="eastAsia" w:ascii="宋体" w:hAnsi="宋体" w:eastAsia="宋体" w:cs="宋体"/>
          <w:bCs/>
          <w:color w:val="auto"/>
          <w:sz w:val="24"/>
          <w:szCs w:val="24"/>
          <w:highlight w:val="none"/>
        </w:rPr>
        <w:t>Q1——最终完成的工程量；</w:t>
      </w:r>
    </w:p>
    <w:p w14:paraId="7B1A7E41">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ab/>
      </w:r>
      <w:r>
        <w:rPr>
          <w:rFonts w:hint="eastAsia" w:ascii="宋体" w:hAnsi="宋体" w:eastAsia="宋体" w:cs="宋体"/>
          <w:bCs/>
          <w:color w:val="auto"/>
          <w:sz w:val="24"/>
          <w:szCs w:val="24"/>
          <w:highlight w:val="none"/>
        </w:rPr>
        <w:t>Q0——招标工程量清单中列出的工程量；</w:t>
      </w:r>
    </w:p>
    <w:p w14:paraId="329A78DD">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ab/>
      </w:r>
      <w:r>
        <w:rPr>
          <w:rFonts w:hint="eastAsia" w:ascii="宋体" w:hAnsi="宋体" w:eastAsia="宋体" w:cs="宋体"/>
          <w:bCs/>
          <w:color w:val="auto"/>
          <w:sz w:val="24"/>
          <w:szCs w:val="24"/>
          <w:highlight w:val="none"/>
        </w:rPr>
        <w:t>P0——承包人在已标价工程量清单中填报的综合单价</w:t>
      </w:r>
    </w:p>
    <w:p w14:paraId="35AAEE7F">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ab/>
      </w:r>
      <w:r>
        <w:rPr>
          <w:rFonts w:hint="eastAsia" w:ascii="宋体" w:hAnsi="宋体" w:eastAsia="宋体" w:cs="宋体"/>
          <w:bCs/>
          <w:color w:val="auto"/>
          <w:sz w:val="24"/>
          <w:szCs w:val="24"/>
          <w:highlight w:val="none"/>
        </w:rPr>
        <w:t>P1——按照最终完成工程量重新调整后的综合单价，按本合同</w:t>
      </w:r>
      <w:r>
        <w:rPr>
          <w:rFonts w:hint="eastAsia" w:ascii="宋体" w:hAnsi="宋体" w:eastAsia="宋体" w:cs="宋体"/>
          <w:bCs/>
          <w:color w:val="auto"/>
          <w:sz w:val="24"/>
          <w:szCs w:val="24"/>
          <w:highlight w:val="none"/>
          <w:lang w:val="en-US" w:eastAsia="zh-CN"/>
        </w:rPr>
        <w:t>本条款</w:t>
      </w:r>
      <w:r>
        <w:rPr>
          <w:rFonts w:hint="eastAsia" w:ascii="宋体" w:hAnsi="宋体" w:eastAsia="宋体" w:cs="宋体"/>
          <w:bCs/>
          <w:color w:val="auto"/>
          <w:sz w:val="24"/>
          <w:szCs w:val="24"/>
          <w:highlight w:val="none"/>
        </w:rPr>
        <w:t>第</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 xml:space="preserve">条（3）款约定的组价方法计算。结算单价的确定，在P1和P0进行比较，在工程量增加时，若计算结果大于P0的，结算单价取P0，在工程量减少时，若计算结果小于P0的，结算单价取P0。  </w:t>
      </w:r>
    </w:p>
    <w:p w14:paraId="5DFD3F93">
      <w:pPr>
        <w:spacing w:before="116" w:line="220" w:lineRule="auto"/>
        <w:ind w:left="507"/>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（4）</w:t>
      </w:r>
      <w:r>
        <w:rPr>
          <w:rFonts w:ascii="宋体" w:hAnsi="宋体" w:eastAsia="宋体" w:cs="宋体"/>
          <w:color w:val="auto"/>
          <w:spacing w:val="-5"/>
          <w:sz w:val="24"/>
          <w:szCs w:val="24"/>
          <w:highlight w:val="none"/>
        </w:rPr>
        <w:t>暂列金额</w:t>
      </w:r>
    </w:p>
    <w:p w14:paraId="3A36CA1A">
      <w:pPr>
        <w:spacing w:before="113" w:line="308" w:lineRule="auto"/>
        <w:ind w:left="11" w:right="188" w:firstLine="479"/>
        <w:rPr>
          <w:rFonts w:hint="eastAsia" w:ascii="宋体" w:hAnsi="宋体" w:eastAsia="宋体" w:cs="宋体"/>
          <w:bCs/>
          <w:color w:val="auto"/>
          <w:sz w:val="24"/>
          <w:szCs w:val="24"/>
          <w:highlight w:val="none"/>
          <w:lang w:val="en-US" w:eastAsia="zh-CN"/>
        </w:rPr>
      </w:pPr>
      <w:r>
        <w:rPr>
          <w:rFonts w:ascii="宋体" w:hAnsi="宋体" w:eastAsia="宋体" w:cs="宋体"/>
          <w:color w:val="auto"/>
          <w:spacing w:val="6"/>
          <w:sz w:val="24"/>
          <w:szCs w:val="24"/>
          <w:highlight w:val="none"/>
        </w:rPr>
        <w:t>合同当事人关于暂列金额使用的约定：</w:t>
      </w:r>
      <w:r>
        <w:rPr>
          <w:rFonts w:ascii="宋体" w:hAnsi="宋体" w:eastAsia="宋体" w:cs="宋体"/>
          <w:color w:val="auto"/>
          <w:spacing w:val="6"/>
          <w:sz w:val="24"/>
          <w:szCs w:val="24"/>
          <w:highlight w:val="none"/>
          <w:u w:val="single" w:color="auto"/>
        </w:rPr>
        <w:t>暂列金额</w:t>
      </w:r>
      <w:r>
        <w:rPr>
          <w:rFonts w:ascii="宋体" w:hAnsi="宋体" w:eastAsia="宋体" w:cs="宋体"/>
          <w:color w:val="auto"/>
          <w:spacing w:val="5"/>
          <w:sz w:val="24"/>
          <w:szCs w:val="24"/>
          <w:highlight w:val="none"/>
          <w:u w:val="single" w:color="auto"/>
        </w:rPr>
        <w:t>作为不可预见费，实际发生时</w:t>
      </w:r>
      <w:r>
        <w:rPr>
          <w:rFonts w:ascii="宋体" w:hAnsi="宋体" w:eastAsia="宋体" w:cs="宋体"/>
          <w:color w:val="auto"/>
          <w:spacing w:val="-1"/>
          <w:sz w:val="24"/>
          <w:szCs w:val="24"/>
          <w:highlight w:val="none"/>
          <w:u w:val="single" w:color="auto"/>
        </w:rPr>
        <w:t>按实结算，不发生时不予支付</w:t>
      </w:r>
      <w:r>
        <w:rPr>
          <w:rFonts w:ascii="宋体" w:hAnsi="宋体" w:eastAsia="宋体" w:cs="宋体"/>
          <w:color w:val="auto"/>
          <w:spacing w:val="-1"/>
          <w:sz w:val="24"/>
          <w:szCs w:val="24"/>
          <w:highlight w:val="none"/>
        </w:rPr>
        <w:t>。</w:t>
      </w:r>
    </w:p>
    <w:p w14:paraId="426E635C">
      <w:pPr>
        <w:pageBreakBefore w:val="0"/>
        <w:widowControl/>
        <w:wordWrap/>
        <w:overflowPunct/>
        <w:topLinePunct w:val="0"/>
        <w:bidi w:val="0"/>
        <w:spacing w:line="440" w:lineRule="exact"/>
        <w:ind w:left="0" w:leftChars="0" w:firstLine="720" w:firstLineChars="300"/>
        <w:jc w:val="both"/>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5.价格调整</w:t>
      </w:r>
    </w:p>
    <w:p w14:paraId="652891DB">
      <w:pPr>
        <w:pageBreakBefore w:val="0"/>
        <w:widowControl/>
        <w:wordWrap/>
        <w:overflowPunct/>
        <w:topLinePunct w:val="0"/>
        <w:bidi w:val="0"/>
        <w:spacing w:line="440" w:lineRule="exact"/>
        <w:ind w:left="0" w:leftChars="0" w:firstLine="720" w:firstLineChars="300"/>
        <w:jc w:val="both"/>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（1）市场价格波动引起的调整</w:t>
      </w:r>
    </w:p>
    <w:p w14:paraId="1503BABA">
      <w:pPr>
        <w:pageBreakBefore w:val="0"/>
        <w:widowControl/>
        <w:wordWrap/>
        <w:overflowPunct/>
        <w:topLinePunct w:val="0"/>
        <w:bidi w:val="0"/>
        <w:spacing w:line="440" w:lineRule="exact"/>
        <w:ind w:left="0" w:leftChars="0" w:firstLine="720" w:firstLineChars="300"/>
        <w:jc w:val="both"/>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市场价格波动是否调整合同价格的约定：</w:t>
      </w:r>
      <w:r>
        <w:rPr>
          <w:rFonts w:hint="eastAsia" w:ascii="宋体" w:hAnsi="宋体" w:eastAsia="宋体" w:cs="宋体"/>
          <w:bCs/>
          <w:color w:val="auto"/>
          <w:sz w:val="24"/>
          <w:szCs w:val="24"/>
          <w:highlight w:val="none"/>
          <w:u w:val="single"/>
          <w:lang w:val="en-US" w:eastAsia="zh-CN"/>
        </w:rPr>
        <w:t xml:space="preserve">  是  </w:t>
      </w:r>
      <w:r>
        <w:rPr>
          <w:rFonts w:hint="eastAsia" w:ascii="宋体" w:hAnsi="宋体" w:eastAsia="宋体" w:cs="宋体"/>
          <w:bCs/>
          <w:color w:val="auto"/>
          <w:sz w:val="24"/>
          <w:szCs w:val="24"/>
          <w:highlight w:val="none"/>
          <w:lang w:val="en-US" w:eastAsia="zh-CN"/>
        </w:rPr>
        <w:t>。因市场价格波动调整合同价格，采用以下方式对合同价格进行调整：</w:t>
      </w:r>
    </w:p>
    <w:p w14:paraId="4BDD211A">
      <w:pPr>
        <w:pageBreakBefore w:val="0"/>
        <w:widowControl/>
        <w:wordWrap/>
        <w:overflowPunct/>
        <w:topLinePunct w:val="0"/>
        <w:bidi w:val="0"/>
        <w:spacing w:line="440" w:lineRule="exact"/>
        <w:ind w:left="0" w:leftChars="0" w:firstLine="720" w:firstLineChars="300"/>
        <w:jc w:val="both"/>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按《关于进一步加强杭州市建设工程市场要素价格动态管理的指导意见》（杭建市发〔2018〕579号）执行；约定市场要素价格调整方式及价差计算方法：</w:t>
      </w:r>
    </w:p>
    <w:p w14:paraId="0D152F07">
      <w:pPr>
        <w:pageBreakBefore w:val="0"/>
        <w:widowControl/>
        <w:wordWrap/>
        <w:overflowPunct/>
        <w:topLinePunct w:val="0"/>
        <w:bidi w:val="0"/>
        <w:spacing w:line="440" w:lineRule="exact"/>
        <w:ind w:left="0" w:leftChars="0" w:firstLine="720" w:firstLineChars="300"/>
        <w:jc w:val="both"/>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①材料价款动态调整结算方式约定：采用竣工后一次性结算调价。</w:t>
      </w:r>
    </w:p>
    <w:p w14:paraId="12BBAFB8">
      <w:pPr>
        <w:pageBreakBefore w:val="0"/>
        <w:widowControl/>
        <w:wordWrap/>
        <w:overflowPunct/>
        <w:topLinePunct w:val="0"/>
        <w:bidi w:val="0"/>
        <w:spacing w:line="440" w:lineRule="exact"/>
        <w:ind w:left="0" w:leftChars="0" w:firstLine="720" w:firstLineChars="300"/>
        <w:jc w:val="both"/>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②风险范围及幅度的约定：人工费的风险幅度为5%，材料价格的风险幅度为5%，施工机械台班中的机上人工、燃料动力的风险约定幅度按相应人工、材料价格风险原则处理。</w:t>
      </w:r>
    </w:p>
    <w:p w14:paraId="6AE3F2D5">
      <w:pPr>
        <w:pageBreakBefore w:val="0"/>
        <w:widowControl/>
        <w:wordWrap/>
        <w:overflowPunct/>
        <w:topLinePunct w:val="0"/>
        <w:bidi w:val="0"/>
        <w:spacing w:line="440" w:lineRule="exact"/>
        <w:ind w:left="0" w:leftChars="0" w:firstLine="720" w:firstLineChars="300"/>
        <w:jc w:val="both"/>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③非承包人原因引起的延期，经发包人审批同意顺延后，经批准的顺延工期可计入合同工期，未经审批同意，不得延长合同工期。</w:t>
      </w:r>
    </w:p>
    <w:p w14:paraId="1E4C6429">
      <w:pPr>
        <w:pageBreakBefore w:val="0"/>
        <w:widowControl/>
        <w:wordWrap/>
        <w:overflowPunct/>
        <w:topLinePunct w:val="0"/>
        <w:bidi w:val="0"/>
        <w:spacing w:line="440" w:lineRule="exact"/>
        <w:ind w:left="0" w:leftChars="0" w:firstLine="720" w:firstLineChars="300"/>
        <w:jc w:val="both"/>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④承包人办理工程结算时必须向审核部门提供预算软件导出的带有计价软件格式的电子结算文件。</w:t>
      </w:r>
    </w:p>
    <w:p w14:paraId="666098D9">
      <w:pPr>
        <w:pageBreakBefore w:val="0"/>
        <w:widowControl/>
        <w:wordWrap/>
        <w:overflowPunct/>
        <w:topLinePunct w:val="0"/>
        <w:bidi w:val="0"/>
        <w:spacing w:line="440" w:lineRule="exact"/>
        <w:ind w:left="0" w:leftChars="0" w:firstLine="720" w:firstLineChars="300"/>
        <w:jc w:val="both"/>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⑤若杭州市、钱塘新区有新的调价文件按新的调价文件执行。</w:t>
      </w:r>
    </w:p>
    <w:p w14:paraId="7EC5AE25">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甲、乙双方约定：</w:t>
      </w:r>
      <w:r>
        <w:rPr>
          <w:rFonts w:hint="eastAsia" w:ascii="宋体" w:hAnsi="宋体" w:eastAsia="宋体" w:cs="宋体"/>
          <w:bCs/>
          <w:color w:val="auto"/>
          <w:sz w:val="24"/>
          <w:szCs w:val="24"/>
          <w:highlight w:val="none"/>
          <w:u w:val="single"/>
        </w:rPr>
        <w:t>本工程由甲方委托</w:t>
      </w:r>
      <w:r>
        <w:rPr>
          <w:rFonts w:hint="eastAsia" w:ascii="宋体" w:hAnsi="宋体" w:eastAsia="宋体" w:cs="宋体"/>
          <w:bCs/>
          <w:color w:val="auto"/>
          <w:sz w:val="24"/>
          <w:szCs w:val="24"/>
          <w:highlight w:val="none"/>
          <w:u w:val="single"/>
          <w:lang w:val="en-US" w:eastAsia="zh-CN"/>
        </w:rPr>
        <w:t>第三方</w:t>
      </w:r>
      <w:r>
        <w:rPr>
          <w:rFonts w:hint="eastAsia" w:ascii="宋体" w:hAnsi="宋体" w:eastAsia="宋体" w:cs="宋体"/>
          <w:bCs/>
          <w:color w:val="auto"/>
          <w:sz w:val="24"/>
          <w:szCs w:val="24"/>
          <w:highlight w:val="none"/>
          <w:u w:val="single"/>
        </w:rPr>
        <w:t>工程造价咨询企业进行结算审核。</w:t>
      </w:r>
    </w:p>
    <w:p w14:paraId="563D16D5">
      <w:pPr>
        <w:pageBreakBefore w:val="0"/>
        <w:widowControl/>
        <w:wordWrap/>
        <w:overflowPunct/>
        <w:topLinePunct w:val="0"/>
        <w:bidi w:val="0"/>
        <w:spacing w:line="440" w:lineRule="exact"/>
        <w:ind w:left="0" w:leftChars="0" w:firstLine="482" w:firstLineChars="200"/>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六、</w:t>
      </w:r>
      <w:bookmarkEnd w:id="4"/>
      <w:r>
        <w:rPr>
          <w:rFonts w:hint="eastAsia" w:ascii="宋体" w:hAnsi="宋体" w:eastAsia="宋体" w:cs="宋体"/>
          <w:b/>
          <w:bCs w:val="0"/>
          <w:color w:val="auto"/>
          <w:sz w:val="24"/>
          <w:szCs w:val="24"/>
          <w:highlight w:val="none"/>
        </w:rPr>
        <w:t>项目经理</w:t>
      </w:r>
    </w:p>
    <w:p w14:paraId="1D3D76EA">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rPr>
      </w:pPr>
      <w:bookmarkStart w:id="5" w:name="_Toc351203487"/>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承包人对项目经理的授权范围如下：全面负责该项目的实施，全权代表承包人履行本合同，其所有行为均得到承包人的充分授权而由承包人承认。承包人未提交劳动合同， 以及没有为项目经理缴纳社会保险证明的违约责任：由承包人自行承担相关责任，且发包人有权要求更换项目经理，并通报有关主管部门进行处罚。</w:t>
      </w:r>
    </w:p>
    <w:p w14:paraId="3705B0CA">
      <w:pPr>
        <w:pStyle w:val="5"/>
        <w:pageBreakBefore w:val="0"/>
        <w:widowControl/>
        <w:wordWrap/>
        <w:overflowPunct/>
        <w:topLinePunct w:val="0"/>
        <w:bidi w:val="0"/>
        <w:spacing w:line="440" w:lineRule="exact"/>
        <w:ind w:left="0" w:leftChars="0"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姓    名：</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w:t>
      </w:r>
      <w:r>
        <w:rPr>
          <w:rFonts w:hint="eastAsia" w:ascii="宋体" w:hAnsi="宋体" w:eastAsia="宋体" w:cs="宋体"/>
          <w:b w:val="0"/>
          <w:bCs w:val="0"/>
          <w:color w:val="auto"/>
          <w:sz w:val="24"/>
          <w:szCs w:val="24"/>
          <w:highlight w:val="none"/>
        </w:rPr>
        <w:t>；</w:t>
      </w:r>
    </w:p>
    <w:p w14:paraId="0B4432CB">
      <w:pPr>
        <w:pStyle w:val="5"/>
        <w:pageBreakBefore w:val="0"/>
        <w:widowControl/>
        <w:wordWrap/>
        <w:overflowPunct/>
        <w:topLinePunct w:val="0"/>
        <w:bidi w:val="0"/>
        <w:spacing w:line="440" w:lineRule="exact"/>
        <w:ind w:left="1101" w:leftChars="200" w:hanging="621" w:hangingChars="259"/>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身份证号：</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w:t>
      </w:r>
      <w:r>
        <w:rPr>
          <w:rFonts w:hint="eastAsia" w:ascii="宋体" w:hAnsi="宋体" w:eastAsia="宋体" w:cs="宋体"/>
          <w:b w:val="0"/>
          <w:bCs w:val="0"/>
          <w:color w:val="auto"/>
          <w:sz w:val="24"/>
          <w:szCs w:val="24"/>
          <w:highlight w:val="none"/>
        </w:rPr>
        <w:t>；</w:t>
      </w:r>
    </w:p>
    <w:p w14:paraId="13C5BD05">
      <w:pPr>
        <w:pStyle w:val="5"/>
        <w:pageBreakBefore w:val="0"/>
        <w:widowControl/>
        <w:wordWrap/>
        <w:overflowPunct/>
        <w:topLinePunct w:val="0"/>
        <w:bidi w:val="0"/>
        <w:spacing w:line="440" w:lineRule="exact"/>
        <w:ind w:left="1101" w:leftChars="200" w:hanging="621" w:hangingChars="259"/>
        <w:jc w:val="both"/>
        <w:rPr>
          <w:rFonts w:hint="eastAsia"/>
          <w:color w:val="auto"/>
          <w:highlight w:val="none"/>
        </w:rPr>
      </w:pPr>
      <w:r>
        <w:rPr>
          <w:rFonts w:hint="eastAsia" w:ascii="宋体" w:hAnsi="宋体" w:eastAsia="宋体" w:cs="宋体"/>
          <w:b w:val="0"/>
          <w:bCs w:val="0"/>
          <w:color w:val="auto"/>
          <w:sz w:val="24"/>
          <w:szCs w:val="24"/>
          <w:highlight w:val="none"/>
        </w:rPr>
        <w:t>证书号：</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w:t>
      </w:r>
      <w:r>
        <w:rPr>
          <w:rFonts w:hint="eastAsia" w:ascii="宋体" w:hAnsi="宋体" w:eastAsia="宋体" w:cs="宋体"/>
          <w:b w:val="0"/>
          <w:bCs w:val="0"/>
          <w:color w:val="auto"/>
          <w:sz w:val="24"/>
          <w:szCs w:val="24"/>
          <w:highlight w:val="none"/>
        </w:rPr>
        <w:t>；</w:t>
      </w:r>
    </w:p>
    <w:p w14:paraId="3BE05391">
      <w:pPr>
        <w:pStyle w:val="5"/>
        <w:pageBreakBefore w:val="0"/>
        <w:widowControl/>
        <w:wordWrap/>
        <w:overflowPunct/>
        <w:topLinePunct w:val="0"/>
        <w:bidi w:val="0"/>
        <w:spacing w:line="440" w:lineRule="exact"/>
        <w:ind w:left="1101" w:leftChars="200" w:hanging="621" w:hangingChars="259"/>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联系电话：</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w:t>
      </w:r>
      <w:r>
        <w:rPr>
          <w:rFonts w:hint="eastAsia" w:ascii="宋体" w:hAnsi="宋体" w:eastAsia="宋体" w:cs="宋体"/>
          <w:b w:val="0"/>
          <w:bCs w:val="0"/>
          <w:color w:val="auto"/>
          <w:sz w:val="24"/>
          <w:szCs w:val="24"/>
          <w:highlight w:val="none"/>
        </w:rPr>
        <w:t>；</w:t>
      </w:r>
    </w:p>
    <w:p w14:paraId="06F69D22">
      <w:pPr>
        <w:pStyle w:val="5"/>
        <w:pageBreakBefore w:val="0"/>
        <w:widowControl/>
        <w:wordWrap/>
        <w:overflowPunct/>
        <w:topLinePunct w:val="0"/>
        <w:bidi w:val="0"/>
        <w:spacing w:line="440" w:lineRule="exact"/>
        <w:ind w:left="1101" w:leftChars="200" w:hanging="621" w:hangingChars="259"/>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电子信箱：</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w:t>
      </w:r>
      <w:r>
        <w:rPr>
          <w:rFonts w:hint="eastAsia" w:ascii="宋体" w:hAnsi="宋体" w:eastAsia="宋体" w:cs="宋体"/>
          <w:b w:val="0"/>
          <w:bCs w:val="0"/>
          <w:color w:val="auto"/>
          <w:sz w:val="24"/>
          <w:szCs w:val="24"/>
          <w:highlight w:val="none"/>
        </w:rPr>
        <w:t>；</w:t>
      </w:r>
    </w:p>
    <w:p w14:paraId="65EE4269">
      <w:pPr>
        <w:pStyle w:val="5"/>
        <w:pageBreakBefore w:val="0"/>
        <w:widowControl/>
        <w:wordWrap/>
        <w:overflowPunct/>
        <w:topLinePunct w:val="0"/>
        <w:bidi w:val="0"/>
        <w:spacing w:line="440" w:lineRule="exact"/>
        <w:ind w:left="1101" w:leftChars="200" w:hanging="621" w:hangingChars="259"/>
        <w:jc w:val="both"/>
        <w:rPr>
          <w:rFonts w:hint="eastAsia" w:ascii="宋体" w:hAnsi="宋体" w:eastAsia="宋体" w:cs="宋体"/>
          <w:b/>
          <w:bCs w:val="0"/>
          <w:color w:val="auto"/>
          <w:sz w:val="24"/>
          <w:szCs w:val="24"/>
          <w:highlight w:val="none"/>
        </w:rPr>
      </w:pPr>
      <w:r>
        <w:rPr>
          <w:rFonts w:hint="eastAsia" w:ascii="宋体" w:hAnsi="宋体" w:eastAsia="宋体" w:cs="宋体"/>
          <w:b w:val="0"/>
          <w:bCs w:val="0"/>
          <w:color w:val="auto"/>
          <w:sz w:val="24"/>
          <w:szCs w:val="24"/>
          <w:highlight w:val="none"/>
        </w:rPr>
        <w:t>通信地址：</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w:t>
      </w:r>
      <w:r>
        <w:rPr>
          <w:rFonts w:hint="eastAsia" w:ascii="宋体" w:hAnsi="宋体" w:eastAsia="宋体" w:cs="宋体"/>
          <w:b w:val="0"/>
          <w:bCs w:val="0"/>
          <w:color w:val="auto"/>
          <w:sz w:val="24"/>
          <w:szCs w:val="24"/>
          <w:highlight w:val="none"/>
        </w:rPr>
        <w:t>；</w:t>
      </w:r>
    </w:p>
    <w:p w14:paraId="594B6D21">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zh-CN" w:eastAsia="zh-CN"/>
        </w:rPr>
        <w:t>承包人确需更换项目经理的，继任项目经理注册执业资格、管理经验的约定：经发包人同意确需更换的，继任项目经理注册执业资格、管理经验不得低于现任项目经理且需发包人同意，同时承包人承担0.2万元/次的违约金。</w:t>
      </w:r>
    </w:p>
    <w:p w14:paraId="64094A44">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承包人擅自更换项目经理的违约责任：承包人在施工期间不准擅自更换项目经理，承包人擅自更换项目经理的将被视为承包人违约，处以1万元/次的违约金。涉及的工程损失超过违约金部分由乙方承担。</w:t>
      </w:r>
    </w:p>
    <w:p w14:paraId="49931DF5">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承包人无正当理由拒绝更换项目经理的违约责任：若原项目经理不能按约定到岗履职的或能力不能满足工作需要的，发包人书面通知承包人进行更换项目经理，承包人未在规定时间内做出更换项目经理的，处以1万元/次的违约金，且责令承包人立即更换，未更换的应视为情节严重发包人有权解除合同，全部责任由承包人自行负责。</w:t>
      </w:r>
    </w:p>
    <w:p w14:paraId="4730C09E">
      <w:pPr>
        <w:pageBreakBefore w:val="0"/>
        <w:widowControl/>
        <w:wordWrap/>
        <w:overflowPunct/>
        <w:topLinePunct w:val="0"/>
        <w:bidi w:val="0"/>
        <w:spacing w:line="440" w:lineRule="exact"/>
        <w:ind w:left="0" w:leftChars="0" w:firstLine="482" w:firstLineChars="200"/>
        <w:jc w:val="both"/>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七、质量要求</w:t>
      </w:r>
    </w:p>
    <w:p w14:paraId="7912B16E">
      <w:pPr>
        <w:spacing w:before="112" w:line="279" w:lineRule="auto"/>
        <w:ind w:left="10" w:firstLine="485"/>
        <w:rPr>
          <w:rFonts w:ascii="宋体" w:hAnsi="宋体" w:eastAsia="宋体" w:cs="宋体"/>
          <w:color w:val="auto"/>
          <w:sz w:val="24"/>
          <w:szCs w:val="24"/>
          <w:highlight w:val="none"/>
        </w:rPr>
      </w:pPr>
      <w:r>
        <w:rPr>
          <w:rFonts w:hint="eastAsia" w:ascii="宋体" w:hAnsi="宋体" w:eastAsia="宋体" w:cs="宋体"/>
          <w:b/>
          <w:bCs w:val="0"/>
          <w:color w:val="auto"/>
          <w:sz w:val="24"/>
          <w:szCs w:val="24"/>
          <w:highlight w:val="none"/>
          <w:lang w:val="en-US" w:eastAsia="zh-CN"/>
        </w:rPr>
        <w:t>1.</w:t>
      </w:r>
      <w:r>
        <w:rPr>
          <w:rFonts w:ascii="宋体" w:hAnsi="宋体" w:eastAsia="宋体" w:cs="宋体"/>
          <w:color w:val="auto"/>
          <w:spacing w:val="1"/>
          <w:sz w:val="24"/>
          <w:szCs w:val="24"/>
          <w:highlight w:val="none"/>
        </w:rPr>
        <w:t>承包人必须严格按合同条款、施工图纸及设计说明文件、施工</w:t>
      </w:r>
      <w:r>
        <w:rPr>
          <w:rFonts w:ascii="宋体" w:hAnsi="宋体" w:eastAsia="宋体" w:cs="宋体"/>
          <w:color w:val="auto"/>
          <w:sz w:val="24"/>
          <w:szCs w:val="24"/>
          <w:highlight w:val="none"/>
        </w:rPr>
        <w:t>验收规范、</w:t>
      </w:r>
      <w:r>
        <w:rPr>
          <w:rFonts w:ascii="宋体" w:hAnsi="宋体" w:eastAsia="宋体" w:cs="宋体"/>
          <w:color w:val="auto"/>
          <w:spacing w:val="5"/>
          <w:sz w:val="24"/>
          <w:szCs w:val="24"/>
          <w:highlight w:val="none"/>
        </w:rPr>
        <w:t>国家和省市的有关质量验收标准，精心组织施工，确保工程质量达到国家合格验收</w:t>
      </w:r>
      <w:r>
        <w:rPr>
          <w:rFonts w:ascii="宋体" w:hAnsi="宋体" w:eastAsia="宋体" w:cs="宋体"/>
          <w:color w:val="auto"/>
          <w:spacing w:val="-10"/>
          <w:sz w:val="24"/>
          <w:szCs w:val="24"/>
          <w:highlight w:val="none"/>
        </w:rPr>
        <w:t>标准。</w:t>
      </w:r>
    </w:p>
    <w:p w14:paraId="64E77FBF">
      <w:pPr>
        <w:spacing w:before="112" w:line="279" w:lineRule="auto"/>
        <w:ind w:left="10" w:firstLine="485"/>
        <w:rPr>
          <w:rFonts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2.</w:t>
      </w:r>
      <w:r>
        <w:rPr>
          <w:rFonts w:ascii="宋体" w:hAnsi="宋体" w:eastAsia="宋体" w:cs="宋体"/>
          <w:color w:val="auto"/>
          <w:spacing w:val="1"/>
          <w:sz w:val="24"/>
          <w:szCs w:val="24"/>
          <w:highlight w:val="none"/>
        </w:rPr>
        <w:t>承包人如未按设计要求和规范规定进行施工而造成返工重做的，由此造成的所有责任和经济损失均由乙方承担。</w:t>
      </w:r>
    </w:p>
    <w:p w14:paraId="7BF49D9B">
      <w:pPr>
        <w:spacing w:before="112" w:line="279" w:lineRule="auto"/>
        <w:ind w:left="10" w:firstLine="485"/>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3.质量验收标准：按招标文件要求执行。</w:t>
      </w:r>
    </w:p>
    <w:p w14:paraId="3C76A68A">
      <w:pPr>
        <w:pStyle w:val="5"/>
        <w:pageBreakBefore w:val="0"/>
        <w:widowControl/>
        <w:wordWrap/>
        <w:overflowPunct/>
        <w:topLinePunct w:val="0"/>
        <w:bidi w:val="0"/>
        <w:spacing w:line="440" w:lineRule="exact"/>
        <w:ind w:left="1104" w:leftChars="200" w:hanging="624" w:hangingChars="259"/>
        <w:jc w:val="both"/>
        <w:rPr>
          <w:rFonts w:hint="eastAsia" w:ascii="宋体" w:hAnsi="宋体" w:eastAsia="宋体" w:cs="宋体"/>
          <w:b/>
          <w:bCs w:val="0"/>
          <w:color w:val="auto"/>
          <w:sz w:val="24"/>
          <w:szCs w:val="24"/>
          <w:highlight w:val="none"/>
        </w:rPr>
      </w:pPr>
      <w:r>
        <w:rPr>
          <w:rFonts w:hint="eastAsia" w:ascii="宋体" w:hAnsi="宋体" w:cs="宋体"/>
          <w:b/>
          <w:bCs w:val="0"/>
          <w:color w:val="auto"/>
          <w:sz w:val="24"/>
          <w:szCs w:val="24"/>
          <w:highlight w:val="none"/>
          <w:lang w:val="en-US" w:eastAsia="zh-CN"/>
        </w:rPr>
        <w:t>八</w:t>
      </w:r>
      <w:r>
        <w:rPr>
          <w:rFonts w:hint="eastAsia" w:ascii="宋体" w:hAnsi="宋体" w:eastAsia="宋体" w:cs="宋体"/>
          <w:b/>
          <w:bCs w:val="0"/>
          <w:color w:val="auto"/>
          <w:sz w:val="24"/>
          <w:szCs w:val="24"/>
          <w:highlight w:val="none"/>
        </w:rPr>
        <w:t>、付款方式</w:t>
      </w:r>
    </w:p>
    <w:p w14:paraId="1CC8E9BC">
      <w:pPr>
        <w:pageBreakBefore w:val="0"/>
        <w:widowControl/>
        <w:numPr>
          <w:ilvl w:val="0"/>
          <w:numId w:val="0"/>
        </w:numPr>
        <w:wordWrap/>
        <w:overflowPunct/>
        <w:topLinePunct w:val="0"/>
        <w:bidi w:val="0"/>
        <w:spacing w:line="44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en-US" w:eastAsia="zh-CN" w:bidi="ar-SA"/>
        </w:rPr>
        <w:t>1.</w:t>
      </w:r>
      <w:r>
        <w:rPr>
          <w:rFonts w:hint="eastAsia" w:ascii="宋体" w:hAnsi="宋体" w:eastAsia="宋体" w:cs="宋体"/>
          <w:bCs/>
          <w:color w:val="auto"/>
          <w:sz w:val="24"/>
          <w:szCs w:val="24"/>
          <w:highlight w:val="none"/>
        </w:rPr>
        <w:t>预付款：</w:t>
      </w:r>
      <w:r>
        <w:rPr>
          <w:rFonts w:hint="eastAsia" w:ascii="宋体" w:hAnsi="宋体" w:eastAsia="宋体" w:cs="宋体"/>
          <w:bCs/>
          <w:color w:val="auto"/>
          <w:sz w:val="24"/>
          <w:szCs w:val="24"/>
          <w:highlight w:val="none"/>
          <w:u w:val="single"/>
          <w:lang w:val="en-US" w:eastAsia="zh-CN"/>
        </w:rPr>
        <w:t>本合同无预付款</w:t>
      </w:r>
      <w:r>
        <w:rPr>
          <w:rFonts w:hint="eastAsia" w:ascii="宋体" w:hAnsi="宋体" w:eastAsia="宋体" w:cs="宋体"/>
          <w:color w:val="auto"/>
          <w:sz w:val="24"/>
          <w:szCs w:val="24"/>
          <w:highlight w:val="none"/>
          <w:u w:val="single"/>
        </w:rPr>
        <w:t>。</w:t>
      </w:r>
    </w:p>
    <w:p w14:paraId="32AED69B">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工程进度款：工程进度款按月支付，经发包人及跟踪审计单位审核后支付至上月已完成工程量的80%。提交完整的相关竣工结算审核资料，经发包人认可的第三方审计完成且完整的结算资料归档后30工作日内支付至审定价的98.5%（发包人的上级集团公司有权对本项目进行结算复审，如本项目需结算复审的，最终以结算复审审定的工程结算审核造价为准）。剩余结算审定价的1.5%作为质量保证金，质保期为施工竣工验收合格后起算满</w:t>
      </w:r>
      <w:r>
        <w:rPr>
          <w:rFonts w:hint="eastAsia" w:ascii="宋体" w:hAnsi="宋体" w:eastAsia="宋体" w:cs="宋体"/>
          <w:color w:val="auto"/>
          <w:sz w:val="24"/>
          <w:szCs w:val="24"/>
          <w:highlight w:val="none"/>
          <w:lang w:val="en-US" w:eastAsia="zh-CN"/>
        </w:rPr>
        <w:t>12个月</w:t>
      </w:r>
      <w:r>
        <w:rPr>
          <w:rFonts w:hint="eastAsia" w:ascii="宋体" w:hAnsi="宋体" w:eastAsia="宋体" w:cs="宋体"/>
          <w:color w:val="auto"/>
          <w:sz w:val="24"/>
          <w:szCs w:val="24"/>
          <w:highlight w:val="none"/>
        </w:rPr>
        <w:t>，质保金待全部质保期结束，并完成质量回访，确认符合相关要求后，一次性结清余款（无息）。质量回访不符合要求且不进行保修的，发包人有权委托其他单位维修，费用从承包人应付质保金中扣除在承包人领取工程款时，应提供与工程款同等数额的工程款发票，否则，发包人有权拒绝支付工程款。</w:t>
      </w:r>
    </w:p>
    <w:p w14:paraId="25B6064E">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进度款审核和支付</w:t>
      </w:r>
    </w:p>
    <w:p w14:paraId="1CD8318A">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（1）进度款审查并报送发包人的期限：发包人应在收到承包人进度付款申请单以及相关资料后7天内完成审查。</w:t>
      </w:r>
    </w:p>
    <w:p w14:paraId="15649F09">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发包人支付进度款的期限：发包人收到承包人开具的发票后30工作日内。若承包人存在任何根据合同约定应支付的相应违约金的，承包人应按照合同条款的要求，及时、足额地完成缴纳。若承包人未能按时履行违约金缴纳义务，发包人有权暂时中止工程进度款支付，直至违约金问题得到妥善解决。</w:t>
      </w:r>
    </w:p>
    <w:p w14:paraId="5A76505B">
      <w:pPr>
        <w:pageBreakBefore w:val="0"/>
        <w:widowControl/>
        <w:wordWrap/>
        <w:overflowPunct/>
        <w:topLinePunct w:val="0"/>
        <w:bidi w:val="0"/>
        <w:spacing w:line="440" w:lineRule="exact"/>
        <w:ind w:left="0" w:leftChars="0" w:firstLine="482" w:firstLineChars="200"/>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九、</w:t>
      </w:r>
      <w:r>
        <w:rPr>
          <w:rFonts w:hint="eastAsia" w:ascii="宋体" w:hAnsi="宋体" w:eastAsia="宋体" w:cs="宋体"/>
          <w:b/>
          <w:bCs w:val="0"/>
          <w:color w:val="auto"/>
          <w:sz w:val="24"/>
          <w:szCs w:val="24"/>
          <w:highlight w:val="none"/>
        </w:rPr>
        <w:t>竣工退场</w:t>
      </w:r>
    </w:p>
    <w:p w14:paraId="3F581114">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承包人完成竣工退场的期限：竣工验收通过10天内。</w:t>
      </w:r>
    </w:p>
    <w:p w14:paraId="56C1EA0D">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竣工退场其他要求：及时清理施工现场（土地红线） 内或明显属于本工程所有的成品、半成品材料、施工机具、渣土及建筑垃圾等，符合项目正常使用要求。及时清理场地内、场地外以本工程施工名义搭设的施工临时设施、建（构）筑物，并恢复原样。</w:t>
      </w:r>
    </w:p>
    <w:p w14:paraId="5E17FA46">
      <w:pPr>
        <w:pageBreakBefore w:val="0"/>
        <w:widowControl/>
        <w:wordWrap/>
        <w:overflowPunct/>
        <w:topLinePunct w:val="0"/>
        <w:bidi w:val="0"/>
        <w:spacing w:line="440" w:lineRule="exact"/>
        <w:ind w:left="0" w:leftChars="0" w:firstLine="482" w:firstLineChars="200"/>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十</w:t>
      </w:r>
      <w:r>
        <w:rPr>
          <w:rFonts w:hint="eastAsia" w:ascii="宋体" w:hAnsi="宋体" w:eastAsia="宋体" w:cs="宋体"/>
          <w:b/>
          <w:bCs w:val="0"/>
          <w:color w:val="auto"/>
          <w:sz w:val="24"/>
          <w:szCs w:val="24"/>
          <w:highlight w:val="none"/>
        </w:rPr>
        <w:t>、甲方责任</w:t>
      </w:r>
    </w:p>
    <w:p w14:paraId="34842551">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1.</w:t>
      </w:r>
      <w:r>
        <w:rPr>
          <w:rFonts w:hint="eastAsia" w:ascii="宋体" w:hAnsi="宋体" w:eastAsia="宋体" w:cs="宋体"/>
          <w:bCs/>
          <w:color w:val="auto"/>
          <w:sz w:val="24"/>
          <w:szCs w:val="24"/>
          <w:highlight w:val="none"/>
        </w:rPr>
        <w:t>为乙方施工提供所需的施工条件。</w:t>
      </w:r>
    </w:p>
    <w:p w14:paraId="42806FE1">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2.</w:t>
      </w:r>
      <w:r>
        <w:rPr>
          <w:rFonts w:hint="eastAsia" w:ascii="宋体" w:hAnsi="宋体" w:eastAsia="宋体" w:cs="宋体"/>
          <w:bCs/>
          <w:color w:val="auto"/>
          <w:sz w:val="24"/>
          <w:szCs w:val="24"/>
          <w:highlight w:val="none"/>
        </w:rPr>
        <w:t>在本协议签订后三个工作日内</w:t>
      </w:r>
      <w:r>
        <w:rPr>
          <w:rFonts w:hint="eastAsia" w:ascii="宋体" w:hAnsi="宋体" w:eastAsia="宋体" w:cs="宋体"/>
          <w:bCs/>
          <w:color w:val="auto"/>
          <w:sz w:val="24"/>
          <w:szCs w:val="24"/>
          <w:highlight w:val="none"/>
          <w:lang w:eastAsia="zh-CN"/>
        </w:rPr>
        <w:t>会同</w:t>
      </w:r>
      <w:r>
        <w:rPr>
          <w:rFonts w:hint="eastAsia" w:ascii="宋体" w:hAnsi="宋体" w:eastAsia="宋体" w:cs="宋体"/>
          <w:bCs/>
          <w:color w:val="auto"/>
          <w:sz w:val="24"/>
          <w:szCs w:val="24"/>
          <w:highlight w:val="none"/>
        </w:rPr>
        <w:t>管理单位、设计单位向乙方交底施工范围。</w:t>
      </w:r>
    </w:p>
    <w:p w14:paraId="3380A79F">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3.</w:t>
      </w:r>
      <w:r>
        <w:rPr>
          <w:rFonts w:hint="eastAsia" w:ascii="宋体" w:hAnsi="宋体" w:eastAsia="宋体" w:cs="宋体"/>
          <w:bCs/>
          <w:color w:val="auto"/>
          <w:sz w:val="24"/>
          <w:szCs w:val="24"/>
          <w:highlight w:val="none"/>
        </w:rPr>
        <w:t>有权对乙方现场施工质量进行监督。</w:t>
      </w:r>
    </w:p>
    <w:p w14:paraId="746F9C46">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4.</w:t>
      </w:r>
      <w:r>
        <w:rPr>
          <w:rFonts w:hint="eastAsia" w:ascii="宋体" w:hAnsi="宋体" w:eastAsia="宋体" w:cs="宋体"/>
          <w:bCs/>
          <w:color w:val="auto"/>
          <w:sz w:val="24"/>
          <w:szCs w:val="24"/>
          <w:highlight w:val="none"/>
        </w:rPr>
        <w:t>在乙方完工后及时组织验收。</w:t>
      </w:r>
    </w:p>
    <w:p w14:paraId="05174E22">
      <w:pPr>
        <w:pageBreakBefore w:val="0"/>
        <w:widowControl/>
        <w:wordWrap/>
        <w:overflowPunct/>
        <w:topLinePunct w:val="0"/>
        <w:bidi w:val="0"/>
        <w:spacing w:line="440" w:lineRule="exact"/>
        <w:ind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支付方式及发票：在乙方向甲方开具符合法律法规及甲方要求的正式发票后，甲方向乙方支付款项。</w:t>
      </w:r>
    </w:p>
    <w:p w14:paraId="5AD79874">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lang w:eastAsia="zh-CN"/>
        </w:rPr>
        <w:t>6.</w:t>
      </w:r>
      <w:r>
        <w:rPr>
          <w:rFonts w:hint="eastAsia" w:ascii="宋体" w:hAnsi="宋体" w:eastAsia="宋体" w:cs="宋体"/>
          <w:bCs/>
          <w:color w:val="auto"/>
          <w:sz w:val="24"/>
          <w:szCs w:val="24"/>
          <w:highlight w:val="none"/>
        </w:rPr>
        <w:t>其他约定：</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u w:val="single"/>
        </w:rPr>
        <w:t>关于发包人应负责提供施工所需要的条件，包括：提供用于本工程的水准点、坐标控制点；施工期间用水、施工用电均由发包人提供。</w:t>
      </w:r>
    </w:p>
    <w:p w14:paraId="4901ED50">
      <w:pPr>
        <w:pageBreakBefore w:val="0"/>
        <w:widowControl/>
        <w:wordWrap/>
        <w:overflowPunct/>
        <w:topLinePunct w:val="0"/>
        <w:bidi w:val="0"/>
        <w:spacing w:line="440" w:lineRule="exact"/>
        <w:ind w:left="0" w:leftChars="0" w:firstLine="482" w:firstLineChars="200"/>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十一</w:t>
      </w:r>
      <w:r>
        <w:rPr>
          <w:rFonts w:hint="eastAsia" w:ascii="宋体" w:hAnsi="宋体" w:eastAsia="宋体" w:cs="宋体"/>
          <w:b/>
          <w:bCs w:val="0"/>
          <w:color w:val="auto"/>
          <w:sz w:val="24"/>
          <w:szCs w:val="24"/>
          <w:highlight w:val="none"/>
        </w:rPr>
        <w:t>、乙方责任</w:t>
      </w:r>
    </w:p>
    <w:p w14:paraId="6352FF8A">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1.</w:t>
      </w:r>
      <w:r>
        <w:rPr>
          <w:rFonts w:hint="eastAsia" w:ascii="宋体" w:hAnsi="宋体" w:eastAsia="宋体" w:cs="宋体"/>
          <w:bCs/>
          <w:color w:val="auto"/>
          <w:sz w:val="24"/>
          <w:szCs w:val="24"/>
          <w:highlight w:val="none"/>
        </w:rPr>
        <w:t>按国家现行标准、规范进行施工。</w:t>
      </w:r>
    </w:p>
    <w:p w14:paraId="736D80B8">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2.</w:t>
      </w:r>
      <w:r>
        <w:rPr>
          <w:rFonts w:hint="eastAsia" w:ascii="宋体" w:hAnsi="宋体" w:eastAsia="宋体" w:cs="宋体"/>
          <w:bCs/>
          <w:color w:val="auto"/>
          <w:sz w:val="24"/>
          <w:szCs w:val="24"/>
          <w:highlight w:val="none"/>
        </w:rPr>
        <w:t>遵守甲方有关规章制度。</w:t>
      </w:r>
    </w:p>
    <w:p w14:paraId="087C4AA5">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3.</w:t>
      </w:r>
      <w:r>
        <w:rPr>
          <w:rFonts w:hint="eastAsia" w:ascii="宋体" w:hAnsi="宋体" w:eastAsia="宋体" w:cs="宋体"/>
          <w:bCs/>
          <w:color w:val="auto"/>
          <w:sz w:val="24"/>
          <w:szCs w:val="24"/>
          <w:highlight w:val="none"/>
        </w:rPr>
        <w:t>按甲方的作业指令及进度要求如期完成任务，确保工程质量和安全，不进行转包及违法分包。</w:t>
      </w:r>
    </w:p>
    <w:p w14:paraId="26E496C9">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4.</w:t>
      </w:r>
      <w:r>
        <w:rPr>
          <w:rFonts w:hint="eastAsia" w:ascii="宋体" w:hAnsi="宋体" w:eastAsia="宋体" w:cs="宋体"/>
          <w:bCs/>
          <w:color w:val="auto"/>
          <w:sz w:val="24"/>
          <w:szCs w:val="24"/>
          <w:highlight w:val="none"/>
        </w:rPr>
        <w:t>在工程现场派驻专职安全人员进行安全生产管理，施工中若发生安全生产事故，责任由乙方自行承担。</w:t>
      </w:r>
    </w:p>
    <w:p w14:paraId="5788AA34">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和现场其他单位配合协作。</w:t>
      </w:r>
    </w:p>
    <w:p w14:paraId="7D99C8C3">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6.</w:t>
      </w:r>
      <w:r>
        <w:rPr>
          <w:rFonts w:hint="eastAsia" w:ascii="宋体" w:hAnsi="宋体" w:eastAsia="宋体" w:cs="宋体"/>
          <w:bCs/>
          <w:color w:val="auto"/>
          <w:sz w:val="24"/>
          <w:szCs w:val="24"/>
          <w:highlight w:val="none"/>
        </w:rPr>
        <w:t>乙方负责做好隐蔽工程检查、工程竣工验收、工程竣工决算编制、维修保养工作。</w:t>
      </w:r>
    </w:p>
    <w:p w14:paraId="20CDF428">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7.</w:t>
      </w:r>
      <w:r>
        <w:rPr>
          <w:rFonts w:hint="eastAsia" w:ascii="宋体" w:hAnsi="宋体" w:eastAsia="宋体" w:cs="宋体"/>
          <w:bCs/>
          <w:color w:val="auto"/>
          <w:sz w:val="24"/>
          <w:szCs w:val="24"/>
          <w:highlight w:val="none"/>
        </w:rPr>
        <w:t>乙方应提供与工程款同等数额且符合法律法规及甲方要求的发票，否则甲方有权拒绝支付工程款。在甲方支付至工程结算价的98.5%时，乙方应向甲方提供工程结算款的全额工程款发票，否则甲方有权拒绝支付工程款。</w:t>
      </w:r>
    </w:p>
    <w:p w14:paraId="25F2728B">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8.</w:t>
      </w:r>
      <w:r>
        <w:rPr>
          <w:rFonts w:hint="eastAsia" w:ascii="宋体" w:hAnsi="宋体" w:eastAsia="宋体" w:cs="宋体"/>
          <w:bCs/>
          <w:color w:val="auto"/>
          <w:sz w:val="24"/>
          <w:szCs w:val="24"/>
          <w:highlight w:val="none"/>
        </w:rPr>
        <w:t>本工程在施工期间，应参加建设单位组织的第三方飞检工作，根据得分高低顺序排名，进行相应的奖罚，按相关文件执行。</w:t>
      </w:r>
    </w:p>
    <w:p w14:paraId="4060AB89">
      <w:pPr>
        <w:pageBreakBefore w:val="0"/>
        <w:widowControl/>
        <w:wordWrap/>
        <w:overflowPunct/>
        <w:topLinePunct w:val="0"/>
        <w:bidi w:val="0"/>
        <w:spacing w:line="440" w:lineRule="exact"/>
        <w:ind w:left="0" w:leftChars="0" w:firstLine="480" w:firstLineChars="200"/>
        <w:jc w:val="both"/>
        <w:rPr>
          <w:rFonts w:hint="eastAsia" w:ascii="宋体" w:hAnsi="宋体" w:eastAsia="宋体" w:cs="宋体"/>
          <w:bCs/>
          <w:color w:val="auto"/>
          <w:sz w:val="24"/>
          <w:szCs w:val="24"/>
          <w:highlight w:val="none"/>
          <w:u w:val="single"/>
        </w:rPr>
      </w:pPr>
      <w:bookmarkStart w:id="6" w:name="_Toc351203486"/>
      <w:r>
        <w:rPr>
          <w:rFonts w:hint="eastAsia" w:ascii="宋体" w:hAnsi="宋体" w:eastAsia="宋体" w:cs="宋体"/>
          <w:bCs/>
          <w:color w:val="auto"/>
          <w:sz w:val="24"/>
          <w:szCs w:val="24"/>
          <w:highlight w:val="none"/>
          <w:lang w:eastAsia="zh-CN"/>
        </w:rPr>
        <w:t>9.</w:t>
      </w:r>
      <w:r>
        <w:rPr>
          <w:rFonts w:hint="eastAsia" w:ascii="宋体" w:hAnsi="宋体" w:eastAsia="宋体" w:cs="宋体"/>
          <w:bCs/>
          <w:color w:val="auto"/>
          <w:sz w:val="24"/>
          <w:szCs w:val="24"/>
          <w:highlight w:val="none"/>
        </w:rPr>
        <w:t>其他约定：</w:t>
      </w:r>
    </w:p>
    <w:p w14:paraId="14FE50D2">
      <w:pPr>
        <w:keepNext w:val="0"/>
        <w:keepLines w:val="0"/>
        <w:pageBreakBefore w:val="0"/>
        <w:widowControl/>
        <w:suppressLineNumbers w:val="0"/>
        <w:wordWrap/>
        <w:overflowPunct/>
        <w:topLinePunct w:val="0"/>
        <w:bidi w:val="0"/>
        <w:spacing w:line="440" w:lineRule="exact"/>
        <w:ind w:firstLine="480" w:firstLineChars="200"/>
        <w:jc w:val="both"/>
        <w:rPr>
          <w:rFonts w:hint="eastAsia" w:ascii="宋体" w:hAnsi="宋体" w:eastAsia="宋体" w:cs="宋体"/>
          <w:color w:val="auto"/>
          <w:kern w:val="0"/>
          <w:sz w:val="24"/>
          <w:szCs w:val="24"/>
          <w:highlight w:val="none"/>
          <w:u w:val="single"/>
          <w:lang w:val="en-US" w:eastAsia="zh-CN" w:bidi="ar"/>
        </w:rPr>
      </w:pPr>
      <w:r>
        <w:rPr>
          <w:rFonts w:hint="eastAsia" w:ascii="宋体" w:hAnsi="宋体" w:eastAsia="宋体" w:cs="宋体"/>
          <w:color w:val="auto"/>
          <w:kern w:val="0"/>
          <w:sz w:val="24"/>
          <w:szCs w:val="24"/>
          <w:highlight w:val="none"/>
          <w:u w:val="single"/>
          <w:lang w:val="en-US" w:eastAsia="zh-CN" w:bidi="ar"/>
        </w:rPr>
        <w:t>如因承包人自身原因造成工期严重滞后，又无明显改进措施的，发包人有权要求承包人无条件退场，并承担由此产生的一切损失，同时，发包人也有权安排其他施工队伍进场施工，费用经审计机构审核后从承包人合同价款中扣除。承包人拒不退场，也不配合第三方施工队伍进场的，必须承担一切赔偿责任；承包人必须严格按照施工图及工程施工验收规范等精心组织施工，严格把好每道工序的质量关，确保工程质量达到合格等级。经验收，如有不合格工程，承包人应无条件返工、整改、采取相应的补救、修复措施，直至验收合格， 由此追加的费用和延误的工期均由承包人负责，同时扣除其全额质量履约担保，并处以工程结算总造价的5%的违约金。</w:t>
      </w:r>
    </w:p>
    <w:p w14:paraId="5A4B2B9E">
      <w:pPr>
        <w:keepNext w:val="0"/>
        <w:keepLines w:val="0"/>
        <w:pageBreakBefore w:val="0"/>
        <w:widowControl/>
        <w:suppressLineNumbers w:val="0"/>
        <w:wordWrap/>
        <w:overflowPunct/>
        <w:topLinePunct w:val="0"/>
        <w:bidi w:val="0"/>
        <w:spacing w:line="440" w:lineRule="exact"/>
        <w:ind w:firstLine="480" w:firstLineChars="200"/>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u w:val="single"/>
          <w:lang w:val="en-US" w:eastAsia="zh-CN" w:bidi="ar"/>
        </w:rPr>
        <w:t>承包人违反合同约定进行转包或违法分包的，一经发现，承包人应支付签约合同价2%的违约金，且发包人有权单方面终止合同， 由此所产生的一切后果及经济损失均由承包人承担。</w:t>
      </w:r>
    </w:p>
    <w:p w14:paraId="31F7EA27">
      <w:pPr>
        <w:keepNext w:val="0"/>
        <w:keepLines w:val="0"/>
        <w:pageBreakBefore w:val="0"/>
        <w:widowControl/>
        <w:suppressLineNumbers w:val="0"/>
        <w:wordWrap/>
        <w:overflowPunct/>
        <w:topLinePunct w:val="0"/>
        <w:bidi w:val="0"/>
        <w:spacing w:line="440" w:lineRule="exact"/>
        <w:ind w:firstLine="480" w:firstLineChars="200"/>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10.</w:t>
      </w:r>
      <w:r>
        <w:rPr>
          <w:rFonts w:hint="eastAsia" w:ascii="宋体" w:hAnsi="宋体" w:eastAsia="宋体" w:cs="宋体"/>
          <w:i w:val="0"/>
          <w:iCs w:val="0"/>
          <w:color w:val="auto"/>
          <w:kern w:val="0"/>
          <w:sz w:val="24"/>
          <w:szCs w:val="24"/>
          <w:highlight w:val="none"/>
          <w:lang w:val="en-US" w:eastAsia="zh-CN" w:bidi="ar"/>
        </w:rPr>
        <w:t>项目经理在施工现场的时间要求：项目经理到位率达到 95%以上，技术负责人、安全专职人员及其他人员到岗率100%。发包人制作签到表，对上述人员到岗情况每月进行考核（双休日、法定节假日计入考核范围）。如实际到位天数不满足合同约定要求，由承包人按项目经理1000元/天、其余人员500元/天的标准向发包人支付违约金，违约金由发包人在进度款中扣除，最高直至扣除全部项目管理人员履约保证金</w:t>
      </w:r>
      <w:r>
        <w:rPr>
          <w:rFonts w:hint="eastAsia" w:ascii="宋体" w:hAnsi="宋体" w:eastAsia="宋体" w:cs="宋体"/>
          <w:color w:val="auto"/>
          <w:kern w:val="0"/>
          <w:sz w:val="24"/>
          <w:szCs w:val="24"/>
          <w:highlight w:val="none"/>
          <w:lang w:val="en-US" w:eastAsia="zh-CN" w:bidi="ar"/>
        </w:rPr>
        <w:t xml:space="preserve">。 </w:t>
      </w:r>
    </w:p>
    <w:p w14:paraId="760838E1">
      <w:pPr>
        <w:keepNext w:val="0"/>
        <w:keepLines w:val="0"/>
        <w:pageBreakBefore w:val="0"/>
        <w:widowControl/>
        <w:suppressLineNumbers w:val="0"/>
        <w:wordWrap/>
        <w:overflowPunct/>
        <w:topLinePunct w:val="0"/>
        <w:bidi w:val="0"/>
        <w:spacing w:line="440" w:lineRule="exact"/>
        <w:ind w:firstLine="480" w:firstLineChars="200"/>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项目经理未经批准，擅自离开施工现场的违约责任：监理例会或重要施工工序或环节时项目经理必须到场，因故不能参加，应提前 24 小时以书面形式向发包人请假并在获得批准后方可缺席，否则，承包人向发包人支付违约金1000元/次，同时承担由此造成的损失。</w:t>
      </w:r>
    </w:p>
    <w:p w14:paraId="45697E45">
      <w:pPr>
        <w:keepNext w:val="0"/>
        <w:keepLines w:val="0"/>
        <w:pageBreakBefore w:val="0"/>
        <w:widowControl/>
        <w:suppressLineNumbers w:val="0"/>
        <w:wordWrap/>
        <w:overflowPunct/>
        <w:topLinePunct w:val="0"/>
        <w:bidi w:val="0"/>
        <w:spacing w:line="44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11.隐蔽工程检查 </w:t>
      </w:r>
    </w:p>
    <w:p w14:paraId="00F3F7C4">
      <w:pPr>
        <w:keepNext w:val="0"/>
        <w:keepLines w:val="0"/>
        <w:pageBreakBefore w:val="0"/>
        <w:widowControl/>
        <w:suppressLineNumbers w:val="0"/>
        <w:wordWrap/>
        <w:overflowPunct/>
        <w:topLinePunct w:val="0"/>
        <w:bidi w:val="0"/>
        <w:spacing w:line="440" w:lineRule="exact"/>
        <w:ind w:left="0" w:leftChars="0" w:firstLine="480" w:firstLineChars="200"/>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承包人提前通知监理人或发包人隐蔽工程检查的期限的约定：承包人应在共同检查前48小时书面通知监理人或发包人检查，通知中应载明隐蔽检查的内容、时间和地点，并应附有自检记录和必要的检查资料。隐蔽工程必须做好影像资料收集、整理，且经监理或发包人验收合格并签字后方可进行下道工序施工（质检员应全程陪同监理等人员进行各种隐蔽验收工作）。验收不合格的，承包人应在限定期限内整改后重新组织验收，并承担由此发生的费用，且工期不予顺延。重要工程的隐蔽验收应通知质监站及设计单位共同参加验收。若隐蔽工程和中间验收部位存在质量问题，承包人未按要求进行及时整改，发包人有权不予支付当期进度款。双方约定中间验收部位按杭州市上城区建设工程质量安全监督站有关要求执行。未经监理人或发包人验收或验收不合格而擅自进入下道工序施工，发包人及监理单位有权要求停工整顿并拆除返工，同时对承包人处以贰万元/次的罚款，由此造成的损失由承包人承担，工期不予顺延。如果发现承包人在验收合格后到隐蔽施工前，对合格部分做任何改动，应重新进行验收。监理人或发包人不能按时进行检查时，应提前24小时提交书面延期要求。</w:t>
      </w:r>
    </w:p>
    <w:p w14:paraId="66AFEB04">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  12.安全文明施工 </w:t>
      </w:r>
    </w:p>
    <w:p w14:paraId="5B04EEB2">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项目安全生产的达标目标及相应事项的约定：</w:t>
      </w:r>
      <w:r>
        <w:rPr>
          <w:rFonts w:hint="eastAsia" w:ascii="宋体" w:hAnsi="宋体" w:eastAsia="宋体" w:cs="宋体"/>
          <w:b/>
          <w:bCs/>
          <w:color w:val="auto"/>
          <w:kern w:val="0"/>
          <w:sz w:val="24"/>
          <w:szCs w:val="24"/>
          <w:highlight w:val="none"/>
          <w:lang w:val="en-US" w:eastAsia="zh-CN" w:bidi="ar"/>
        </w:rPr>
        <w:t>施工现场按照《建筑施工安全检查标准》（JGJ59-2011）评定达到“合格”标准。</w:t>
      </w:r>
    </w:p>
    <w:p w14:paraId="509AE7E2">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合同当事人对文明施工的要求： </w:t>
      </w:r>
    </w:p>
    <w:p w14:paraId="7D94E3EA">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（1）遵守地方政府和有关部门对施工场地交通、环卫、安全和施工噪音等管理规定，并办理相关审批手续。 </w:t>
      </w:r>
    </w:p>
    <w:p w14:paraId="7FE2F672">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（2）承包人应采取有效措施尽量减少尘土和噪声污染，需要进行夜间作业时应经有关部门批准。 </w:t>
      </w:r>
    </w:p>
    <w:p w14:paraId="2F1E2A5E">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（3）其他：</w:t>
      </w:r>
    </w:p>
    <w:p w14:paraId="4DF3E78F">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 ①文明施工按相关政策执行，同时符合工程建设安全文明施工的有关规定及指挥部相关管理办法要求，认真落实各项安全保护措施及安全生产责任制，并随时接受发包人、监理工程师、相关行政主管部门及监督机构的监督管理。发包人在进行巡查时发现工程质量或环境保护、文明施工、安全施工达不到要求，第一次发现给予承包人警告并责令整改；经复查发现未整改的给予承包人五万元人民币的罚款，且承包人应立即整改；屡教不改的，发包人有权扣除承包人全部的安全文明施工履约保证金，并扣除相应的措施费，同时由发包人向建设主管部门报备；由于承包人原因被上级部门通报、批评、列入黑榜等或被新闻媒体作为负面 清单曝光的，由发包人按次给予承包人二十万元人民币的罚款。罚款、履约保证金及措施费在当月工程款中扣除。 </w:t>
      </w:r>
    </w:p>
    <w:p w14:paraId="5F4F9C08">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②承包人应对进入施工现场的施工人员进行安全文明施工教育，持证上岗，配备必要的劳动保护用具，保证工程的施工安全和人身安全。 </w:t>
      </w:r>
    </w:p>
    <w:p w14:paraId="6E111529">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③严格遵守和执行《关于开展建筑工程扬尘在线监测设施安装工作的通知》（杭建工（2019）103号）及杭大气办〔2019〕8 号、杭大气办〔2018〕7 号等相关文件，充分考虑扬尘污染治理和文明施工的费用，如施工车辆出入口设置专用清洗设备、安排专人进行保洁冲洗；设置文明施工的五图一牌及扬尘防治措施牌；根据杭州市建委要求做好施工围挡并保持清洁；做好现场土方堆放及渣土运输过程的覆盖工作，坚决制止土方在运输中“抛、洒、滴、露”现象；各施工区域的项目生活区应与施工区明显分隔，“五小设施”管理有序，搭设符合规定，食堂卫生整洁、证照齐全，浴室、厕所专人清扫；需针对扬尘污染治理和文明施工综合整治做好台账，确保文明施工管理资料完整，记录齐全等有关文明施工和扬尘治理的事项，且专款专用，如未报足，视为优惠。 </w:t>
      </w:r>
    </w:p>
    <w:p w14:paraId="1DA67D27">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④工程车运输土方须办理渣土准运证，若不办理，每发现一次处罚 2 万元，并需立即整改到位。 </w:t>
      </w:r>
    </w:p>
    <w:p w14:paraId="0BAB5A0B">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⑤承包人对施工场地周边一定范围环境负有责任，故施工中不得随意排放浑浊废弃物，不得随意抛掷各类垃圾、建筑材料等杂物；运输建筑材料、垃圾和工程渣土的车辆应采取有效措施保证行驶途中不污染道路和环境等。 </w:t>
      </w:r>
    </w:p>
    <w:p w14:paraId="24DB88B7">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⑥承包人应充分响应杭州市委、市政府关于工程运输车辆安全整治有关问题的相关意见，落实好工程安全生产责任制。 </w:t>
      </w:r>
    </w:p>
    <w:p w14:paraId="65D47B0B">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⑦承包人严格做到“七必须七不许”。七必须：施工作业必须设置标准围护；施工便道必须硬化；施工用的各种机械必须及时冲洗；施工场地必须及时洒水作业以防扬尘；必须配备专职的保洁人员；必须定时清扫施工场地（包括围护）；施工车辆装载物品进出时车厢必须有遮盖物。七不许：施工车辆不许带泥出门；施工车辆不许超载；不许使用无证车辆，不许聘用无证人员；施工现场不许积水；不许现场焚烧垃圾；不许高空抛垃圾；不许现场拌制混凝土。承包人外聘的运输垃圾、渣土或土方单位，必须具备从业资质。承包人应向发包人呈报各外聘运输单位的运输资格证书原件、参与本工程的所有运输车辆车牌行驶证件原件及驾驶人员驾照原件，经核对后复印留底上交发包人，发包人将按此资料核对参与工程的所有垃圾或渣土运输车辆车牌及人员。承包人在渣土、土方或垃圾运输中，需遵守有关部门关于垃圾、渣土或土方运输的有关规定，所有施工车辆必须按发包人指定的行车路线进出施工场地，承包人必须随时对施工车辆散落在公共道路上的杂物进行清扫，保持道路整洁，避免扬尘，如因违规受到各级管理部门的经济或行政处罚，承包人自行承担处罚后果。 </w:t>
      </w:r>
    </w:p>
    <w:p w14:paraId="31B0A7A3">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⑧若临设场地有变化，承包人按照发包人要求无条件对硬化场地、场内道路、临时设施进行破除并清理完毕。 上述手续办理费用约定如下： 由承包人承担。承包人负责保护周围地下管线、邻近建筑物、构筑物（含文物保护建筑）、古树名木、道路，施工过程中，承包人如发现施工场地周围地下管线与发包人提交的管线资料不一致的，应立即停止施工并向发包人及相关单位书面报告，待确认安全后方可施工。因工程施工而给施工场地周边的管线、建筑物、构筑物（含文物保护建筑）、古树名木、道路造成损坏的，由承包人赔偿损失。特殊情况，由双方另行协商。</w:t>
      </w:r>
    </w:p>
    <w:p w14:paraId="085B92AA">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13.工程保险 </w:t>
      </w:r>
    </w:p>
    <w:p w14:paraId="408CCC1D">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关于工程保险的特别约定：承包人为建设工程和施工场地内的自有人员设备及第三方生命财产办理保险并支付保险费用，费用已包含在总价内。施工期间所发生的与本工程有关的承包人的人员、财产等意外伤害、损失，由承包人承担全部责任和费用。 </w:t>
      </w:r>
    </w:p>
    <w:p w14:paraId="0D477A2B">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 14.其他保险 </w:t>
      </w:r>
    </w:p>
    <w:p w14:paraId="480A3655">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关于其他保险的约定：承包人应当为建设工程和施工场地内的自有人员、设备及第三方生命办理保险并支付保险费用，费用已包含在总价内。因未办理保险所造成发包人的损失，承包人承担赔偿责任。</w:t>
      </w:r>
    </w:p>
    <w:p w14:paraId="133F889E">
      <w:pPr>
        <w:keepNext w:val="0"/>
        <w:keepLines w:val="0"/>
        <w:pageBreakBefore w:val="0"/>
        <w:widowControl/>
        <w:suppressLineNumbers w:val="0"/>
        <w:kinsoku w:val="0"/>
        <w:wordWrap/>
        <w:overflowPunct/>
        <w:topLinePunct w:val="0"/>
        <w:autoSpaceDE w:val="0"/>
        <w:autoSpaceDN w:val="0"/>
        <w:bidi w:val="0"/>
        <w:adjustRightInd w:val="0"/>
        <w:spacing w:line="440" w:lineRule="exact"/>
        <w:ind w:left="0" w:leftChars="0" w:firstLine="482" w:firstLineChars="200"/>
        <w:jc w:val="both"/>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十二、其他补充事项的约定 </w:t>
      </w:r>
    </w:p>
    <w:p w14:paraId="42547384">
      <w:pPr>
        <w:keepNext w:val="0"/>
        <w:keepLines w:val="0"/>
        <w:pageBreakBefore w:val="0"/>
        <w:widowControl/>
        <w:suppressLineNumbers w:val="0"/>
        <w:kinsoku w:val="0"/>
        <w:wordWrap/>
        <w:overflowPunct/>
        <w:topLinePunct w:val="0"/>
        <w:autoSpaceDE w:val="0"/>
        <w:autoSpaceDN w:val="0"/>
        <w:bidi w:val="0"/>
        <w:adjustRightInd w:val="0"/>
        <w:spacing w:line="440" w:lineRule="exact"/>
        <w:ind w:left="0" w:lef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1.发包人于开工前提供水、电接口，由承包人自行接至场内。电讯由承包人自行解决。施工期间因承包人管理不善造成水、电总计量表损坏导致无法抄表的，由承包人无条件承担所有费用及责任。 </w:t>
      </w:r>
    </w:p>
    <w:p w14:paraId="25760408">
      <w:pPr>
        <w:keepNext w:val="0"/>
        <w:keepLines w:val="0"/>
        <w:pageBreakBefore w:val="0"/>
        <w:widowControl/>
        <w:suppressLineNumbers w:val="0"/>
        <w:kinsoku w:val="0"/>
        <w:wordWrap/>
        <w:overflowPunct/>
        <w:topLinePunct w:val="0"/>
        <w:autoSpaceDE w:val="0"/>
        <w:autoSpaceDN w:val="0"/>
        <w:bidi w:val="0"/>
        <w:adjustRightInd w:val="0"/>
        <w:spacing w:line="440" w:lineRule="exact"/>
        <w:ind w:left="0" w:lef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2.承包人应自备发电机，购置费用已在投标报价中包干，因电力不足或停电，给工程造成的一切损失（包括工期逾期责任）由承包人承担。 </w:t>
      </w:r>
    </w:p>
    <w:p w14:paraId="33864874">
      <w:pPr>
        <w:keepNext w:val="0"/>
        <w:keepLines w:val="0"/>
        <w:pageBreakBefore w:val="0"/>
        <w:widowControl/>
        <w:suppressLineNumbers w:val="0"/>
        <w:kinsoku w:val="0"/>
        <w:wordWrap/>
        <w:overflowPunct/>
        <w:topLinePunct w:val="0"/>
        <w:autoSpaceDE w:val="0"/>
        <w:autoSpaceDN w:val="0"/>
        <w:bidi w:val="0"/>
        <w:adjustRightInd w:val="0"/>
        <w:spacing w:line="440" w:lineRule="exact"/>
        <w:ind w:left="0" w:leftChars="0" w:firstLine="480" w:firstLineChars="200"/>
        <w:jc w:val="both"/>
        <w:textAlignment w:val="baseline"/>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承包人在工程实施期间应对发包人提供的各项水电设施以及沿街户外广告，对周边已建成的构筑物进行必要的保护，相关费用已在投标报价中综合考虑。若由于承包人未能妥善保护给发包人及周边构筑物造成的损失由承包人承担。</w:t>
      </w:r>
    </w:p>
    <w:p w14:paraId="3F51C836">
      <w:pPr>
        <w:keepNext w:val="0"/>
        <w:keepLines w:val="0"/>
        <w:pageBreakBefore w:val="0"/>
        <w:widowControl/>
        <w:suppressLineNumbers w:val="0"/>
        <w:kinsoku w:val="0"/>
        <w:wordWrap/>
        <w:overflowPunct/>
        <w:topLinePunct w:val="0"/>
        <w:autoSpaceDE w:val="0"/>
        <w:autoSpaceDN w:val="0"/>
        <w:bidi w:val="0"/>
        <w:adjustRightInd w:val="0"/>
        <w:spacing w:line="440" w:lineRule="exact"/>
        <w:ind w:left="0" w:lef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4.承包人应确保民工工资的及时支付，如不及时支付，视作违约，承包人应按合同价款的 2%向发包人支付违约金且由此造成的后果与损失应由承包人承担，同时发包人有权在工程款中扣除相应费用代为支付民工工资。 </w:t>
      </w:r>
    </w:p>
    <w:p w14:paraId="4A64801D">
      <w:pPr>
        <w:keepNext w:val="0"/>
        <w:keepLines w:val="0"/>
        <w:pageBreakBefore w:val="0"/>
        <w:widowControl/>
        <w:suppressLineNumbers w:val="0"/>
        <w:kinsoku w:val="0"/>
        <w:wordWrap/>
        <w:overflowPunct/>
        <w:topLinePunct w:val="0"/>
        <w:autoSpaceDE w:val="0"/>
        <w:autoSpaceDN w:val="0"/>
        <w:bidi w:val="0"/>
        <w:adjustRightInd w:val="0"/>
        <w:spacing w:line="440" w:lineRule="exact"/>
        <w:ind w:left="0" w:leftChars="0" w:firstLine="480" w:firstLineChars="200"/>
        <w:jc w:val="both"/>
        <w:textAlignment w:val="baseline"/>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施工过程中若发生工伤或工亡事故，承包人必须在事发后立即启动应急预案，并按事故等级及时通报上级，并做好事故处理和善后等各类事宜，涉及赔偿费用均由承包人承担，否则发包人有权直接处理，相关费用在履约保证金或工程款中直接扣除。若发包人因此而造成行政处罚，罚款金额由承包人额外承担。</w:t>
      </w:r>
    </w:p>
    <w:p w14:paraId="5E7BA0DE">
      <w:pPr>
        <w:keepNext w:val="0"/>
        <w:keepLines w:val="0"/>
        <w:pageBreakBefore w:val="0"/>
        <w:widowControl/>
        <w:suppressLineNumbers w:val="0"/>
        <w:kinsoku w:val="0"/>
        <w:wordWrap/>
        <w:overflowPunct/>
        <w:topLinePunct w:val="0"/>
        <w:autoSpaceDE w:val="0"/>
        <w:autoSpaceDN w:val="0"/>
        <w:bidi w:val="0"/>
        <w:adjustRightInd w:val="0"/>
        <w:spacing w:line="440" w:lineRule="exact"/>
        <w:ind w:left="0" w:leftChars="0" w:firstLine="480" w:firstLineChars="200"/>
        <w:jc w:val="both"/>
        <w:textAlignment w:val="baseline"/>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材料设备采购应根据招标文件、设计技术文件和国家有关规定的具体要求进行采购，所有材料应选用具有一定生产规模和市场信誉好的生产厂和品牌，生产厂和品牌需经发包人或发包人委托的监理单位确认后方可采购（需无条件提供实体样板进行选样，费用在投标报价中综合考虑），否则，因此引起的一切 后果都由承包人自行承担；所有材料均应有合格证和质保书、符合国家规定的技术标准和本工程质量要求，并且须经发包人或发包人委托的监理单位或具有相应资质的检测机构检测合格后才能使用，但该检测仅为初步质量检验，并不免除承包人的产品质量保证责任；当承包人选定的材料质量达不到预期质量目标要求时，发包人有权要求承包人立 即进行更换，更换的费用由承包人承担；若使用不合格材料或不符合本工程质量要求的材料施工，一经发现，发包人或监理有权制止使用并要求承包人无偿负责更换，甚至停工、返工或解除合同，并要求承包人赔偿损失。承包人提供的所有产品部件必须与投标文件一致，如发现存在造假行为，除应按发包人、监理人或发包人要求的时间运出施工场地，重新采购符合要求的产品，承担由此发生的费用，延误的工期不予顺延。 无论发包人或发包人委托的监理单位是否发现和制止，由于使用不合格材料或不符合工程质量目标要求的材料施工后所引起的一切责任均由承包人自负。</w:t>
      </w:r>
    </w:p>
    <w:p w14:paraId="7A40DFF3">
      <w:pPr>
        <w:keepNext w:val="0"/>
        <w:keepLines w:val="0"/>
        <w:pageBreakBefore w:val="0"/>
        <w:widowControl/>
        <w:suppressLineNumbers w:val="0"/>
        <w:kinsoku w:val="0"/>
        <w:wordWrap/>
        <w:overflowPunct/>
        <w:topLinePunct w:val="0"/>
        <w:autoSpaceDE w:val="0"/>
        <w:autoSpaceDN w:val="0"/>
        <w:bidi w:val="0"/>
        <w:adjustRightInd w:val="0"/>
        <w:spacing w:line="440" w:lineRule="exact"/>
        <w:ind w:left="0" w:leftChars="0" w:firstLine="480" w:firstLineChars="200"/>
        <w:jc w:val="both"/>
        <w:textAlignment w:val="baseline"/>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在工程通过验收前（包括因国际化和大型公共活动、政府重要会议或活动或检查，如亚运会、中高考、行业检查等所要求的停工及等候时间），对已完成工程（含发包人专业分包且已移交给承包人的工程）成品的保护工作由承包人负责，费用在投标报价中包干。</w:t>
      </w:r>
    </w:p>
    <w:p w14:paraId="01E24362">
      <w:pPr>
        <w:keepNext w:val="0"/>
        <w:keepLines w:val="0"/>
        <w:pageBreakBefore w:val="0"/>
        <w:widowControl/>
        <w:suppressLineNumbers w:val="0"/>
        <w:kinsoku w:val="0"/>
        <w:wordWrap/>
        <w:overflowPunct/>
        <w:topLinePunct w:val="0"/>
        <w:autoSpaceDE w:val="0"/>
        <w:autoSpaceDN w:val="0"/>
        <w:bidi w:val="0"/>
        <w:adjustRightInd w:val="0"/>
        <w:spacing w:line="440" w:lineRule="exact"/>
        <w:ind w:left="0" w:leftChars="0" w:firstLine="480" w:firstLineChars="200"/>
        <w:jc w:val="both"/>
        <w:textAlignment w:val="baseline"/>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8.本项目为非基本建设流程，承包人需充分考虑现场实施难度，与属地相关行政许可部门及相关行政许可报批进行妥善处理（例如渣土，建筑垃圾清运，材料运输）确保项目顺利推进。</w:t>
      </w:r>
    </w:p>
    <w:p w14:paraId="762E2649">
      <w:pPr>
        <w:pStyle w:val="5"/>
        <w:pageBreakBefore w:val="0"/>
        <w:widowControl/>
        <w:kinsoku w:val="0"/>
        <w:wordWrap/>
        <w:overflowPunct/>
        <w:topLinePunct w:val="0"/>
        <w:autoSpaceDE w:val="0"/>
        <w:autoSpaceDN w:val="0"/>
        <w:bidi w:val="0"/>
        <w:adjustRightInd w:val="0"/>
        <w:spacing w:line="440" w:lineRule="exact"/>
        <w:ind w:left="0" w:leftChars="0" w:firstLine="474" w:firstLineChars="200"/>
        <w:jc w:val="both"/>
        <w:textAlignment w:val="baseline"/>
        <w:rPr>
          <w:rFonts w:ascii="宋体" w:hAnsi="宋体" w:eastAsia="宋体" w:cs="宋体"/>
          <w:b/>
          <w:bCs/>
          <w:color w:val="auto"/>
          <w:spacing w:val="-2"/>
          <w:sz w:val="24"/>
          <w:szCs w:val="24"/>
          <w:highlight w:val="none"/>
          <w:u w:val="single" w:color="auto"/>
        </w:rPr>
      </w:pPr>
      <w:r>
        <w:rPr>
          <w:rFonts w:hint="eastAsia" w:ascii="宋体" w:hAnsi="宋体" w:cs="宋体"/>
          <w:b/>
          <w:bCs/>
          <w:color w:val="auto"/>
          <w:spacing w:val="-2"/>
          <w:sz w:val="24"/>
          <w:szCs w:val="24"/>
          <w:highlight w:val="none"/>
          <w:u w:val="single" w:color="auto"/>
          <w:lang w:val="en-US" w:eastAsia="zh-CN"/>
        </w:rPr>
        <w:t>9.</w:t>
      </w:r>
      <w:r>
        <w:rPr>
          <w:rFonts w:ascii="宋体" w:hAnsi="宋体" w:eastAsia="宋体" w:cs="宋体"/>
          <w:b/>
          <w:bCs/>
          <w:color w:val="auto"/>
          <w:spacing w:val="-2"/>
          <w:sz w:val="24"/>
          <w:szCs w:val="24"/>
          <w:highlight w:val="none"/>
          <w:u w:val="single" w:color="auto"/>
        </w:rPr>
        <w:t>本合同所涉及的违约金等需在当期工程费支付前由承包人缴纳。</w:t>
      </w:r>
    </w:p>
    <w:p w14:paraId="34B65076">
      <w:pPr>
        <w:ind w:firstLine="420"/>
        <w:rPr>
          <w:rFonts w:hint="default" w:eastAsia="宋体"/>
          <w:lang w:val="en-US" w:eastAsia="zh-CN"/>
        </w:rPr>
      </w:pPr>
      <w:r>
        <w:rPr>
          <w:rFonts w:hint="eastAsia" w:ascii="宋体" w:hAnsi="宋体" w:eastAsia="宋体" w:cs="宋体"/>
          <w:b w:val="0"/>
          <w:bCs w:val="0"/>
          <w:color w:val="auto"/>
          <w:spacing w:val="-2"/>
          <w:sz w:val="24"/>
          <w:szCs w:val="24"/>
          <w:highlight w:val="none"/>
          <w:u w:val="single" w:color="auto"/>
          <w:lang w:val="en-US" w:eastAsia="zh-CN"/>
        </w:rPr>
        <w:t>10.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D477373">
      <w:pPr>
        <w:pStyle w:val="5"/>
        <w:pageBreakBefore w:val="0"/>
        <w:widowControl/>
        <w:kinsoku w:val="0"/>
        <w:wordWrap/>
        <w:overflowPunct/>
        <w:topLinePunct w:val="0"/>
        <w:autoSpaceDE w:val="0"/>
        <w:autoSpaceDN w:val="0"/>
        <w:bidi w:val="0"/>
        <w:adjustRightInd w:val="0"/>
        <w:spacing w:line="440" w:lineRule="exact"/>
        <w:ind w:left="0" w:leftChars="0" w:firstLine="482" w:firstLineChars="200"/>
        <w:jc w:val="both"/>
        <w:textAlignment w:val="baseline"/>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十</w:t>
      </w:r>
      <w:r>
        <w:rPr>
          <w:rFonts w:hint="eastAsia" w:ascii="宋体" w:hAnsi="宋体" w:cs="宋体"/>
          <w:b/>
          <w:bCs w:val="0"/>
          <w:color w:val="auto"/>
          <w:sz w:val="24"/>
          <w:szCs w:val="24"/>
          <w:highlight w:val="none"/>
          <w:lang w:val="en-US" w:eastAsia="zh-CN"/>
        </w:rPr>
        <w:t>三</w:t>
      </w:r>
      <w:r>
        <w:rPr>
          <w:rFonts w:hint="eastAsia" w:ascii="宋体" w:hAnsi="宋体" w:eastAsia="宋体" w:cs="宋体"/>
          <w:b/>
          <w:bCs w:val="0"/>
          <w:color w:val="auto"/>
          <w:sz w:val="24"/>
          <w:szCs w:val="24"/>
          <w:highlight w:val="none"/>
        </w:rPr>
        <w:t>、合同文件构成</w:t>
      </w:r>
      <w:bookmarkEnd w:id="6"/>
    </w:p>
    <w:p w14:paraId="2729BDD6">
      <w:pPr>
        <w:pageBreakBefore w:val="0"/>
        <w:widowControl/>
        <w:kinsoku w:val="0"/>
        <w:wordWrap/>
        <w:overflowPunct/>
        <w:topLinePunct w:val="0"/>
        <w:autoSpaceDE w:val="0"/>
        <w:autoSpaceDN w:val="0"/>
        <w:bidi w:val="0"/>
        <w:adjustRightInd w:val="0"/>
        <w:spacing w:line="440" w:lineRule="exact"/>
        <w:ind w:left="0" w:leftChars="0" w:firstLine="480" w:firstLineChars="200"/>
        <w:jc w:val="both"/>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本协议书与下列文件一起构成合同文件：</w:t>
      </w:r>
    </w:p>
    <w:p w14:paraId="0BFD2671">
      <w:pPr>
        <w:pageBreakBefore w:val="0"/>
        <w:widowControl/>
        <w:kinsoku w:val="0"/>
        <w:wordWrap/>
        <w:overflowPunct/>
        <w:topLinePunct w:val="0"/>
        <w:autoSpaceDE w:val="0"/>
        <w:autoSpaceDN w:val="0"/>
        <w:bidi w:val="0"/>
        <w:adjustRightInd w:val="0"/>
        <w:spacing w:line="440" w:lineRule="exact"/>
        <w:ind w:left="0" w:lef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（1）中标通知书（若有）；</w:t>
      </w:r>
    </w:p>
    <w:p w14:paraId="4E179618">
      <w:pPr>
        <w:pageBreakBefore w:val="0"/>
        <w:widowControl/>
        <w:kinsoku w:val="0"/>
        <w:wordWrap/>
        <w:overflowPunct/>
        <w:topLinePunct w:val="0"/>
        <w:autoSpaceDE w:val="0"/>
        <w:autoSpaceDN w:val="0"/>
        <w:bidi w:val="0"/>
        <w:adjustRightInd w:val="0"/>
        <w:spacing w:line="440" w:lineRule="exact"/>
        <w:ind w:left="0" w:lef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（2）投标函及其附录（若有）； </w:t>
      </w:r>
    </w:p>
    <w:p w14:paraId="67CB0520">
      <w:pPr>
        <w:pageBreakBefore w:val="0"/>
        <w:widowControl/>
        <w:kinsoku w:val="0"/>
        <w:wordWrap/>
        <w:overflowPunct/>
        <w:topLinePunct w:val="0"/>
        <w:autoSpaceDE w:val="0"/>
        <w:autoSpaceDN w:val="0"/>
        <w:bidi w:val="0"/>
        <w:adjustRightInd w:val="0"/>
        <w:spacing w:line="440" w:lineRule="exact"/>
        <w:ind w:left="0" w:lef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（3）技术标准和要求（若有）；</w:t>
      </w:r>
    </w:p>
    <w:p w14:paraId="67CCF7FE">
      <w:pPr>
        <w:pageBreakBefore w:val="0"/>
        <w:widowControl/>
        <w:kinsoku w:val="0"/>
        <w:wordWrap/>
        <w:overflowPunct/>
        <w:topLinePunct w:val="0"/>
        <w:autoSpaceDE w:val="0"/>
        <w:autoSpaceDN w:val="0"/>
        <w:bidi w:val="0"/>
        <w:adjustRightInd w:val="0"/>
        <w:spacing w:line="440" w:lineRule="exact"/>
        <w:ind w:left="0" w:lef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（4）图纸（若有）；</w:t>
      </w:r>
    </w:p>
    <w:p w14:paraId="130A0597">
      <w:pPr>
        <w:pageBreakBefore w:val="0"/>
        <w:widowControl/>
        <w:kinsoku w:val="0"/>
        <w:wordWrap/>
        <w:overflowPunct/>
        <w:topLinePunct w:val="0"/>
        <w:autoSpaceDE w:val="0"/>
        <w:autoSpaceDN w:val="0"/>
        <w:bidi w:val="0"/>
        <w:adjustRightInd w:val="0"/>
        <w:spacing w:line="440" w:lineRule="exact"/>
        <w:ind w:left="0" w:lef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（5）已标价工程量清单或预算书（若有）；</w:t>
      </w:r>
    </w:p>
    <w:p w14:paraId="198277F3">
      <w:pPr>
        <w:pageBreakBefore w:val="0"/>
        <w:widowControl/>
        <w:kinsoku w:val="0"/>
        <w:wordWrap/>
        <w:overflowPunct/>
        <w:topLinePunct w:val="0"/>
        <w:autoSpaceDE w:val="0"/>
        <w:autoSpaceDN w:val="0"/>
        <w:bidi w:val="0"/>
        <w:adjustRightInd w:val="0"/>
        <w:spacing w:line="440" w:lineRule="exact"/>
        <w:ind w:left="0" w:lef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（6）其他合同文件：</w:t>
      </w:r>
      <w:r>
        <w:rPr>
          <w:rFonts w:hint="eastAsia" w:ascii="宋体" w:hAnsi="宋体" w:eastAsia="宋体" w:cs="宋体"/>
          <w:color w:val="auto"/>
          <w:sz w:val="24"/>
          <w:szCs w:val="24"/>
          <w:highlight w:val="none"/>
          <w:u w:val="single"/>
        </w:rPr>
        <w:t xml:space="preserve"> 安全文明施工责任合同  </w:t>
      </w:r>
      <w:r>
        <w:rPr>
          <w:rFonts w:hint="eastAsia" w:ascii="宋体" w:hAnsi="宋体" w:eastAsia="宋体" w:cs="宋体"/>
          <w:color w:val="auto"/>
          <w:sz w:val="24"/>
          <w:szCs w:val="24"/>
          <w:highlight w:val="none"/>
        </w:rPr>
        <w:t>。</w:t>
      </w:r>
    </w:p>
    <w:p w14:paraId="0E16880F">
      <w:pPr>
        <w:pageBreakBefore w:val="0"/>
        <w:widowControl/>
        <w:kinsoku w:val="0"/>
        <w:wordWrap/>
        <w:overflowPunct/>
        <w:topLinePunct w:val="0"/>
        <w:autoSpaceDE w:val="0"/>
        <w:autoSpaceDN w:val="0"/>
        <w:bidi w:val="0"/>
        <w:adjustRightInd w:val="0"/>
        <w:spacing w:line="440" w:lineRule="exact"/>
        <w:ind w:left="0" w:lef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在合同订立及履行过程中形成的与合同有关的文件均构成合同文件组成部分。</w:t>
      </w:r>
    </w:p>
    <w:p w14:paraId="45B7C4DF">
      <w:pPr>
        <w:pageBreakBefore w:val="0"/>
        <w:widowControl/>
        <w:kinsoku w:val="0"/>
        <w:wordWrap/>
        <w:overflowPunct/>
        <w:topLinePunct w:val="0"/>
        <w:autoSpaceDE w:val="0"/>
        <w:autoSpaceDN w:val="0"/>
        <w:bidi w:val="0"/>
        <w:adjustRightInd w:val="0"/>
        <w:spacing w:line="440" w:lineRule="exact"/>
        <w:ind w:left="0" w:leftChars="0" w:firstLine="480" w:firstLineChars="200"/>
        <w:jc w:val="both"/>
        <w:textAlignment w:val="baseline"/>
        <w:rPr>
          <w:rFonts w:hint="eastAsia" w:ascii="宋体" w:hAnsi="宋体" w:eastAsia="宋体" w:cs="宋体"/>
          <w:bCs/>
          <w:strike/>
          <w:color w:val="auto"/>
          <w:sz w:val="24"/>
          <w:szCs w:val="24"/>
          <w:highlight w:val="none"/>
        </w:rPr>
      </w:pPr>
      <w:r>
        <w:rPr>
          <w:rFonts w:hint="eastAsia" w:ascii="宋体" w:hAnsi="宋体" w:eastAsia="宋体" w:cs="宋体"/>
          <w:color w:val="auto"/>
          <w:sz w:val="24"/>
          <w:szCs w:val="24"/>
          <w:highlight w:val="none"/>
        </w:rPr>
        <w:t>上述各项合同文件包括合同当事人就该项合同文件所作出的补充和修改，属于同一类内容的文件，应以最新签署的为准。</w:t>
      </w:r>
    </w:p>
    <w:p w14:paraId="7E32F1D4">
      <w:pPr>
        <w:pStyle w:val="5"/>
        <w:pageBreakBefore w:val="0"/>
        <w:widowControl/>
        <w:kinsoku w:val="0"/>
        <w:wordWrap/>
        <w:overflowPunct/>
        <w:topLinePunct w:val="0"/>
        <w:autoSpaceDE w:val="0"/>
        <w:autoSpaceDN w:val="0"/>
        <w:bidi w:val="0"/>
        <w:adjustRightInd w:val="0"/>
        <w:spacing w:line="440" w:lineRule="exact"/>
        <w:ind w:left="0" w:leftChars="0" w:firstLine="482" w:firstLineChars="200"/>
        <w:jc w:val="both"/>
        <w:textAlignment w:val="baseline"/>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十</w:t>
      </w:r>
      <w:r>
        <w:rPr>
          <w:rFonts w:hint="eastAsia" w:ascii="宋体" w:hAnsi="宋体" w:cs="宋体"/>
          <w:b/>
          <w:bCs w:val="0"/>
          <w:color w:val="auto"/>
          <w:sz w:val="24"/>
          <w:szCs w:val="24"/>
          <w:highlight w:val="none"/>
          <w:lang w:val="en-US" w:eastAsia="zh-CN"/>
        </w:rPr>
        <w:t>四</w:t>
      </w:r>
      <w:r>
        <w:rPr>
          <w:rFonts w:hint="eastAsia" w:ascii="宋体" w:hAnsi="宋体" w:eastAsia="宋体" w:cs="宋体"/>
          <w:b/>
          <w:bCs w:val="0"/>
          <w:color w:val="auto"/>
          <w:sz w:val="24"/>
          <w:szCs w:val="24"/>
          <w:highlight w:val="none"/>
        </w:rPr>
        <w:t>、未尽事宜处理</w:t>
      </w:r>
    </w:p>
    <w:p w14:paraId="693CD1C5">
      <w:pPr>
        <w:pageBreakBefore w:val="0"/>
        <w:widowControl/>
        <w:wordWrap/>
        <w:overflowPunct/>
        <w:topLinePunct w:val="0"/>
        <w:bidi w:val="0"/>
        <w:spacing w:line="440" w:lineRule="exact"/>
        <w:ind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本合同未尽事宜，由双方共同协商解决。协商不成的，提交工程所在地人民法院诉讼解决。</w:t>
      </w:r>
    </w:p>
    <w:bookmarkEnd w:id="5"/>
    <w:p w14:paraId="14F60311">
      <w:pPr>
        <w:pStyle w:val="5"/>
        <w:pageBreakBefore w:val="0"/>
        <w:widowControl/>
        <w:kinsoku w:val="0"/>
        <w:wordWrap/>
        <w:overflowPunct/>
        <w:topLinePunct w:val="0"/>
        <w:autoSpaceDE w:val="0"/>
        <w:autoSpaceDN w:val="0"/>
        <w:bidi w:val="0"/>
        <w:adjustRightInd w:val="0"/>
        <w:spacing w:line="440" w:lineRule="exact"/>
        <w:ind w:left="0" w:leftChars="0" w:firstLine="482" w:firstLineChars="200"/>
        <w:jc w:val="both"/>
        <w:textAlignment w:val="baseline"/>
        <w:rPr>
          <w:rFonts w:hint="eastAsia" w:ascii="宋体" w:hAnsi="宋体" w:eastAsia="宋体" w:cs="宋体"/>
          <w:b/>
          <w:bCs w:val="0"/>
          <w:color w:val="auto"/>
          <w:sz w:val="24"/>
          <w:szCs w:val="24"/>
          <w:highlight w:val="none"/>
        </w:rPr>
      </w:pPr>
      <w:bookmarkStart w:id="7" w:name="_Toc351203492"/>
      <w:r>
        <w:rPr>
          <w:rFonts w:hint="eastAsia" w:ascii="宋体" w:hAnsi="宋体" w:eastAsia="宋体" w:cs="宋体"/>
          <w:b/>
          <w:bCs w:val="0"/>
          <w:color w:val="auto"/>
          <w:sz w:val="24"/>
          <w:szCs w:val="24"/>
          <w:highlight w:val="none"/>
        </w:rPr>
        <w:t>十</w:t>
      </w:r>
      <w:r>
        <w:rPr>
          <w:rFonts w:hint="eastAsia" w:ascii="宋体" w:hAnsi="宋体" w:cs="宋体"/>
          <w:b/>
          <w:bCs w:val="0"/>
          <w:color w:val="auto"/>
          <w:sz w:val="24"/>
          <w:szCs w:val="24"/>
          <w:highlight w:val="none"/>
          <w:lang w:val="en-US" w:eastAsia="zh-CN"/>
        </w:rPr>
        <w:t>五</w:t>
      </w:r>
      <w:r>
        <w:rPr>
          <w:rFonts w:hint="eastAsia" w:ascii="宋体" w:hAnsi="宋体" w:eastAsia="宋体" w:cs="宋体"/>
          <w:b/>
          <w:bCs w:val="0"/>
          <w:color w:val="auto"/>
          <w:sz w:val="24"/>
          <w:szCs w:val="24"/>
          <w:highlight w:val="none"/>
        </w:rPr>
        <w:t>、合同生效</w:t>
      </w:r>
      <w:bookmarkEnd w:id="7"/>
    </w:p>
    <w:p w14:paraId="0966B030">
      <w:pPr>
        <w:pageBreakBefore w:val="0"/>
        <w:widowControl/>
        <w:kinsoku w:val="0"/>
        <w:wordWrap/>
        <w:overflowPunct/>
        <w:topLinePunct w:val="0"/>
        <w:autoSpaceDE w:val="0"/>
        <w:autoSpaceDN w:val="0"/>
        <w:bidi w:val="0"/>
        <w:adjustRightInd w:val="0"/>
        <w:spacing w:line="440" w:lineRule="exact"/>
        <w:ind w:left="0" w:leftChars="0" w:firstLine="480" w:firstLineChars="200"/>
        <w:jc w:val="both"/>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本合同自</w:t>
      </w:r>
      <w:r>
        <w:rPr>
          <w:rFonts w:hint="eastAsia" w:ascii="宋体" w:hAnsi="宋体" w:eastAsia="宋体" w:cs="宋体"/>
          <w:bCs/>
          <w:color w:val="auto"/>
          <w:sz w:val="24"/>
          <w:szCs w:val="24"/>
          <w:highlight w:val="none"/>
          <w:u w:val="single"/>
        </w:rPr>
        <w:t xml:space="preserve">  双方签字盖章后  </w:t>
      </w:r>
      <w:r>
        <w:rPr>
          <w:rFonts w:hint="eastAsia" w:ascii="宋体" w:hAnsi="宋体" w:eastAsia="宋体" w:cs="宋体"/>
          <w:bCs/>
          <w:color w:val="auto"/>
          <w:sz w:val="24"/>
          <w:szCs w:val="24"/>
          <w:highlight w:val="none"/>
        </w:rPr>
        <w:t>生效。</w:t>
      </w:r>
    </w:p>
    <w:p w14:paraId="03450C04">
      <w:pPr>
        <w:pStyle w:val="5"/>
        <w:pageBreakBefore w:val="0"/>
        <w:widowControl/>
        <w:kinsoku w:val="0"/>
        <w:wordWrap/>
        <w:overflowPunct/>
        <w:topLinePunct w:val="0"/>
        <w:autoSpaceDE w:val="0"/>
        <w:autoSpaceDN w:val="0"/>
        <w:bidi w:val="0"/>
        <w:adjustRightInd w:val="0"/>
        <w:spacing w:line="440" w:lineRule="exact"/>
        <w:ind w:left="0" w:leftChars="0" w:firstLine="482" w:firstLineChars="200"/>
        <w:jc w:val="both"/>
        <w:textAlignment w:val="baseline"/>
        <w:rPr>
          <w:rFonts w:hint="eastAsia" w:ascii="宋体" w:hAnsi="宋体" w:eastAsia="宋体" w:cs="宋体"/>
          <w:b/>
          <w:bCs w:val="0"/>
          <w:color w:val="auto"/>
          <w:sz w:val="24"/>
          <w:szCs w:val="24"/>
          <w:highlight w:val="none"/>
        </w:rPr>
      </w:pPr>
      <w:bookmarkStart w:id="8" w:name="_Toc351203493"/>
      <w:r>
        <w:rPr>
          <w:rFonts w:hint="eastAsia" w:ascii="宋体" w:hAnsi="宋体" w:eastAsia="宋体" w:cs="宋体"/>
          <w:b/>
          <w:bCs w:val="0"/>
          <w:color w:val="auto"/>
          <w:sz w:val="24"/>
          <w:szCs w:val="24"/>
          <w:highlight w:val="none"/>
        </w:rPr>
        <w:t>十</w:t>
      </w:r>
      <w:r>
        <w:rPr>
          <w:rFonts w:hint="eastAsia" w:ascii="宋体" w:hAnsi="宋体" w:cs="宋体"/>
          <w:b/>
          <w:bCs w:val="0"/>
          <w:color w:val="auto"/>
          <w:sz w:val="24"/>
          <w:szCs w:val="24"/>
          <w:highlight w:val="none"/>
          <w:lang w:val="en-US" w:eastAsia="zh-CN"/>
        </w:rPr>
        <w:t>六</w:t>
      </w:r>
      <w:r>
        <w:rPr>
          <w:rFonts w:hint="eastAsia" w:ascii="宋体" w:hAnsi="宋体" w:eastAsia="宋体" w:cs="宋体"/>
          <w:b/>
          <w:bCs w:val="0"/>
          <w:color w:val="auto"/>
          <w:sz w:val="24"/>
          <w:szCs w:val="24"/>
          <w:highlight w:val="none"/>
        </w:rPr>
        <w:t>、合同份数</w:t>
      </w:r>
      <w:bookmarkEnd w:id="8"/>
    </w:p>
    <w:p w14:paraId="1DF2AEE5">
      <w:pPr>
        <w:pageBreakBefore w:val="0"/>
        <w:widowControl/>
        <w:kinsoku w:val="0"/>
        <w:wordWrap/>
        <w:overflowPunct/>
        <w:topLinePunct w:val="0"/>
        <w:autoSpaceDE w:val="0"/>
        <w:autoSpaceDN w:val="0"/>
        <w:bidi w:val="0"/>
        <w:adjustRightInd w:val="0"/>
        <w:spacing w:line="440" w:lineRule="exact"/>
        <w:ind w:left="0" w:leftChars="0" w:firstLine="480" w:firstLineChars="200"/>
        <w:jc w:val="both"/>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本合同一式</w:t>
      </w:r>
      <w:r>
        <w:rPr>
          <w:rFonts w:hint="eastAsia" w:ascii="宋体" w:hAnsi="宋体" w:eastAsia="宋体" w:cs="宋体"/>
          <w:bCs/>
          <w:color w:val="auto"/>
          <w:sz w:val="24"/>
          <w:szCs w:val="24"/>
          <w:highlight w:val="none"/>
          <w:u w:val="single"/>
        </w:rPr>
        <w:t xml:space="preserve"> 捌 </w:t>
      </w:r>
      <w:r>
        <w:rPr>
          <w:rFonts w:hint="eastAsia" w:ascii="宋体" w:hAnsi="宋体" w:eastAsia="宋体" w:cs="宋体"/>
          <w:bCs/>
          <w:color w:val="auto"/>
          <w:sz w:val="24"/>
          <w:szCs w:val="24"/>
          <w:highlight w:val="none"/>
        </w:rPr>
        <w:t>份，均具有同等法律效力，甲方执</w:t>
      </w:r>
      <w:r>
        <w:rPr>
          <w:rFonts w:hint="eastAsia" w:ascii="宋体" w:hAnsi="宋体" w:eastAsia="宋体" w:cs="宋体"/>
          <w:bCs/>
          <w:color w:val="auto"/>
          <w:sz w:val="24"/>
          <w:szCs w:val="24"/>
          <w:highlight w:val="none"/>
          <w:u w:val="single"/>
        </w:rPr>
        <w:t xml:space="preserve"> 伍 </w:t>
      </w:r>
      <w:r>
        <w:rPr>
          <w:rFonts w:hint="eastAsia" w:ascii="宋体" w:hAnsi="宋体" w:eastAsia="宋体" w:cs="宋体"/>
          <w:bCs/>
          <w:color w:val="auto"/>
          <w:sz w:val="24"/>
          <w:szCs w:val="24"/>
          <w:highlight w:val="none"/>
        </w:rPr>
        <w:t>份，乙方执</w:t>
      </w:r>
      <w:r>
        <w:rPr>
          <w:rFonts w:hint="eastAsia" w:ascii="宋体" w:hAnsi="宋体" w:eastAsia="宋体" w:cs="宋体"/>
          <w:bCs/>
          <w:color w:val="auto"/>
          <w:sz w:val="24"/>
          <w:szCs w:val="24"/>
          <w:highlight w:val="none"/>
          <w:u w:val="single"/>
        </w:rPr>
        <w:t xml:space="preserve"> 叁 </w:t>
      </w:r>
      <w:r>
        <w:rPr>
          <w:rFonts w:hint="eastAsia" w:ascii="宋体" w:hAnsi="宋体" w:eastAsia="宋体" w:cs="宋体"/>
          <w:bCs/>
          <w:color w:val="auto"/>
          <w:sz w:val="24"/>
          <w:szCs w:val="24"/>
          <w:highlight w:val="none"/>
        </w:rPr>
        <w:t>份。</w:t>
      </w:r>
    </w:p>
    <w:p w14:paraId="4E05531C">
      <w:pPr>
        <w:pageBreakBefore w:val="0"/>
        <w:widowControl/>
        <w:wordWrap/>
        <w:overflowPunct/>
        <w:topLinePunct w:val="0"/>
        <w:bidi w:val="0"/>
        <w:spacing w:line="440" w:lineRule="exact"/>
        <w:ind w:left="0" w:leftChars="0"/>
        <w:jc w:val="both"/>
        <w:rPr>
          <w:rFonts w:hint="eastAsia" w:ascii="宋体" w:hAnsi="宋体" w:eastAsia="宋体" w:cs="宋体"/>
          <w:bCs/>
          <w:color w:val="auto"/>
          <w:sz w:val="24"/>
          <w:szCs w:val="24"/>
          <w:highlight w:val="none"/>
        </w:rPr>
      </w:pPr>
    </w:p>
    <w:p w14:paraId="3524AC04">
      <w:pPr>
        <w:pageBreakBefore w:val="0"/>
        <w:widowControl/>
        <w:wordWrap/>
        <w:overflowPunct/>
        <w:topLinePunct w:val="0"/>
        <w:bidi w:val="0"/>
        <w:spacing w:line="440" w:lineRule="exact"/>
        <w:ind w:left="0" w:lef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盖章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乙方：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盖章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4D2E8808">
      <w:pPr>
        <w:pageBreakBefore w:val="0"/>
        <w:widowControl/>
        <w:wordWrap/>
        <w:overflowPunct/>
        <w:topLinePunct w:val="0"/>
        <w:bidi w:val="0"/>
        <w:spacing w:line="440" w:lineRule="exact"/>
        <w:ind w:left="0" w:leftChars="0"/>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p>
    <w:p w14:paraId="5EBDED8C">
      <w:pPr>
        <w:pageBreakBefore w:val="0"/>
        <w:widowControl/>
        <w:wordWrap/>
        <w:overflowPunct/>
        <w:topLinePunct w:val="0"/>
        <w:bidi w:val="0"/>
        <w:spacing w:line="440" w:lineRule="exact"/>
        <w:ind w:left="0" w:lef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法定代表人或其委托代理人：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法定代表人或其委托代理人：</w:t>
      </w:r>
    </w:p>
    <w:p w14:paraId="4528F657">
      <w:pPr>
        <w:pageBreakBefore w:val="0"/>
        <w:widowControl/>
        <w:wordWrap/>
        <w:overflowPunct/>
        <w:topLinePunct w:val="0"/>
        <w:bidi w:val="0"/>
        <w:spacing w:line="440" w:lineRule="exact"/>
        <w:ind w:left="0" w:lef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（签字）</w:t>
      </w:r>
    </w:p>
    <w:p w14:paraId="5EDEA24C">
      <w:pPr>
        <w:pageBreakBefore w:val="0"/>
        <w:widowControl/>
        <w:wordWrap/>
        <w:overflowPunct/>
        <w:topLinePunct w:val="0"/>
        <w:bidi w:val="0"/>
        <w:spacing w:line="440" w:lineRule="exact"/>
        <w:ind w:left="0" w:leftChars="0"/>
        <w:jc w:val="both"/>
        <w:rPr>
          <w:rFonts w:hint="eastAsia" w:ascii="宋体" w:hAnsi="宋体" w:eastAsia="宋体" w:cs="宋体"/>
          <w:color w:val="auto"/>
          <w:sz w:val="24"/>
          <w:szCs w:val="24"/>
          <w:highlight w:val="none"/>
          <w:u w:val="single"/>
        </w:rPr>
      </w:pPr>
    </w:p>
    <w:p w14:paraId="39BA88E4">
      <w:pPr>
        <w:pageBreakBefore w:val="0"/>
        <w:widowControl/>
        <w:wordWrap/>
        <w:overflowPunct/>
        <w:topLinePunct w:val="0"/>
        <w:bidi w:val="0"/>
        <w:spacing w:line="440" w:lineRule="exact"/>
        <w:ind w:left="0" w:leftChars="0"/>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组织机构代码：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组织机构代码：</w:t>
      </w:r>
      <w:r>
        <w:rPr>
          <w:rFonts w:hint="eastAsia" w:ascii="宋体" w:hAnsi="宋体" w:eastAsia="宋体" w:cs="宋体"/>
          <w:color w:val="auto"/>
          <w:sz w:val="24"/>
          <w:szCs w:val="24"/>
          <w:highlight w:val="none"/>
          <w:u w:val="single"/>
          <w:lang w:val="en-US" w:eastAsia="zh-CN"/>
        </w:rPr>
        <w:t xml:space="preserve">                     </w:t>
      </w:r>
    </w:p>
    <w:p w14:paraId="7C2A43DA">
      <w:pPr>
        <w:pageBreakBefore w:val="0"/>
        <w:widowControl/>
        <w:wordWrap/>
        <w:overflowPunct/>
        <w:topLinePunct w:val="0"/>
        <w:bidi w:val="0"/>
        <w:spacing w:line="440" w:lineRule="exact"/>
        <w:ind w:left="0" w:leftChars="0"/>
        <w:jc w:val="both"/>
        <w:rPr>
          <w:rFonts w:hint="default" w:ascii="宋体" w:hAnsi="宋体" w:eastAsia="宋体" w:cs="宋体"/>
          <w:color w:val="auto"/>
          <w:szCs w:val="24"/>
          <w:highlight w:val="none"/>
          <w:u w:val="non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Cs w:val="24"/>
          <w:highlight w:val="none"/>
          <w:u w:val="single"/>
          <w:lang w:eastAsia="zh-CN"/>
        </w:rPr>
        <w:t>浙江省杭州市钱塘区临江街道</w:t>
      </w:r>
      <w:r>
        <w:rPr>
          <w:rFonts w:hint="eastAsia" w:ascii="宋体" w:hAnsi="宋体" w:eastAsia="宋体" w:cs="宋体"/>
          <w:color w:val="auto"/>
          <w:szCs w:val="24"/>
          <w:highlight w:val="none"/>
          <w:u w:val="none"/>
          <w:lang w:val="en-US" w:eastAsia="zh-CN"/>
        </w:rPr>
        <w:t xml:space="preserve">       </w:t>
      </w: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lang w:val="en-US" w:eastAsia="zh-CN"/>
        </w:rPr>
        <w:t xml:space="preserve">                        </w:t>
      </w:r>
    </w:p>
    <w:p w14:paraId="7CEBA746">
      <w:pPr>
        <w:pageBreakBefore w:val="0"/>
        <w:widowControl/>
        <w:wordWrap/>
        <w:overflowPunct/>
        <w:topLinePunct w:val="0"/>
        <w:bidi w:val="0"/>
        <w:spacing w:line="440" w:lineRule="exact"/>
        <w:ind w:firstLine="960" w:firstLineChars="400"/>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Cs w:val="24"/>
          <w:highlight w:val="none"/>
          <w:u w:val="single"/>
          <w:lang w:eastAsia="zh-CN"/>
        </w:rPr>
        <w:t>红十五路10388-123号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17EA3D6E">
      <w:pPr>
        <w:pageBreakBefore w:val="0"/>
        <w:widowControl/>
        <w:wordWrap/>
        <w:overflowPunct/>
        <w:topLinePunct w:val="0"/>
        <w:bidi w:val="0"/>
        <w:spacing w:line="440" w:lineRule="exact"/>
        <w:ind w:left="0" w:lef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       </w:t>
      </w:r>
    </w:p>
    <w:p w14:paraId="0FE5FBC0">
      <w:pPr>
        <w:pageBreakBefore w:val="0"/>
        <w:widowControl/>
        <w:wordWrap/>
        <w:overflowPunct/>
        <w:topLinePunct w:val="0"/>
        <w:bidi w:val="0"/>
        <w:spacing w:line="440" w:lineRule="exact"/>
        <w:ind w:left="0" w:lef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u w:val="single"/>
        </w:rPr>
        <w:t xml:space="preserve">             </w:t>
      </w:r>
    </w:p>
    <w:p w14:paraId="690C68F6">
      <w:pPr>
        <w:pageBreakBefore w:val="0"/>
        <w:widowControl/>
        <w:wordWrap/>
        <w:overflowPunct/>
        <w:topLinePunct w:val="0"/>
        <w:bidi w:val="0"/>
        <w:spacing w:line="440" w:lineRule="exact"/>
        <w:ind w:left="0" w:leftChars="0"/>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lang w:val="en-US" w:eastAsia="zh-CN"/>
        </w:rPr>
        <w:t xml:space="preserve">                      </w:t>
      </w:r>
    </w:p>
    <w:p w14:paraId="2B49A5C4">
      <w:pPr>
        <w:pageBreakBefore w:val="0"/>
        <w:widowControl/>
        <w:wordWrap/>
        <w:overflowPunct/>
        <w:topLinePunct w:val="0"/>
        <w:bidi w:val="0"/>
        <w:spacing w:line="440" w:lineRule="exact"/>
        <w:ind w:left="0" w:lef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3A54BFE9">
      <w:pPr>
        <w:pageBreakBefore w:val="0"/>
        <w:widowControl/>
        <w:wordWrap/>
        <w:overflowPunct/>
        <w:topLinePunct w:val="0"/>
        <w:bidi w:val="0"/>
        <w:spacing w:line="440" w:lineRule="exact"/>
        <w:ind w:left="0" w:left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lang w:val="en-US" w:eastAsia="zh-CN"/>
        </w:rPr>
        <w:t xml:space="preserve">                            </w:t>
      </w:r>
    </w:p>
    <w:p w14:paraId="3D87711F">
      <w:pPr>
        <w:pageBreakBefore w:val="0"/>
        <w:widowControl/>
        <w:wordWrap/>
        <w:overflowPunct/>
        <w:topLinePunct w:val="0"/>
        <w:bidi w:val="0"/>
        <w:spacing w:line="440" w:lineRule="exact"/>
        <w:ind w:left="0" w:leftChars="0"/>
        <w:jc w:val="both"/>
        <w:rPr>
          <w:rFonts w:hint="default" w:ascii="宋体" w:hAnsi="宋体" w:eastAsia="宋体" w:cs="仿宋"/>
          <w:color w:val="auto"/>
          <w:sz w:val="21"/>
          <w:szCs w:val="21"/>
          <w:highlight w:val="none"/>
          <w:lang w:val="en-US" w:eastAsia="zh-CN"/>
        </w:rPr>
      </w:pPr>
      <w:r>
        <w:rPr>
          <w:rFonts w:hint="eastAsia" w:ascii="宋体" w:hAnsi="宋体" w:eastAsia="宋体" w:cs="宋体"/>
          <w:color w:val="auto"/>
          <w:sz w:val="24"/>
          <w:szCs w:val="24"/>
          <w:highlight w:val="none"/>
        </w:rPr>
        <w:t>账  号：</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账  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仿宋"/>
          <w:color w:val="auto"/>
          <w:sz w:val="21"/>
          <w:szCs w:val="21"/>
          <w:highlight w:val="none"/>
        </w:rPr>
        <w:t xml:space="preserve"> </w:t>
      </w:r>
      <w:r>
        <w:rPr>
          <w:rFonts w:hint="eastAsia" w:ascii="宋体" w:hAnsi="宋体" w:cs="仿宋"/>
          <w:color w:val="auto"/>
          <w:sz w:val="21"/>
          <w:szCs w:val="21"/>
          <w:highlight w:val="none"/>
          <w:lang w:val="en-US" w:eastAsia="zh-CN"/>
        </w:rPr>
        <w:t xml:space="preserve">     </w:t>
      </w:r>
    </w:p>
    <w:p w14:paraId="6D629ED0">
      <w:pPr>
        <w:rPr>
          <w:rFonts w:ascii="Times New Roman" w:hAnsi="Times New Roman" w:cs="Times New Roman"/>
          <w:color w:val="auto"/>
          <w:highlight w:val="none"/>
        </w:rPr>
      </w:pPr>
      <w:r>
        <w:rPr>
          <w:rFonts w:ascii="Times New Roman" w:hAnsi="Times New Roman" w:cs="Times New Roman"/>
          <w:color w:val="auto"/>
          <w:highlight w:val="none"/>
        </w:rPr>
        <w:br w:type="page"/>
      </w:r>
    </w:p>
    <w:p w14:paraId="52D73CAB">
      <w:pPr>
        <w:rPr>
          <w:rFonts w:hint="default" w:ascii="Times New Roman" w:hAnsi="Times New Roman" w:eastAsia="新宋体" w:cs="Times New Roman"/>
          <w:color w:val="auto"/>
          <w:highlight w:val="none"/>
          <w:lang w:val="en-US" w:eastAsia="zh-CN"/>
        </w:rPr>
      </w:pPr>
      <w:r>
        <w:rPr>
          <w:rFonts w:hint="eastAsia" w:ascii="Times New Roman" w:hAnsi="Times New Roman" w:cs="Times New Roman"/>
          <w:color w:val="auto"/>
          <w:highlight w:val="none"/>
          <w:lang w:val="en-US" w:eastAsia="zh-CN"/>
        </w:rPr>
        <w:t>附件1</w:t>
      </w:r>
    </w:p>
    <w:p w14:paraId="4631CDAA">
      <w:pPr>
        <w:rPr>
          <w:rFonts w:ascii="Times New Roman" w:hAnsi="Times New Roman" w:cs="Times New Roman"/>
          <w:color w:val="auto"/>
          <w:highlight w:val="none"/>
        </w:rPr>
      </w:pPr>
    </w:p>
    <w:p w14:paraId="031D3338">
      <w:pPr>
        <w:spacing w:before="80" w:line="220" w:lineRule="auto"/>
        <w:ind w:left="3477"/>
        <w:outlineLvl w:val="1"/>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安全文明施工责任合同</w:t>
      </w:r>
    </w:p>
    <w:p w14:paraId="2A1D33C1">
      <w:pPr>
        <w:spacing w:before="99" w:line="220" w:lineRule="auto"/>
        <w:ind w:left="31"/>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甲方（</w:t>
      </w:r>
      <w:r>
        <w:rPr>
          <w:rFonts w:hint="eastAsia" w:ascii="宋体" w:hAnsi="宋体" w:eastAsia="宋体" w:cs="宋体"/>
          <w:color w:val="auto"/>
          <w:spacing w:val="-4"/>
          <w:sz w:val="24"/>
          <w:szCs w:val="24"/>
          <w:highlight w:val="none"/>
          <w:lang w:val="en-US" w:eastAsia="zh-CN"/>
        </w:rPr>
        <w:t>发包人</w:t>
      </w:r>
      <w:r>
        <w:rPr>
          <w:rFonts w:ascii="宋体" w:hAnsi="宋体" w:eastAsia="宋体" w:cs="宋体"/>
          <w:color w:val="auto"/>
          <w:spacing w:val="-2"/>
          <w:sz w:val="24"/>
          <w:szCs w:val="24"/>
          <w:highlight w:val="none"/>
        </w:rPr>
        <w:t>）：</w:t>
      </w:r>
    </w:p>
    <w:p w14:paraId="0C7A2183">
      <w:pPr>
        <w:spacing w:before="114" w:line="220" w:lineRule="auto"/>
        <w:ind w:left="2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乙方（</w:t>
      </w:r>
      <w:r>
        <w:rPr>
          <w:rFonts w:hint="eastAsia" w:ascii="宋体" w:hAnsi="宋体" w:eastAsia="宋体" w:cs="宋体"/>
          <w:color w:val="auto"/>
          <w:spacing w:val="-3"/>
          <w:sz w:val="24"/>
          <w:szCs w:val="24"/>
          <w:highlight w:val="none"/>
          <w:lang w:val="en-US" w:eastAsia="zh-CN"/>
        </w:rPr>
        <w:t>承包人</w:t>
      </w:r>
      <w:r>
        <w:rPr>
          <w:rFonts w:ascii="宋体" w:hAnsi="宋体" w:eastAsia="宋体" w:cs="宋体"/>
          <w:color w:val="auto"/>
          <w:spacing w:val="-3"/>
          <w:sz w:val="24"/>
          <w:szCs w:val="24"/>
          <w:highlight w:val="none"/>
        </w:rPr>
        <w:t>）：</w:t>
      </w:r>
    </w:p>
    <w:p w14:paraId="2EF917BD">
      <w:pPr>
        <w:spacing w:before="113" w:line="308" w:lineRule="auto"/>
        <w:ind w:left="1" w:right="217" w:firstLine="361"/>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为保证项目建设顺利进行，双方依照《中华人民共和国安</w:t>
      </w:r>
      <w:r>
        <w:rPr>
          <w:rFonts w:ascii="宋体" w:hAnsi="宋体" w:eastAsia="宋体" w:cs="宋体"/>
          <w:color w:val="auto"/>
          <w:spacing w:val="-1"/>
          <w:sz w:val="24"/>
          <w:szCs w:val="24"/>
          <w:highlight w:val="none"/>
        </w:rPr>
        <w:t>全生产法》、《中华人民共和国</w:t>
      </w:r>
      <w:r>
        <w:rPr>
          <w:rFonts w:ascii="宋体" w:hAnsi="宋体" w:eastAsia="宋体" w:cs="宋体"/>
          <w:color w:val="auto"/>
          <w:sz w:val="24"/>
          <w:szCs w:val="24"/>
          <w:highlight w:val="none"/>
        </w:rPr>
        <w:t>合同》、《中华人民共和国建筑法》等有关法律、法规、规章和</w:t>
      </w:r>
      <w:r>
        <w:rPr>
          <w:rFonts w:ascii="宋体" w:hAnsi="宋体" w:eastAsia="宋体" w:cs="宋体"/>
          <w:color w:val="auto"/>
          <w:spacing w:val="-1"/>
          <w:sz w:val="24"/>
          <w:szCs w:val="24"/>
          <w:highlight w:val="none"/>
        </w:rPr>
        <w:t>政策规定，在平等自愿、协</w:t>
      </w:r>
      <w:r>
        <w:rPr>
          <w:rFonts w:ascii="宋体" w:hAnsi="宋体" w:eastAsia="宋体" w:cs="宋体"/>
          <w:color w:val="auto"/>
          <w:spacing w:val="-2"/>
          <w:sz w:val="24"/>
          <w:szCs w:val="24"/>
          <w:highlight w:val="none"/>
        </w:rPr>
        <w:t>商一致的基础上，就工程项目建设中所涉及的</w:t>
      </w:r>
      <w:r>
        <w:rPr>
          <w:rFonts w:hint="eastAsia" w:ascii="宋体" w:hAnsi="宋体" w:eastAsia="宋体" w:cs="宋体"/>
          <w:color w:val="auto"/>
          <w:spacing w:val="-2"/>
          <w:sz w:val="24"/>
          <w:szCs w:val="24"/>
          <w:highlight w:val="none"/>
          <w:lang w:eastAsia="zh-CN"/>
        </w:rPr>
        <w:t>有关</w:t>
      </w:r>
      <w:r>
        <w:rPr>
          <w:rFonts w:ascii="宋体" w:hAnsi="宋体" w:eastAsia="宋体" w:cs="宋体"/>
          <w:color w:val="auto"/>
          <w:spacing w:val="-2"/>
          <w:sz w:val="24"/>
          <w:szCs w:val="24"/>
          <w:highlight w:val="none"/>
        </w:rPr>
        <w:t>安全文明施工事项达成如下协议：</w:t>
      </w:r>
    </w:p>
    <w:p w14:paraId="6002769A">
      <w:pPr>
        <w:spacing w:before="1" w:line="219" w:lineRule="auto"/>
        <w:ind w:left="48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一、双方的基本权利义务</w:t>
      </w:r>
    </w:p>
    <w:p w14:paraId="1688B8F6">
      <w:pPr>
        <w:spacing w:before="115" w:line="220" w:lineRule="auto"/>
        <w:ind w:left="48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（一）发包人权利义务</w:t>
      </w:r>
    </w:p>
    <w:p w14:paraId="1B8D8C98">
      <w:pPr>
        <w:spacing w:before="112" w:line="264" w:lineRule="auto"/>
        <w:ind w:firstLine="49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1、发包人有权要求承包人建立安全文明生产组织机构，并严格</w:t>
      </w:r>
      <w:r>
        <w:rPr>
          <w:rFonts w:hint="eastAsia" w:ascii="宋体" w:hAnsi="宋体" w:eastAsia="宋体" w:cs="宋体"/>
          <w:color w:val="auto"/>
          <w:spacing w:val="-1"/>
          <w:sz w:val="24"/>
          <w:szCs w:val="24"/>
          <w:highlight w:val="none"/>
          <w:lang w:val="en-US" w:eastAsia="zh-CN"/>
        </w:rPr>
        <w:t>遵守</w:t>
      </w:r>
      <w:r>
        <w:rPr>
          <w:rFonts w:ascii="宋体" w:hAnsi="宋体" w:eastAsia="宋体" w:cs="宋体"/>
          <w:color w:val="auto"/>
          <w:spacing w:val="-2"/>
          <w:sz w:val="24"/>
          <w:szCs w:val="24"/>
          <w:highlight w:val="none"/>
        </w:rPr>
        <w:t>安全生产法规、标准，</w:t>
      </w:r>
      <w:r>
        <w:rPr>
          <w:rFonts w:ascii="宋体" w:hAnsi="宋体" w:eastAsia="宋体" w:cs="宋体"/>
          <w:color w:val="auto"/>
          <w:spacing w:val="-3"/>
          <w:sz w:val="24"/>
          <w:szCs w:val="24"/>
          <w:highlight w:val="none"/>
        </w:rPr>
        <w:t>遵守安全文明生产规章制度、安全操作规程。</w:t>
      </w:r>
    </w:p>
    <w:p w14:paraId="3910545E">
      <w:pPr>
        <w:spacing w:before="115" w:line="220" w:lineRule="auto"/>
        <w:ind w:left="48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2、发包人有权对承包人施工现场的安全文明作业情况进行监督检查。</w:t>
      </w:r>
    </w:p>
    <w:p w14:paraId="1D95A668">
      <w:pPr>
        <w:spacing w:before="114" w:line="220" w:lineRule="auto"/>
        <w:ind w:left="48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3、发生事故后，根据国家有关规定参与事故的调查处理。</w:t>
      </w:r>
    </w:p>
    <w:p w14:paraId="18B6BA79">
      <w:pPr>
        <w:spacing w:before="114" w:line="220" w:lineRule="auto"/>
        <w:ind w:left="48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（二）承包人权利义务</w:t>
      </w:r>
    </w:p>
    <w:p w14:paraId="1E175B5C">
      <w:pPr>
        <w:spacing w:before="114" w:line="220" w:lineRule="auto"/>
        <w:ind w:left="49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1、承包人应严格遵守《中华人民共和国安全生产法》、《中华人民共和国消防法》、</w:t>
      </w:r>
    </w:p>
    <w:p w14:paraId="0304AAC5">
      <w:pPr>
        <w:spacing w:before="113" w:line="264" w:lineRule="auto"/>
        <w:ind w:left="5" w:right="348" w:hanging="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《建筑工程项目管理规范》、《建筑施工安全技术规范》、《施工现场临时用电安全技术规范》以及国家、省、市有关工程建设安全文明管理的规定，建立健</w:t>
      </w:r>
      <w:r>
        <w:rPr>
          <w:rFonts w:ascii="宋体" w:hAnsi="宋体" w:eastAsia="宋体" w:cs="宋体"/>
          <w:color w:val="auto"/>
          <w:spacing w:val="-2"/>
          <w:sz w:val="24"/>
          <w:szCs w:val="24"/>
          <w:highlight w:val="none"/>
        </w:rPr>
        <w:t>全安全生产规章制度。</w:t>
      </w:r>
    </w:p>
    <w:p w14:paraId="168050E1">
      <w:pPr>
        <w:spacing w:before="115" w:line="263" w:lineRule="auto"/>
        <w:ind w:left="25" w:right="243" w:firstLine="45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2、承包人制定事故防范措施和事故应急处理预案，在事故发生时积极组织抢险，并立即</w:t>
      </w:r>
      <w:r>
        <w:rPr>
          <w:rFonts w:ascii="宋体" w:hAnsi="宋体" w:eastAsia="宋体" w:cs="宋体"/>
          <w:color w:val="auto"/>
          <w:spacing w:val="-8"/>
          <w:sz w:val="24"/>
          <w:szCs w:val="24"/>
          <w:highlight w:val="none"/>
        </w:rPr>
        <w:t>向有关方面报告。</w:t>
      </w:r>
    </w:p>
    <w:p w14:paraId="3D34B5A9">
      <w:pPr>
        <w:spacing w:before="116" w:line="264" w:lineRule="auto"/>
        <w:ind w:left="2" w:right="231" w:firstLine="482"/>
        <w:rPr>
          <w:rFonts w:ascii="宋体" w:hAnsi="宋体" w:eastAsia="宋体" w:cs="宋体"/>
          <w:color w:val="auto"/>
          <w:spacing w:val="-2"/>
          <w:sz w:val="24"/>
          <w:szCs w:val="24"/>
          <w:highlight w:val="none"/>
        </w:rPr>
      </w:pPr>
      <w:r>
        <w:rPr>
          <w:rFonts w:ascii="宋体" w:hAnsi="宋体" w:eastAsia="宋体" w:cs="宋体"/>
          <w:color w:val="auto"/>
          <w:spacing w:val="-1"/>
          <w:sz w:val="24"/>
          <w:szCs w:val="24"/>
          <w:highlight w:val="none"/>
        </w:rPr>
        <w:t>3</w:t>
      </w:r>
      <w:r>
        <w:rPr>
          <w:rFonts w:ascii="宋体" w:hAnsi="宋体" w:eastAsia="宋体" w:cs="宋体"/>
          <w:color w:val="auto"/>
          <w:spacing w:val="-2"/>
          <w:sz w:val="24"/>
          <w:szCs w:val="24"/>
          <w:highlight w:val="none"/>
        </w:rPr>
        <w:t>、承包人对施工组织方案文件，发现存在安全操作规程、消防法规和防火设计规范</w:t>
      </w:r>
      <w:r>
        <w:rPr>
          <w:rFonts w:hint="eastAsia" w:ascii="宋体" w:hAnsi="宋体" w:eastAsia="宋体" w:cs="宋体"/>
          <w:color w:val="auto"/>
          <w:spacing w:val="-2"/>
          <w:sz w:val="24"/>
          <w:szCs w:val="24"/>
          <w:highlight w:val="none"/>
          <w:lang w:eastAsia="zh-CN"/>
        </w:rPr>
        <w:t>，以</w:t>
      </w:r>
      <w:r>
        <w:rPr>
          <w:rFonts w:ascii="宋体" w:hAnsi="宋体" w:eastAsia="宋体" w:cs="宋体"/>
          <w:color w:val="auto"/>
          <w:spacing w:val="-2"/>
          <w:sz w:val="24"/>
          <w:szCs w:val="24"/>
          <w:highlight w:val="none"/>
        </w:rPr>
        <w:t>及可能导致安全隐患的，应及时向发包人提出意见。</w:t>
      </w:r>
    </w:p>
    <w:p w14:paraId="7EA9462D">
      <w:pPr>
        <w:spacing w:before="116" w:line="264" w:lineRule="auto"/>
        <w:ind w:left="2" w:right="231" w:firstLine="482"/>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4、承包人应贯彻落实“安全第一，预防为主”的安全生产方针，强化现场施工人员和管理人员的安全生产意识，采取有效措施消除安全隐患，杜绝质量安全事故发生。</w:t>
      </w:r>
    </w:p>
    <w:p w14:paraId="1F58ED90">
      <w:pPr>
        <w:spacing w:before="116" w:line="264" w:lineRule="auto"/>
        <w:ind w:left="2" w:right="231" w:firstLine="482"/>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5、承包人应当注意保护相邻建筑物和地下管线设施，及时妥善地也有关部门协调处理。</w:t>
      </w:r>
    </w:p>
    <w:p w14:paraId="5BA54245">
      <w:pPr>
        <w:spacing w:before="116" w:line="264" w:lineRule="auto"/>
        <w:ind w:left="2" w:right="231" w:firstLine="482"/>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6、承包人应自觉接受有关方面的安全文明监督检查，依法取得安全文明施工所需的各种批准文件。</w:t>
      </w:r>
    </w:p>
    <w:p w14:paraId="75D3FD85">
      <w:pPr>
        <w:spacing w:before="116" w:line="264" w:lineRule="auto"/>
        <w:ind w:left="2" w:right="231" w:firstLine="482"/>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二、相关责任</w:t>
      </w:r>
    </w:p>
    <w:p w14:paraId="0035DA88">
      <w:pPr>
        <w:spacing w:before="116" w:line="264" w:lineRule="auto"/>
        <w:ind w:left="2" w:right="231" w:firstLine="482"/>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1、承包人应当严格按照项目建设施工合同和本协议规定组织安全文明施工，项目建设施工过程中所发生的一切质量安全事故以及由此而引起地一切费用支出、经济损失和法律责任</w:t>
      </w:r>
    </w:p>
    <w:p w14:paraId="53806F24">
      <w:pPr>
        <w:spacing w:before="116" w:line="264" w:lineRule="auto"/>
        <w:ind w:left="2" w:right="231" w:firstLine="482"/>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等，概由承包人承担；发包人参与质量安全事故调查处理而对外支出的各种费用（含罚款），由发包人在支付承包人合同价款时直接扣除。</w:t>
      </w:r>
    </w:p>
    <w:p w14:paraId="51A7F565">
      <w:pPr>
        <w:spacing w:before="116" w:line="264" w:lineRule="auto"/>
        <w:ind w:left="2" w:right="231" w:firstLine="482"/>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2、发生质量安全事故后，承包人弄虚作假、隐瞒不报、迟报或谎报，一经查出，发包人有权要求承包人在该期工程合同价款的万分之一至万分之五的范围内承担违约金。</w:t>
      </w:r>
    </w:p>
    <w:p w14:paraId="4E063459">
      <w:pPr>
        <w:spacing w:before="116" w:line="264" w:lineRule="auto"/>
        <w:ind w:left="2" w:right="231" w:firstLine="482"/>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三、</w:t>
      </w:r>
      <w:r>
        <w:rPr>
          <w:rFonts w:hint="eastAsia" w:ascii="宋体" w:hAnsi="宋体" w:eastAsia="宋体" w:cs="宋体"/>
          <w:color w:val="auto"/>
          <w:spacing w:val="-2"/>
          <w:sz w:val="24"/>
          <w:szCs w:val="24"/>
          <w:highlight w:val="none"/>
          <w:lang w:eastAsia="zh-CN"/>
        </w:rPr>
        <w:t>其他</w:t>
      </w:r>
    </w:p>
    <w:p w14:paraId="401E2AEE">
      <w:pPr>
        <w:pStyle w:val="7"/>
        <w:spacing w:line="267" w:lineRule="auto"/>
        <w:rPr>
          <w:color w:val="auto"/>
          <w:highlight w:val="none"/>
        </w:rPr>
      </w:pPr>
    </w:p>
    <w:p w14:paraId="63A4E096">
      <w:pPr>
        <w:spacing w:before="78" w:line="308" w:lineRule="auto"/>
        <w:ind w:firstLine="49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1、本协议是施工合同的组成部分之一，有关安全文明条款若与</w:t>
      </w:r>
      <w:r>
        <w:rPr>
          <w:rFonts w:ascii="宋体" w:hAnsi="宋体" w:eastAsia="宋体" w:cs="宋体"/>
          <w:color w:val="auto"/>
          <w:spacing w:val="-2"/>
          <w:sz w:val="24"/>
          <w:szCs w:val="24"/>
          <w:highlight w:val="none"/>
        </w:rPr>
        <w:t>施工合同有矛盾之处，以</w:t>
      </w:r>
      <w:r>
        <w:rPr>
          <w:rFonts w:ascii="宋体" w:hAnsi="宋体" w:eastAsia="宋体" w:cs="宋体"/>
          <w:color w:val="auto"/>
          <w:spacing w:val="-7"/>
          <w:sz w:val="24"/>
          <w:szCs w:val="24"/>
          <w:highlight w:val="none"/>
        </w:rPr>
        <w:t>本协议为准。</w:t>
      </w:r>
    </w:p>
    <w:p w14:paraId="525091A6">
      <w:pPr>
        <w:spacing w:line="310" w:lineRule="auto"/>
        <w:ind w:left="5" w:right="98" w:firstLine="49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四、本协议一式贰份，其中发包人一份，承包人一份。本协议自双方签字盖章之日起生</w:t>
      </w:r>
      <w:r>
        <w:rPr>
          <w:rFonts w:ascii="宋体" w:hAnsi="宋体" w:eastAsia="宋体" w:cs="宋体"/>
          <w:color w:val="auto"/>
          <w:spacing w:val="-13"/>
          <w:sz w:val="24"/>
          <w:szCs w:val="24"/>
          <w:highlight w:val="none"/>
        </w:rPr>
        <w:t>效。</w:t>
      </w:r>
    </w:p>
    <w:p w14:paraId="322B2006">
      <w:pPr>
        <w:spacing w:before="152"/>
        <w:rPr>
          <w:color w:val="auto"/>
          <w:highlight w:val="none"/>
        </w:rPr>
      </w:pPr>
    </w:p>
    <w:tbl>
      <w:tblPr>
        <w:tblStyle w:val="22"/>
        <w:tblW w:w="6532" w:type="dxa"/>
        <w:tblInd w:w="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266"/>
        <w:gridCol w:w="3266"/>
      </w:tblGrid>
      <w:tr w14:paraId="6558B10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8" w:hRule="atLeast"/>
        </w:trPr>
        <w:tc>
          <w:tcPr>
            <w:tcW w:w="3266" w:type="dxa"/>
            <w:vAlign w:val="top"/>
          </w:tcPr>
          <w:p w14:paraId="6F912D09">
            <w:pPr>
              <w:pStyle w:val="25"/>
              <w:spacing w:line="219" w:lineRule="auto"/>
              <w:ind w:left="28"/>
              <w:rPr>
                <w:color w:val="auto"/>
                <w:highlight w:val="none"/>
              </w:rPr>
            </w:pPr>
            <w:r>
              <w:rPr>
                <w:color w:val="auto"/>
                <w:spacing w:val="-8"/>
                <w:highlight w:val="none"/>
              </w:rPr>
              <w:t>甲方（盖章）</w:t>
            </w:r>
          </w:p>
        </w:tc>
        <w:tc>
          <w:tcPr>
            <w:tcW w:w="3266" w:type="dxa"/>
            <w:vAlign w:val="top"/>
          </w:tcPr>
          <w:p w14:paraId="1360BD5B">
            <w:pPr>
              <w:pStyle w:val="25"/>
              <w:spacing w:line="219" w:lineRule="auto"/>
              <w:ind w:left="1670"/>
              <w:rPr>
                <w:color w:val="auto"/>
                <w:highlight w:val="none"/>
              </w:rPr>
            </w:pPr>
            <w:r>
              <w:rPr>
                <w:color w:val="auto"/>
                <w:spacing w:val="-7"/>
                <w:highlight w:val="none"/>
              </w:rPr>
              <w:t>乙方（盖章）</w:t>
            </w:r>
          </w:p>
        </w:tc>
      </w:tr>
      <w:tr w14:paraId="4C113F7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02" w:hRule="atLeast"/>
        </w:trPr>
        <w:tc>
          <w:tcPr>
            <w:tcW w:w="3266" w:type="dxa"/>
            <w:vAlign w:val="top"/>
          </w:tcPr>
          <w:p w14:paraId="5B89C110">
            <w:pPr>
              <w:pStyle w:val="25"/>
              <w:spacing w:before="282" w:line="220" w:lineRule="auto"/>
              <w:ind w:left="28"/>
              <w:rPr>
                <w:color w:val="auto"/>
                <w:highlight w:val="none"/>
              </w:rPr>
            </w:pPr>
            <w:r>
              <w:rPr>
                <w:color w:val="auto"/>
                <w:spacing w:val="-11"/>
                <w:highlight w:val="none"/>
              </w:rPr>
              <w:t>甲方法定代表人：</w:t>
            </w:r>
          </w:p>
        </w:tc>
        <w:tc>
          <w:tcPr>
            <w:tcW w:w="3266" w:type="dxa"/>
            <w:vAlign w:val="top"/>
          </w:tcPr>
          <w:p w14:paraId="16C3F837">
            <w:pPr>
              <w:pStyle w:val="25"/>
              <w:spacing w:before="282" w:line="220" w:lineRule="auto"/>
              <w:jc w:val="right"/>
              <w:rPr>
                <w:color w:val="auto"/>
                <w:highlight w:val="none"/>
              </w:rPr>
            </w:pPr>
            <w:r>
              <w:rPr>
                <w:color w:val="auto"/>
                <w:spacing w:val="-26"/>
                <w:highlight w:val="none"/>
              </w:rPr>
              <w:t>乙方法定代表人：</w:t>
            </w:r>
          </w:p>
        </w:tc>
      </w:tr>
      <w:tr w14:paraId="5EB8A26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7" w:hRule="atLeast"/>
        </w:trPr>
        <w:tc>
          <w:tcPr>
            <w:tcW w:w="3266" w:type="dxa"/>
            <w:vAlign w:val="top"/>
          </w:tcPr>
          <w:p w14:paraId="38F2189C">
            <w:pPr>
              <w:pStyle w:val="25"/>
              <w:spacing w:before="79" w:line="224" w:lineRule="auto"/>
              <w:rPr>
                <w:color w:val="auto"/>
                <w:highlight w:val="none"/>
              </w:rPr>
            </w:pPr>
            <w:r>
              <w:rPr>
                <w:color w:val="auto"/>
                <w:highlight w:val="none"/>
              </w:rPr>
              <w:t>或</w:t>
            </w:r>
          </w:p>
        </w:tc>
        <w:tc>
          <w:tcPr>
            <w:tcW w:w="3266" w:type="dxa"/>
            <w:vAlign w:val="top"/>
          </w:tcPr>
          <w:p w14:paraId="600B6BCF">
            <w:pPr>
              <w:pStyle w:val="25"/>
              <w:spacing w:before="79" w:line="224" w:lineRule="auto"/>
              <w:ind w:left="1533"/>
              <w:rPr>
                <w:color w:val="auto"/>
                <w:highlight w:val="none"/>
              </w:rPr>
            </w:pPr>
            <w:r>
              <w:rPr>
                <w:color w:val="auto"/>
                <w:highlight w:val="none"/>
              </w:rPr>
              <w:t>或</w:t>
            </w:r>
          </w:p>
        </w:tc>
      </w:tr>
      <w:tr w14:paraId="6F8DBE6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3" w:hRule="atLeast"/>
        </w:trPr>
        <w:tc>
          <w:tcPr>
            <w:tcW w:w="3266" w:type="dxa"/>
            <w:vAlign w:val="top"/>
          </w:tcPr>
          <w:p w14:paraId="07625150">
            <w:pPr>
              <w:pStyle w:val="25"/>
              <w:spacing w:before="82" w:line="177" w:lineRule="auto"/>
              <w:ind w:left="28"/>
              <w:rPr>
                <w:color w:val="auto"/>
                <w:highlight w:val="none"/>
              </w:rPr>
            </w:pPr>
            <w:r>
              <w:rPr>
                <w:color w:val="auto"/>
                <w:spacing w:val="-11"/>
                <w:highlight w:val="none"/>
              </w:rPr>
              <w:t>甲方委托代理人：</w:t>
            </w:r>
          </w:p>
        </w:tc>
        <w:tc>
          <w:tcPr>
            <w:tcW w:w="3266" w:type="dxa"/>
            <w:vAlign w:val="top"/>
          </w:tcPr>
          <w:p w14:paraId="006F7403">
            <w:pPr>
              <w:pStyle w:val="25"/>
              <w:spacing w:before="82" w:line="177" w:lineRule="auto"/>
              <w:jc w:val="right"/>
              <w:rPr>
                <w:color w:val="auto"/>
                <w:highlight w:val="none"/>
              </w:rPr>
            </w:pPr>
            <w:r>
              <w:rPr>
                <w:color w:val="auto"/>
                <w:spacing w:val="-25"/>
                <w:w w:val="99"/>
                <w:highlight w:val="none"/>
              </w:rPr>
              <w:t>乙方委托代理人：</w:t>
            </w:r>
          </w:p>
        </w:tc>
      </w:tr>
    </w:tbl>
    <w:p w14:paraId="2276C839">
      <w:pPr>
        <w:pStyle w:val="7"/>
        <w:spacing w:line="478" w:lineRule="auto"/>
        <w:rPr>
          <w:color w:val="auto"/>
          <w:highlight w:val="none"/>
        </w:rPr>
      </w:pPr>
    </w:p>
    <w:p w14:paraId="04619663">
      <w:pPr>
        <w:spacing w:before="78" w:line="220" w:lineRule="auto"/>
        <w:rPr>
          <w:rFonts w:ascii="宋体" w:hAnsi="宋体" w:eastAsia="宋体" w:cs="宋体"/>
          <w:color w:val="auto"/>
          <w:sz w:val="24"/>
          <w:szCs w:val="24"/>
          <w:highlight w:val="none"/>
        </w:rPr>
      </w:pPr>
      <w:r>
        <w:rPr>
          <w:rFonts w:ascii="宋体" w:hAnsi="宋体" w:eastAsia="宋体" w:cs="宋体"/>
          <w:color w:val="auto"/>
          <w:spacing w:val="-17"/>
          <w:sz w:val="24"/>
          <w:szCs w:val="24"/>
          <w:highlight w:val="none"/>
        </w:rPr>
        <w:t>年</w:t>
      </w:r>
      <w:r>
        <w:rPr>
          <w:rFonts w:ascii="宋体" w:hAnsi="宋体" w:eastAsia="宋体" w:cs="宋体"/>
          <w:color w:val="auto"/>
          <w:spacing w:val="7"/>
          <w:sz w:val="24"/>
          <w:szCs w:val="24"/>
          <w:highlight w:val="none"/>
        </w:rPr>
        <w:t xml:space="preserve">  </w:t>
      </w:r>
      <w:r>
        <w:rPr>
          <w:rFonts w:ascii="宋体" w:hAnsi="宋体" w:eastAsia="宋体" w:cs="宋体"/>
          <w:color w:val="auto"/>
          <w:spacing w:val="-17"/>
          <w:sz w:val="24"/>
          <w:szCs w:val="24"/>
          <w:highlight w:val="none"/>
        </w:rPr>
        <w:t>月</w:t>
      </w:r>
      <w:r>
        <w:rPr>
          <w:rFonts w:ascii="宋体" w:hAnsi="宋体" w:eastAsia="宋体" w:cs="宋体"/>
          <w:color w:val="auto"/>
          <w:spacing w:val="25"/>
          <w:sz w:val="24"/>
          <w:szCs w:val="24"/>
          <w:highlight w:val="none"/>
        </w:rPr>
        <w:t xml:space="preserve">  </w:t>
      </w:r>
      <w:r>
        <w:rPr>
          <w:rFonts w:ascii="宋体" w:hAnsi="宋体" w:eastAsia="宋体" w:cs="宋体"/>
          <w:color w:val="auto"/>
          <w:spacing w:val="-17"/>
          <w:sz w:val="24"/>
          <w:szCs w:val="24"/>
          <w:highlight w:val="none"/>
        </w:rPr>
        <w:t>日</w:t>
      </w:r>
      <w:r>
        <w:rPr>
          <w:rFonts w:ascii="宋体" w:hAnsi="宋体" w:eastAsia="宋体" w:cs="宋体"/>
          <w:color w:val="auto"/>
          <w:sz w:val="24"/>
          <w:szCs w:val="24"/>
          <w:highlight w:val="none"/>
        </w:rPr>
        <w:t xml:space="preserve">                                </w:t>
      </w:r>
      <w:r>
        <w:rPr>
          <w:rFonts w:ascii="宋体" w:hAnsi="宋体" w:eastAsia="宋体" w:cs="宋体"/>
          <w:color w:val="auto"/>
          <w:spacing w:val="-17"/>
          <w:sz w:val="24"/>
          <w:szCs w:val="24"/>
          <w:highlight w:val="none"/>
        </w:rPr>
        <w:t>年</w:t>
      </w:r>
      <w:r>
        <w:rPr>
          <w:rFonts w:ascii="宋体" w:hAnsi="宋体" w:eastAsia="宋体" w:cs="宋体"/>
          <w:color w:val="auto"/>
          <w:spacing w:val="8"/>
          <w:sz w:val="24"/>
          <w:szCs w:val="24"/>
          <w:highlight w:val="none"/>
        </w:rPr>
        <w:t xml:space="preserve">   </w:t>
      </w:r>
      <w:r>
        <w:rPr>
          <w:rFonts w:ascii="宋体" w:hAnsi="宋体" w:eastAsia="宋体" w:cs="宋体"/>
          <w:color w:val="auto"/>
          <w:spacing w:val="-17"/>
          <w:sz w:val="24"/>
          <w:szCs w:val="24"/>
          <w:highlight w:val="none"/>
        </w:rPr>
        <w:t>月</w:t>
      </w:r>
      <w:r>
        <w:rPr>
          <w:rFonts w:ascii="宋体" w:hAnsi="宋体" w:eastAsia="宋体" w:cs="宋体"/>
          <w:color w:val="auto"/>
          <w:spacing w:val="53"/>
          <w:sz w:val="24"/>
          <w:szCs w:val="24"/>
          <w:highlight w:val="none"/>
        </w:rPr>
        <w:t xml:space="preserve"> </w:t>
      </w:r>
      <w:r>
        <w:rPr>
          <w:rFonts w:ascii="宋体" w:hAnsi="宋体" w:eastAsia="宋体" w:cs="宋体"/>
          <w:color w:val="auto"/>
          <w:spacing w:val="-17"/>
          <w:sz w:val="24"/>
          <w:szCs w:val="24"/>
          <w:highlight w:val="none"/>
        </w:rPr>
        <w:t>日</w:t>
      </w:r>
    </w:p>
    <w:p w14:paraId="2A01F379">
      <w:pPr>
        <w:pStyle w:val="7"/>
        <w:spacing w:line="432" w:lineRule="auto"/>
        <w:rPr>
          <w:color w:val="auto"/>
          <w:highlight w:val="none"/>
        </w:rPr>
      </w:pPr>
    </w:p>
    <w:p w14:paraId="001FD604">
      <w:pPr>
        <w:spacing w:before="78" w:line="225" w:lineRule="auto"/>
        <w:rPr>
          <w:rFonts w:ascii="宋体" w:hAnsi="宋体" w:eastAsia="宋体" w:cs="宋体"/>
          <w:color w:val="auto"/>
          <w:sz w:val="24"/>
          <w:szCs w:val="24"/>
          <w:highlight w:val="none"/>
        </w:rPr>
        <w:sectPr>
          <w:footerReference r:id="rId14" w:type="default"/>
          <w:pgSz w:w="11910" w:h="16840"/>
          <w:pgMar w:top="400" w:right="1131" w:bottom="755" w:left="1089" w:header="850" w:footer="850" w:gutter="0"/>
          <w:pgNumType w:fmt="decimal"/>
          <w:cols w:space="720" w:num="1"/>
        </w:sectPr>
      </w:pPr>
      <w:r>
        <w:rPr>
          <w:rFonts w:ascii="宋体" w:hAnsi="宋体" w:eastAsia="宋体" w:cs="宋体"/>
          <w:color w:val="auto"/>
          <w:spacing w:val="-11"/>
          <w:sz w:val="24"/>
          <w:szCs w:val="24"/>
          <w:highlight w:val="none"/>
        </w:rPr>
        <w:t>签约地点</w:t>
      </w:r>
    </w:p>
    <w:p w14:paraId="23DFC741">
      <w:pPr>
        <w:pStyle w:val="2"/>
        <w:rPr>
          <w:rFonts w:ascii="Times New Roman" w:hAnsi="Times New Roman" w:cs="Times New Roman"/>
          <w:color w:val="auto"/>
        </w:rPr>
      </w:pPr>
      <w:r>
        <w:rPr>
          <w:rFonts w:ascii="Times New Roman" w:hAnsi="Times New Roman" w:cs="Times New Roman"/>
          <w:color w:val="auto"/>
        </w:rPr>
        <w:t>第五章　工程量清单编制</w:t>
      </w:r>
    </w:p>
    <w:p w14:paraId="1615A3F3">
      <w:pPr>
        <w:snapToGrid/>
        <w:ind w:left="30" w:right="21" w:firstLine="580"/>
        <w:rPr>
          <w:rFonts w:ascii="Times New Roman" w:hAnsi="Times New Roman" w:eastAsia="宋体" w:cs="Times New Roman"/>
          <w:color w:val="auto"/>
          <w:spacing w:val="15"/>
          <w:szCs w:val="24"/>
        </w:rPr>
      </w:pPr>
    </w:p>
    <w:p w14:paraId="1A250D4A">
      <w:pPr>
        <w:snapToGrid/>
        <w:spacing w:line="400" w:lineRule="exact"/>
        <w:ind w:left="30" w:right="21" w:firstLine="540" w:firstLineChars="200"/>
        <w:rPr>
          <w:rFonts w:ascii="Times New Roman" w:hAnsi="Times New Roman" w:eastAsia="宋体" w:cs="Times New Roman"/>
          <w:color w:val="auto"/>
          <w:szCs w:val="24"/>
        </w:rPr>
      </w:pPr>
      <w:r>
        <w:rPr>
          <w:rFonts w:ascii="Times New Roman" w:hAnsi="Times New Roman" w:eastAsia="宋体" w:cs="Times New Roman"/>
          <w:color w:val="auto"/>
          <w:spacing w:val="15"/>
          <w:szCs w:val="24"/>
        </w:rPr>
        <w:t>(一)工程量清单编制严格按《杭州市建设工程工程量清单计价实施细则(201</w:t>
      </w:r>
      <w:r>
        <w:rPr>
          <w:rFonts w:ascii="Times New Roman" w:hAnsi="Times New Roman" w:eastAsia="宋体" w:cs="Times New Roman"/>
          <w:color w:val="auto"/>
          <w:spacing w:val="14"/>
          <w:szCs w:val="24"/>
        </w:rPr>
        <w:t>8年修</w:t>
      </w:r>
      <w:r>
        <w:rPr>
          <w:rFonts w:ascii="Times New Roman" w:hAnsi="Times New Roman" w:eastAsia="宋体" w:cs="Times New Roman"/>
          <w:color w:val="auto"/>
          <w:szCs w:val="24"/>
        </w:rPr>
        <w:t xml:space="preserve"> </w:t>
      </w:r>
      <w:r>
        <w:rPr>
          <w:rFonts w:ascii="Times New Roman" w:hAnsi="Times New Roman" w:eastAsia="宋体" w:cs="Times New Roman"/>
          <w:color w:val="auto"/>
          <w:spacing w:val="13"/>
          <w:szCs w:val="24"/>
        </w:rPr>
        <w:t>订)》实施，所采用的表格格式如下(具体详见附件)</w:t>
      </w:r>
      <w:r>
        <w:rPr>
          <w:rFonts w:hint="eastAsia" w:ascii="Times New Roman" w:hAnsi="Times New Roman" w:eastAsia="宋体" w:cs="Times New Roman"/>
          <w:color w:val="auto"/>
          <w:spacing w:val="13"/>
          <w:szCs w:val="24"/>
        </w:rPr>
        <w:t>：</w:t>
      </w:r>
    </w:p>
    <w:p w14:paraId="6691359C">
      <w:pPr>
        <w:snapToGrid/>
        <w:spacing w:line="400" w:lineRule="exact"/>
        <w:ind w:firstLine="540" w:firstLineChars="200"/>
        <w:rPr>
          <w:rFonts w:ascii="Times New Roman" w:hAnsi="Times New Roman" w:eastAsia="宋体" w:cs="Times New Roman"/>
          <w:color w:val="auto"/>
          <w:szCs w:val="24"/>
        </w:rPr>
      </w:pPr>
      <w:r>
        <w:rPr>
          <w:rFonts w:ascii="Times New Roman" w:hAnsi="Times New Roman" w:eastAsia="宋体" w:cs="Times New Roman"/>
          <w:color w:val="auto"/>
          <w:spacing w:val="15"/>
          <w:szCs w:val="24"/>
        </w:rPr>
        <w:t>(1)发包工程量清单封面</w:t>
      </w:r>
    </w:p>
    <w:p w14:paraId="48836C2C">
      <w:pPr>
        <w:snapToGrid/>
        <w:spacing w:line="400" w:lineRule="exact"/>
        <w:ind w:firstLine="536" w:firstLineChars="200"/>
        <w:rPr>
          <w:rFonts w:ascii="Times New Roman" w:hAnsi="Times New Roman" w:eastAsia="宋体" w:cs="Times New Roman"/>
          <w:color w:val="auto"/>
          <w:szCs w:val="24"/>
        </w:rPr>
      </w:pPr>
      <w:r>
        <w:rPr>
          <w:rFonts w:ascii="Times New Roman" w:hAnsi="Times New Roman" w:eastAsia="宋体" w:cs="Times New Roman"/>
          <w:color w:val="auto"/>
          <w:spacing w:val="14"/>
          <w:szCs w:val="24"/>
        </w:rPr>
        <w:t>(2)</w:t>
      </w:r>
      <w:r>
        <w:rPr>
          <w:rFonts w:ascii="Times New Roman" w:hAnsi="Times New Roman" w:eastAsia="宋体" w:cs="Times New Roman"/>
          <w:color w:val="auto"/>
          <w:spacing w:val="15"/>
          <w:szCs w:val="24"/>
        </w:rPr>
        <w:t>发包</w:t>
      </w:r>
      <w:r>
        <w:rPr>
          <w:rFonts w:ascii="Times New Roman" w:hAnsi="Times New Roman" w:eastAsia="宋体" w:cs="Times New Roman"/>
          <w:color w:val="auto"/>
          <w:spacing w:val="14"/>
          <w:szCs w:val="24"/>
        </w:rPr>
        <w:t>工程量清单扉页</w:t>
      </w:r>
    </w:p>
    <w:p w14:paraId="29B54F59">
      <w:pPr>
        <w:snapToGrid/>
        <w:spacing w:line="400" w:lineRule="exact"/>
        <w:ind w:firstLine="536" w:firstLineChars="200"/>
        <w:rPr>
          <w:rFonts w:ascii="Times New Roman" w:hAnsi="Times New Roman" w:eastAsia="宋体" w:cs="Times New Roman"/>
          <w:color w:val="auto"/>
          <w:szCs w:val="24"/>
        </w:rPr>
      </w:pPr>
      <w:r>
        <w:rPr>
          <w:rFonts w:ascii="Times New Roman" w:hAnsi="Times New Roman" w:eastAsia="宋体" w:cs="Times New Roman"/>
          <w:color w:val="auto"/>
          <w:spacing w:val="14"/>
          <w:szCs w:val="24"/>
        </w:rPr>
        <w:t>(3)</w:t>
      </w:r>
      <w:r>
        <w:rPr>
          <w:rFonts w:ascii="Times New Roman" w:hAnsi="Times New Roman" w:eastAsia="宋体" w:cs="Times New Roman"/>
          <w:color w:val="auto"/>
          <w:spacing w:val="15"/>
          <w:szCs w:val="24"/>
        </w:rPr>
        <w:t>发包</w:t>
      </w:r>
      <w:r>
        <w:rPr>
          <w:rFonts w:ascii="Times New Roman" w:hAnsi="Times New Roman" w:eastAsia="宋体" w:cs="Times New Roman"/>
          <w:color w:val="auto"/>
          <w:spacing w:val="14"/>
          <w:szCs w:val="24"/>
        </w:rPr>
        <w:t>工程量清单编制说明</w:t>
      </w:r>
    </w:p>
    <w:p w14:paraId="37B133F4">
      <w:pPr>
        <w:snapToGrid/>
        <w:spacing w:line="400" w:lineRule="exact"/>
        <w:ind w:firstLine="528" w:firstLineChars="200"/>
        <w:rPr>
          <w:rFonts w:ascii="Times New Roman" w:hAnsi="Times New Roman" w:eastAsia="宋体" w:cs="Times New Roman"/>
          <w:color w:val="auto"/>
          <w:szCs w:val="24"/>
        </w:rPr>
      </w:pPr>
      <w:r>
        <w:rPr>
          <w:rFonts w:ascii="Times New Roman" w:hAnsi="Times New Roman" w:eastAsia="宋体" w:cs="Times New Roman"/>
          <w:color w:val="auto"/>
          <w:spacing w:val="12"/>
          <w:szCs w:val="24"/>
        </w:rPr>
        <w:t>(4)表1-</w:t>
      </w:r>
      <w:r>
        <w:rPr>
          <w:rFonts w:ascii="Times New Roman" w:hAnsi="Times New Roman" w:eastAsia="宋体" w:cs="Times New Roman"/>
          <w:color w:val="auto"/>
          <w:spacing w:val="-59"/>
          <w:szCs w:val="24"/>
        </w:rPr>
        <w:t xml:space="preserve"> </w:t>
      </w:r>
      <w:r>
        <w:rPr>
          <w:rFonts w:ascii="Times New Roman" w:hAnsi="Times New Roman" w:eastAsia="宋体" w:cs="Times New Roman"/>
          <w:color w:val="auto"/>
          <w:spacing w:val="12"/>
          <w:szCs w:val="24"/>
        </w:rPr>
        <w:t>1-</w:t>
      </w:r>
      <w:r>
        <w:rPr>
          <w:rFonts w:ascii="Times New Roman" w:hAnsi="Times New Roman" w:eastAsia="宋体" w:cs="Times New Roman"/>
          <w:color w:val="auto"/>
          <w:spacing w:val="-68"/>
          <w:szCs w:val="24"/>
        </w:rPr>
        <w:t xml:space="preserve"> </w:t>
      </w:r>
      <w:r>
        <w:rPr>
          <w:rFonts w:ascii="Times New Roman" w:hAnsi="Times New Roman" w:eastAsia="宋体" w:cs="Times New Roman"/>
          <w:color w:val="auto"/>
          <w:spacing w:val="12"/>
          <w:szCs w:val="24"/>
        </w:rPr>
        <w:t>1工程项目报价汇总表</w:t>
      </w:r>
    </w:p>
    <w:p w14:paraId="6A9C1B48">
      <w:pPr>
        <w:snapToGrid/>
        <w:spacing w:line="400" w:lineRule="exact"/>
        <w:ind w:firstLine="528" w:firstLineChars="200"/>
        <w:rPr>
          <w:rFonts w:ascii="Times New Roman" w:hAnsi="Times New Roman" w:eastAsia="宋体" w:cs="Times New Roman"/>
          <w:color w:val="auto"/>
          <w:szCs w:val="24"/>
        </w:rPr>
      </w:pPr>
      <w:r>
        <w:rPr>
          <w:rFonts w:ascii="Times New Roman" w:hAnsi="Times New Roman" w:eastAsia="宋体" w:cs="Times New Roman"/>
          <w:color w:val="auto"/>
          <w:spacing w:val="12"/>
          <w:szCs w:val="24"/>
        </w:rPr>
        <w:t>(5)表1-</w:t>
      </w:r>
      <w:r>
        <w:rPr>
          <w:rFonts w:ascii="Times New Roman" w:hAnsi="Times New Roman" w:eastAsia="宋体" w:cs="Times New Roman"/>
          <w:color w:val="auto"/>
          <w:spacing w:val="-57"/>
          <w:szCs w:val="24"/>
        </w:rPr>
        <w:t xml:space="preserve"> </w:t>
      </w:r>
      <w:r>
        <w:rPr>
          <w:rFonts w:ascii="Times New Roman" w:hAnsi="Times New Roman" w:eastAsia="宋体" w:cs="Times New Roman"/>
          <w:color w:val="auto"/>
          <w:spacing w:val="12"/>
          <w:szCs w:val="24"/>
        </w:rPr>
        <w:t>1-2</w:t>
      </w:r>
      <w:r>
        <w:rPr>
          <w:rFonts w:ascii="Times New Roman" w:hAnsi="Times New Roman" w:eastAsia="宋体" w:cs="Times New Roman"/>
          <w:color w:val="auto"/>
          <w:spacing w:val="90"/>
          <w:szCs w:val="24"/>
        </w:rPr>
        <w:t xml:space="preserve"> </w:t>
      </w:r>
      <w:r>
        <w:rPr>
          <w:rFonts w:ascii="Times New Roman" w:hAnsi="Times New Roman" w:eastAsia="宋体" w:cs="Times New Roman"/>
          <w:color w:val="auto"/>
          <w:spacing w:val="12"/>
          <w:szCs w:val="24"/>
        </w:rPr>
        <w:t>单位工程报价汇总表</w:t>
      </w:r>
    </w:p>
    <w:p w14:paraId="34F85B0B">
      <w:pPr>
        <w:snapToGrid/>
        <w:spacing w:line="400" w:lineRule="exact"/>
        <w:ind w:firstLine="556" w:firstLineChars="200"/>
        <w:rPr>
          <w:rFonts w:ascii="Times New Roman" w:hAnsi="Times New Roman" w:eastAsia="宋体" w:cs="Times New Roman"/>
          <w:color w:val="auto"/>
          <w:szCs w:val="24"/>
        </w:rPr>
      </w:pPr>
      <w:r>
        <w:rPr>
          <w:rFonts w:ascii="Times New Roman" w:hAnsi="Times New Roman" w:eastAsia="宋体" w:cs="Times New Roman"/>
          <w:color w:val="auto"/>
          <w:spacing w:val="19"/>
          <w:szCs w:val="24"/>
        </w:rPr>
        <w:t>(6)表1-</w:t>
      </w:r>
      <w:r>
        <w:rPr>
          <w:rFonts w:ascii="Times New Roman" w:hAnsi="Times New Roman" w:eastAsia="宋体" w:cs="Times New Roman"/>
          <w:color w:val="auto"/>
          <w:spacing w:val="-68"/>
          <w:szCs w:val="24"/>
        </w:rPr>
        <w:t xml:space="preserve"> </w:t>
      </w:r>
      <w:r>
        <w:rPr>
          <w:rFonts w:ascii="Times New Roman" w:hAnsi="Times New Roman" w:eastAsia="宋体" w:cs="Times New Roman"/>
          <w:color w:val="auto"/>
          <w:spacing w:val="19"/>
          <w:szCs w:val="24"/>
        </w:rPr>
        <w:t>3-A   组织措施项目(整体)清单及</w:t>
      </w:r>
      <w:r>
        <w:rPr>
          <w:rFonts w:ascii="Times New Roman" w:hAnsi="Times New Roman" w:eastAsia="宋体" w:cs="Times New Roman"/>
          <w:color w:val="auto"/>
          <w:spacing w:val="18"/>
          <w:szCs w:val="24"/>
        </w:rPr>
        <w:t>计价表</w:t>
      </w:r>
    </w:p>
    <w:p w14:paraId="797D0D8E">
      <w:pPr>
        <w:snapToGrid/>
        <w:spacing w:line="400" w:lineRule="exact"/>
        <w:ind w:firstLine="560" w:firstLineChars="200"/>
        <w:rPr>
          <w:rFonts w:ascii="Times New Roman" w:hAnsi="Times New Roman" w:eastAsia="宋体" w:cs="Times New Roman"/>
          <w:color w:val="auto"/>
          <w:szCs w:val="24"/>
        </w:rPr>
      </w:pPr>
      <w:r>
        <w:rPr>
          <w:rFonts w:ascii="Times New Roman" w:hAnsi="Times New Roman" w:eastAsia="宋体" w:cs="Times New Roman"/>
          <w:color w:val="auto"/>
          <w:spacing w:val="20"/>
          <w:szCs w:val="24"/>
        </w:rPr>
        <w:t>(7)表1-</w:t>
      </w:r>
      <w:r>
        <w:rPr>
          <w:rFonts w:ascii="Times New Roman" w:hAnsi="Times New Roman" w:eastAsia="宋体" w:cs="Times New Roman"/>
          <w:color w:val="auto"/>
          <w:spacing w:val="-65"/>
          <w:szCs w:val="24"/>
        </w:rPr>
        <w:t xml:space="preserve"> </w:t>
      </w:r>
      <w:r>
        <w:rPr>
          <w:rFonts w:ascii="Times New Roman" w:hAnsi="Times New Roman" w:eastAsia="宋体" w:cs="Times New Roman"/>
          <w:color w:val="auto"/>
          <w:spacing w:val="20"/>
          <w:szCs w:val="24"/>
        </w:rPr>
        <w:t>3-B</w:t>
      </w:r>
      <w:r>
        <w:rPr>
          <w:rFonts w:ascii="Times New Roman" w:hAnsi="Times New Roman" w:eastAsia="宋体" w:cs="Times New Roman"/>
          <w:color w:val="auto"/>
          <w:spacing w:val="6"/>
          <w:szCs w:val="24"/>
        </w:rPr>
        <w:t xml:space="preserve">   </w:t>
      </w:r>
      <w:r>
        <w:rPr>
          <w:rFonts w:ascii="Times New Roman" w:hAnsi="Times New Roman" w:eastAsia="宋体" w:cs="Times New Roman"/>
          <w:color w:val="auto"/>
          <w:spacing w:val="20"/>
          <w:szCs w:val="24"/>
        </w:rPr>
        <w:t>组织措施项目(专业工程)清单及计价表</w:t>
      </w:r>
    </w:p>
    <w:p w14:paraId="78213740">
      <w:pPr>
        <w:snapToGrid/>
        <w:spacing w:line="400" w:lineRule="exact"/>
        <w:ind w:firstLine="520" w:firstLineChars="200"/>
        <w:rPr>
          <w:rFonts w:ascii="Times New Roman" w:hAnsi="Times New Roman" w:eastAsia="宋体" w:cs="Times New Roman"/>
          <w:color w:val="auto"/>
          <w:szCs w:val="24"/>
        </w:rPr>
      </w:pPr>
      <w:r>
        <w:rPr>
          <w:rFonts w:ascii="Times New Roman" w:hAnsi="Times New Roman" w:eastAsia="宋体" w:cs="Times New Roman"/>
          <w:color w:val="auto"/>
          <w:spacing w:val="10"/>
          <w:szCs w:val="24"/>
        </w:rPr>
        <w:t>(8)表1-</w:t>
      </w:r>
      <w:r>
        <w:rPr>
          <w:rFonts w:ascii="Times New Roman" w:hAnsi="Times New Roman" w:eastAsia="宋体" w:cs="Times New Roman"/>
          <w:color w:val="auto"/>
          <w:spacing w:val="-56"/>
          <w:szCs w:val="24"/>
        </w:rPr>
        <w:t xml:space="preserve"> </w:t>
      </w:r>
      <w:r>
        <w:rPr>
          <w:rFonts w:ascii="Times New Roman" w:hAnsi="Times New Roman" w:eastAsia="宋体" w:cs="Times New Roman"/>
          <w:color w:val="auto"/>
          <w:spacing w:val="10"/>
          <w:szCs w:val="24"/>
        </w:rPr>
        <w:t>3-A-1 安全文明施工措施项目清单及计价表</w:t>
      </w:r>
    </w:p>
    <w:p w14:paraId="44BEFB7F">
      <w:pPr>
        <w:snapToGrid/>
        <w:spacing w:line="400" w:lineRule="exact"/>
        <w:ind w:firstLine="544" w:firstLineChars="200"/>
        <w:rPr>
          <w:rFonts w:ascii="Times New Roman" w:hAnsi="Times New Roman" w:eastAsia="宋体" w:cs="Times New Roman"/>
          <w:color w:val="auto"/>
          <w:szCs w:val="24"/>
        </w:rPr>
      </w:pPr>
      <w:r>
        <w:rPr>
          <w:rFonts w:ascii="Times New Roman" w:hAnsi="Times New Roman" w:eastAsia="宋体" w:cs="Times New Roman"/>
          <w:color w:val="auto"/>
          <w:spacing w:val="16"/>
          <w:szCs w:val="24"/>
        </w:rPr>
        <w:t>(9)表1-4</w:t>
      </w:r>
      <w:r>
        <w:rPr>
          <w:rFonts w:ascii="Times New Roman" w:hAnsi="Times New Roman" w:eastAsia="宋体" w:cs="Times New Roman"/>
          <w:color w:val="auto"/>
          <w:spacing w:val="4"/>
          <w:szCs w:val="24"/>
        </w:rPr>
        <w:t xml:space="preserve">    </w:t>
      </w:r>
      <w:r>
        <w:rPr>
          <w:rFonts w:ascii="Times New Roman" w:hAnsi="Times New Roman" w:eastAsia="宋体" w:cs="Times New Roman"/>
          <w:color w:val="auto"/>
          <w:spacing w:val="16"/>
          <w:szCs w:val="24"/>
        </w:rPr>
        <w:t>其他项目清单及计价表</w:t>
      </w:r>
    </w:p>
    <w:p w14:paraId="1934E02B">
      <w:pPr>
        <w:snapToGrid/>
        <w:spacing w:line="400" w:lineRule="exact"/>
        <w:ind w:firstLine="536" w:firstLineChars="200"/>
        <w:rPr>
          <w:rFonts w:ascii="Times New Roman" w:hAnsi="Times New Roman" w:eastAsia="宋体" w:cs="Times New Roman"/>
          <w:color w:val="auto"/>
          <w:szCs w:val="24"/>
        </w:rPr>
      </w:pPr>
      <w:r>
        <w:rPr>
          <w:rFonts w:ascii="Times New Roman" w:hAnsi="Times New Roman" w:eastAsia="宋体" w:cs="Times New Roman"/>
          <w:color w:val="auto"/>
          <w:spacing w:val="14"/>
          <w:szCs w:val="24"/>
        </w:rPr>
        <w:t>(10)表1-4-</w:t>
      </w:r>
      <w:r>
        <w:rPr>
          <w:rFonts w:ascii="Times New Roman" w:hAnsi="Times New Roman" w:eastAsia="宋体" w:cs="Times New Roman"/>
          <w:color w:val="auto"/>
          <w:spacing w:val="-63"/>
          <w:szCs w:val="24"/>
        </w:rPr>
        <w:t xml:space="preserve"> </w:t>
      </w:r>
      <w:r>
        <w:rPr>
          <w:rFonts w:ascii="Times New Roman" w:hAnsi="Times New Roman" w:eastAsia="宋体" w:cs="Times New Roman"/>
          <w:color w:val="auto"/>
          <w:spacing w:val="14"/>
          <w:szCs w:val="24"/>
        </w:rPr>
        <w:t>1</w:t>
      </w:r>
      <w:r>
        <w:rPr>
          <w:rFonts w:ascii="Times New Roman" w:hAnsi="Times New Roman" w:eastAsia="宋体" w:cs="Times New Roman"/>
          <w:color w:val="auto"/>
          <w:spacing w:val="3"/>
          <w:szCs w:val="24"/>
        </w:rPr>
        <w:t xml:space="preserve">  </w:t>
      </w:r>
      <w:r>
        <w:rPr>
          <w:rFonts w:ascii="Times New Roman" w:hAnsi="Times New Roman" w:eastAsia="宋体" w:cs="Times New Roman"/>
          <w:color w:val="auto"/>
          <w:spacing w:val="14"/>
          <w:szCs w:val="24"/>
        </w:rPr>
        <w:t>计日工表</w:t>
      </w:r>
    </w:p>
    <w:p w14:paraId="35D863F1">
      <w:pPr>
        <w:snapToGrid/>
        <w:spacing w:line="400" w:lineRule="exact"/>
        <w:ind w:firstLine="556" w:firstLineChars="200"/>
        <w:rPr>
          <w:rFonts w:ascii="Times New Roman" w:hAnsi="Times New Roman" w:eastAsia="宋体" w:cs="Times New Roman"/>
          <w:color w:val="auto"/>
          <w:szCs w:val="24"/>
        </w:rPr>
      </w:pPr>
      <w:r>
        <w:rPr>
          <w:rFonts w:ascii="Times New Roman" w:hAnsi="Times New Roman" w:eastAsia="宋体" w:cs="Times New Roman"/>
          <w:color w:val="auto"/>
          <w:spacing w:val="19"/>
          <w:szCs w:val="24"/>
        </w:rPr>
        <w:t>(11)表1-4-2总承包服务费项目及计价表</w:t>
      </w:r>
    </w:p>
    <w:p w14:paraId="303F3C3B">
      <w:pPr>
        <w:snapToGrid/>
        <w:spacing w:line="400" w:lineRule="exact"/>
        <w:ind w:firstLine="568" w:firstLineChars="200"/>
        <w:rPr>
          <w:rFonts w:ascii="Times New Roman" w:hAnsi="Times New Roman" w:eastAsia="宋体" w:cs="Times New Roman"/>
          <w:color w:val="auto"/>
          <w:szCs w:val="24"/>
        </w:rPr>
      </w:pPr>
      <w:r>
        <w:rPr>
          <w:rFonts w:ascii="Times New Roman" w:hAnsi="Times New Roman" w:eastAsia="宋体" w:cs="Times New Roman"/>
          <w:color w:val="auto"/>
          <w:spacing w:val="22"/>
          <w:szCs w:val="24"/>
        </w:rPr>
        <w:t>(12)表1-</w:t>
      </w:r>
      <w:r>
        <w:rPr>
          <w:rFonts w:ascii="Times New Roman" w:hAnsi="Times New Roman" w:eastAsia="宋体" w:cs="Times New Roman"/>
          <w:color w:val="auto"/>
          <w:spacing w:val="-66"/>
          <w:szCs w:val="24"/>
        </w:rPr>
        <w:t xml:space="preserve"> </w:t>
      </w:r>
      <w:r>
        <w:rPr>
          <w:rFonts w:ascii="Times New Roman" w:hAnsi="Times New Roman" w:eastAsia="宋体" w:cs="Times New Roman"/>
          <w:color w:val="auto"/>
          <w:spacing w:val="22"/>
          <w:szCs w:val="24"/>
        </w:rPr>
        <w:t>5</w:t>
      </w:r>
      <w:r>
        <w:rPr>
          <w:rFonts w:ascii="Times New Roman" w:hAnsi="Times New Roman" w:eastAsia="宋体" w:cs="Times New Roman"/>
          <w:color w:val="auto"/>
          <w:spacing w:val="110"/>
          <w:szCs w:val="24"/>
        </w:rPr>
        <w:t xml:space="preserve"> </w:t>
      </w:r>
      <w:r>
        <w:rPr>
          <w:rFonts w:ascii="Times New Roman" w:hAnsi="Times New Roman" w:eastAsia="宋体" w:cs="Times New Roman"/>
          <w:color w:val="auto"/>
          <w:spacing w:val="22"/>
          <w:szCs w:val="24"/>
        </w:rPr>
        <w:t>主要工日价格表</w:t>
      </w:r>
    </w:p>
    <w:p w14:paraId="15A0C8C4">
      <w:pPr>
        <w:snapToGrid/>
        <w:spacing w:line="400" w:lineRule="exact"/>
        <w:ind w:firstLine="540" w:firstLineChars="200"/>
        <w:rPr>
          <w:rFonts w:ascii="Times New Roman" w:hAnsi="Times New Roman" w:eastAsia="宋体" w:cs="Times New Roman"/>
          <w:color w:val="auto"/>
          <w:szCs w:val="24"/>
        </w:rPr>
      </w:pPr>
      <w:r>
        <w:rPr>
          <w:rFonts w:ascii="Times New Roman" w:hAnsi="Times New Roman" w:eastAsia="宋体" w:cs="Times New Roman"/>
          <w:color w:val="auto"/>
          <w:spacing w:val="15"/>
          <w:szCs w:val="24"/>
        </w:rPr>
        <w:t>(13)表1</w:t>
      </w:r>
      <w:r>
        <w:rPr>
          <w:rFonts w:ascii="Times New Roman" w:hAnsi="Times New Roman" w:eastAsia="宋体" w:cs="Times New Roman"/>
          <w:color w:val="auto"/>
          <w:spacing w:val="-65"/>
          <w:szCs w:val="24"/>
        </w:rPr>
        <w:t xml:space="preserve"> </w:t>
      </w:r>
      <w:r>
        <w:rPr>
          <w:rFonts w:ascii="Times New Roman" w:hAnsi="Times New Roman" w:eastAsia="宋体" w:cs="Times New Roman"/>
          <w:color w:val="auto"/>
          <w:spacing w:val="15"/>
          <w:szCs w:val="24"/>
        </w:rPr>
        <w:t>-</w:t>
      </w:r>
      <w:r>
        <w:rPr>
          <w:rFonts w:ascii="Times New Roman" w:hAnsi="Times New Roman" w:eastAsia="宋体" w:cs="Times New Roman"/>
          <w:color w:val="auto"/>
          <w:spacing w:val="-61"/>
          <w:szCs w:val="24"/>
        </w:rPr>
        <w:t xml:space="preserve"> </w:t>
      </w:r>
      <w:r>
        <w:rPr>
          <w:rFonts w:ascii="Times New Roman" w:hAnsi="Times New Roman" w:eastAsia="宋体" w:cs="Times New Roman"/>
          <w:color w:val="auto"/>
          <w:spacing w:val="15"/>
          <w:szCs w:val="24"/>
        </w:rPr>
        <w:t>6  主要材料及设备价格表</w:t>
      </w:r>
    </w:p>
    <w:p w14:paraId="523D3BE7">
      <w:pPr>
        <w:snapToGrid/>
        <w:spacing w:line="400" w:lineRule="exact"/>
        <w:ind w:firstLine="532" w:firstLineChars="200"/>
        <w:rPr>
          <w:rFonts w:ascii="Times New Roman" w:hAnsi="Times New Roman" w:eastAsia="宋体" w:cs="Times New Roman"/>
          <w:color w:val="auto"/>
          <w:szCs w:val="24"/>
        </w:rPr>
      </w:pPr>
      <w:r>
        <w:rPr>
          <w:rFonts w:ascii="Times New Roman" w:hAnsi="Times New Roman" w:eastAsia="宋体" w:cs="Times New Roman"/>
          <w:color w:val="auto"/>
          <w:spacing w:val="13"/>
          <w:szCs w:val="24"/>
        </w:rPr>
        <w:t>(14)表1-</w:t>
      </w:r>
      <w:r>
        <w:rPr>
          <w:rFonts w:ascii="Times New Roman" w:hAnsi="Times New Roman" w:eastAsia="宋体" w:cs="Times New Roman"/>
          <w:color w:val="auto"/>
          <w:spacing w:val="-58"/>
          <w:szCs w:val="24"/>
        </w:rPr>
        <w:t xml:space="preserve"> </w:t>
      </w:r>
      <w:r>
        <w:rPr>
          <w:rFonts w:ascii="Times New Roman" w:hAnsi="Times New Roman" w:eastAsia="宋体" w:cs="Times New Roman"/>
          <w:color w:val="auto"/>
          <w:spacing w:val="13"/>
          <w:szCs w:val="24"/>
        </w:rPr>
        <w:t>7</w:t>
      </w:r>
      <w:r>
        <w:rPr>
          <w:rFonts w:ascii="Times New Roman" w:hAnsi="Times New Roman" w:eastAsia="宋体" w:cs="Times New Roman"/>
          <w:color w:val="auto"/>
          <w:szCs w:val="24"/>
        </w:rPr>
        <w:t xml:space="preserve">   </w:t>
      </w:r>
      <w:r>
        <w:rPr>
          <w:rFonts w:ascii="Times New Roman" w:hAnsi="Times New Roman" w:eastAsia="宋体" w:cs="Times New Roman"/>
          <w:color w:val="auto"/>
          <w:spacing w:val="13"/>
          <w:szCs w:val="24"/>
        </w:rPr>
        <w:t>主要机械台班价格表</w:t>
      </w:r>
    </w:p>
    <w:p w14:paraId="34705500">
      <w:pPr>
        <w:snapToGrid/>
        <w:spacing w:line="400" w:lineRule="exact"/>
        <w:ind w:left="30" w:right="21" w:firstLine="540" w:firstLineChars="200"/>
        <w:rPr>
          <w:rFonts w:ascii="Times New Roman" w:hAnsi="Times New Roman" w:eastAsia="宋体" w:cs="Times New Roman"/>
          <w:color w:val="auto"/>
          <w:szCs w:val="24"/>
        </w:rPr>
      </w:pPr>
      <w:r>
        <w:rPr>
          <w:rFonts w:ascii="Times New Roman" w:hAnsi="Times New Roman" w:eastAsia="宋体" w:cs="Times New Roman"/>
          <w:color w:val="auto"/>
          <w:spacing w:val="15"/>
          <w:szCs w:val="24"/>
        </w:rPr>
        <w:t>(二)招标控制价编制严格按《杭州市建设工程工程量清单计价实施细则(2018年修</w:t>
      </w:r>
      <w:r>
        <w:rPr>
          <w:rFonts w:ascii="Times New Roman" w:hAnsi="Times New Roman" w:eastAsia="宋体" w:cs="Times New Roman"/>
          <w:color w:val="auto"/>
          <w:spacing w:val="12"/>
          <w:szCs w:val="24"/>
        </w:rPr>
        <w:t>订)》以及省市建设行政主管部门颁布的计价政</w:t>
      </w:r>
      <w:r>
        <w:rPr>
          <w:rFonts w:ascii="Times New Roman" w:hAnsi="Times New Roman" w:eastAsia="宋体" w:cs="Times New Roman"/>
          <w:color w:val="auto"/>
          <w:spacing w:val="11"/>
          <w:szCs w:val="24"/>
        </w:rPr>
        <w:t>策性文件实施。</w:t>
      </w:r>
    </w:p>
    <w:p w14:paraId="649C8C2B">
      <w:pPr>
        <w:snapToGrid/>
        <w:spacing w:line="400" w:lineRule="exact"/>
        <w:ind w:left="30" w:right="21" w:firstLine="480" w:firstLineChars="200"/>
        <w:rPr>
          <w:rFonts w:ascii="Times New Roman" w:hAnsi="Times New Roman" w:eastAsia="宋体" w:cs="Times New Roman"/>
          <w:color w:val="auto"/>
          <w:szCs w:val="24"/>
        </w:rPr>
      </w:pPr>
      <w:r>
        <w:rPr>
          <w:rFonts w:hint="eastAsia" w:ascii="Times New Roman" w:hAnsi="Times New Roman" w:eastAsia="宋体" w:cs="Times New Roman"/>
          <w:color w:val="auto"/>
          <w:szCs w:val="24"/>
        </w:rPr>
        <w:t>(三)发包人在交易文件中设置专门条款明确最高报价限价，防止潜在承包人围标抬价。</w:t>
      </w:r>
      <w:r>
        <w:rPr>
          <w:rFonts w:ascii="Times New Roman" w:hAnsi="Times New Roman" w:eastAsia="宋体" w:cs="Times New Roman"/>
          <w:color w:val="auto"/>
          <w:szCs w:val="24"/>
        </w:rPr>
        <w:t xml:space="preserve"> </w:t>
      </w:r>
      <w:r>
        <w:rPr>
          <w:rFonts w:hint="eastAsia" w:ascii="Times New Roman" w:hAnsi="Times New Roman" w:eastAsia="宋体" w:cs="Times New Roman"/>
          <w:color w:val="auto"/>
          <w:szCs w:val="24"/>
        </w:rPr>
        <w:t>最高报价限价即为招标控制价，不得高于批准的概算造价。</w:t>
      </w:r>
    </w:p>
    <w:p w14:paraId="1724F26A">
      <w:pPr>
        <w:snapToGrid/>
        <w:spacing w:line="400" w:lineRule="exact"/>
        <w:ind w:right="1" w:firstLine="480" w:firstLineChars="200"/>
        <w:jc w:val="both"/>
        <w:rPr>
          <w:rFonts w:ascii="Times New Roman" w:hAnsi="Times New Roman" w:eastAsia="宋体" w:cs="Times New Roman"/>
          <w:color w:val="auto"/>
          <w:szCs w:val="24"/>
        </w:rPr>
      </w:pPr>
      <w:r>
        <w:rPr>
          <w:rFonts w:hint="eastAsia" w:ascii="Times New Roman" w:hAnsi="Times New Roman" w:eastAsia="宋体" w:cs="Times New Roman"/>
          <w:color w:val="auto"/>
          <w:szCs w:val="24"/>
        </w:rPr>
        <w:t>(四)为防止潜在承包人恶意低价竞标，发包人可以设置风险控制价，风险控制价的设定幅度按照《杭州市城乡建设委员会关于公布杭州市房屋建筑和市政基础设施项目风险控制价设定幅度的通知》（杭建市通知〔2025〕24号）文件执行。</w:t>
      </w:r>
    </w:p>
    <w:p w14:paraId="53A0A7A1">
      <w:pPr>
        <w:snapToGrid/>
        <w:spacing w:line="400" w:lineRule="exact"/>
        <w:ind w:left="30" w:right="21" w:firstLine="480" w:firstLineChars="200"/>
        <w:rPr>
          <w:rFonts w:ascii="Times New Roman" w:hAnsi="Times New Roman" w:eastAsia="宋体" w:cs="Times New Roman"/>
          <w:color w:val="auto"/>
          <w:szCs w:val="24"/>
        </w:rPr>
      </w:pPr>
      <w:r>
        <w:rPr>
          <w:rFonts w:hint="eastAsia" w:ascii="Times New Roman" w:hAnsi="Times New Roman" w:eastAsia="宋体" w:cs="Times New Roman"/>
          <w:color w:val="auto"/>
          <w:szCs w:val="24"/>
        </w:rPr>
        <w:t>(五)潜在承包人应根据工程的实际，结合现行安全文明施工规范、施工现场管理规定要求、扬尘污染防治标准、安全文明施工标化工地创建等要求，采取合理措施，进行相应报价。</w:t>
      </w:r>
    </w:p>
    <w:p w14:paraId="13E59755">
      <w:pPr>
        <w:snapToGrid/>
        <w:spacing w:line="400" w:lineRule="exact"/>
        <w:ind w:left="510" w:firstLine="548" w:firstLineChars="200"/>
        <w:rPr>
          <w:rFonts w:ascii="Times New Roman" w:hAnsi="Times New Roman" w:eastAsia="宋体" w:cs="Times New Roman"/>
          <w:color w:val="auto"/>
          <w:szCs w:val="24"/>
        </w:rPr>
      </w:pPr>
      <w:r>
        <w:rPr>
          <w:rFonts w:ascii="Times New Roman" w:hAnsi="Times New Roman" w:eastAsia="宋体" w:cs="Times New Roman"/>
          <w:color w:val="auto"/>
          <w:spacing w:val="17"/>
          <w:szCs w:val="24"/>
        </w:rPr>
        <w:t>附：1.发包工程量清单封面(格式)</w:t>
      </w:r>
    </w:p>
    <w:p w14:paraId="325A4A59">
      <w:pPr>
        <w:snapToGrid/>
        <w:spacing w:line="400" w:lineRule="exact"/>
        <w:ind w:left="980" w:firstLine="560" w:firstLineChars="200"/>
        <w:rPr>
          <w:rFonts w:ascii="Times New Roman" w:hAnsi="Times New Roman" w:eastAsia="宋体" w:cs="Times New Roman"/>
          <w:color w:val="auto"/>
          <w:szCs w:val="24"/>
        </w:rPr>
      </w:pPr>
      <w:r>
        <w:rPr>
          <w:rFonts w:ascii="Times New Roman" w:hAnsi="Times New Roman" w:eastAsia="宋体" w:cs="Times New Roman"/>
          <w:color w:val="auto"/>
          <w:spacing w:val="20"/>
          <w:szCs w:val="24"/>
        </w:rPr>
        <w:t>2.发包工程量清单扉页(格式)</w:t>
      </w:r>
    </w:p>
    <w:p w14:paraId="46F6D390">
      <w:pPr>
        <w:snapToGrid/>
        <w:spacing w:line="400" w:lineRule="exact"/>
        <w:ind w:left="980" w:firstLine="548" w:firstLineChars="200"/>
        <w:rPr>
          <w:rFonts w:ascii="Times New Roman" w:hAnsi="Times New Roman" w:eastAsia="宋体" w:cs="Times New Roman"/>
          <w:color w:val="auto"/>
          <w:szCs w:val="24"/>
        </w:rPr>
      </w:pPr>
      <w:r>
        <w:rPr>
          <w:rFonts w:ascii="Times New Roman" w:hAnsi="Times New Roman" w:eastAsia="宋体" w:cs="Times New Roman"/>
          <w:color w:val="auto"/>
          <w:spacing w:val="17"/>
          <w:szCs w:val="24"/>
        </w:rPr>
        <w:t>3.发包工程量清单编制说明(格式)</w:t>
      </w:r>
    </w:p>
    <w:p w14:paraId="65F8640C">
      <w:pPr>
        <w:snapToGrid/>
        <w:spacing w:line="400" w:lineRule="exact"/>
        <w:ind w:left="30" w:right="21" w:firstLine="544" w:firstLineChars="200"/>
        <w:rPr>
          <w:rFonts w:ascii="Times New Roman" w:hAnsi="Times New Roman" w:eastAsia="宋体" w:cs="Times New Roman"/>
          <w:color w:val="auto"/>
          <w:szCs w:val="24"/>
        </w:rPr>
      </w:pPr>
      <w:r>
        <w:rPr>
          <w:rFonts w:ascii="Times New Roman" w:hAnsi="Times New Roman" w:eastAsia="宋体" w:cs="Times New Roman"/>
          <w:color w:val="auto"/>
          <w:spacing w:val="16"/>
          <w:szCs w:val="24"/>
        </w:rPr>
        <w:t>4.发包工程量清单格式详见商务标格式中的有关栏目(略)。</w:t>
      </w:r>
    </w:p>
    <w:p w14:paraId="672CFE8A">
      <w:pPr>
        <w:spacing w:line="219" w:lineRule="auto"/>
        <w:rPr>
          <w:rFonts w:ascii="Times New Roman" w:hAnsi="Times New Roman" w:eastAsia="宋体" w:cs="Times New Roman"/>
          <w:color w:val="auto"/>
          <w:sz w:val="23"/>
          <w:szCs w:val="23"/>
        </w:rPr>
        <w:sectPr>
          <w:headerReference r:id="rId15" w:type="default"/>
          <w:footerReference r:id="rId16" w:type="default"/>
          <w:pgSz w:w="11910" w:h="16840"/>
          <w:pgMar w:top="1440" w:right="1080" w:bottom="1440" w:left="1080" w:header="850" w:footer="850" w:gutter="0"/>
          <w:cols w:space="720" w:num="1"/>
        </w:sectPr>
      </w:pPr>
    </w:p>
    <w:p w14:paraId="51ACFD2F">
      <w:pPr>
        <w:spacing w:before="81" w:line="219" w:lineRule="auto"/>
        <w:rPr>
          <w:rFonts w:ascii="Times New Roman" w:hAnsi="Times New Roman" w:eastAsia="宋体" w:cs="Times New Roman"/>
          <w:color w:val="auto"/>
          <w:sz w:val="25"/>
          <w:szCs w:val="25"/>
        </w:rPr>
      </w:pPr>
      <w:r>
        <w:rPr>
          <w:rFonts w:ascii="Times New Roman" w:hAnsi="Times New Roman" w:eastAsia="宋体" w:cs="Times New Roman"/>
          <w:color w:val="auto"/>
          <w:spacing w:val="17"/>
          <w:sz w:val="25"/>
          <w:szCs w:val="25"/>
        </w:rPr>
        <w:t>附件1:</w:t>
      </w:r>
    </w:p>
    <w:p w14:paraId="2DD620CA">
      <w:pPr>
        <w:pStyle w:val="7"/>
        <w:spacing w:line="475" w:lineRule="auto"/>
        <w:rPr>
          <w:rFonts w:cs="Times New Roman"/>
          <w:color w:val="auto"/>
        </w:rPr>
      </w:pPr>
    </w:p>
    <w:p w14:paraId="6B6EDC90">
      <w:pPr>
        <w:spacing w:before="65" w:line="220" w:lineRule="auto"/>
        <w:ind w:left="3650"/>
        <w:rPr>
          <w:rFonts w:ascii="Times New Roman" w:hAnsi="Times New Roman" w:eastAsia="宋体" w:cs="Times New Roman"/>
          <w:color w:val="auto"/>
          <w:sz w:val="28"/>
          <w:szCs w:val="28"/>
        </w:rPr>
      </w:pPr>
      <w:r>
        <w:rPr>
          <w:rFonts w:ascii="Times New Roman" w:hAnsi="Times New Roman" w:eastAsia="宋体" w:cs="Times New Roman"/>
          <w:color w:val="auto"/>
          <w:spacing w:val="38"/>
          <w:sz w:val="28"/>
          <w:szCs w:val="28"/>
        </w:rPr>
        <w:t>发包工程量清单封面</w:t>
      </w:r>
    </w:p>
    <w:p w14:paraId="789DDA12">
      <w:pPr>
        <w:spacing w:before="161"/>
        <w:rPr>
          <w:rFonts w:ascii="Times New Roman" w:hAnsi="Times New Roman" w:cs="Times New Roman"/>
          <w:color w:val="auto"/>
        </w:rPr>
      </w:pPr>
    </w:p>
    <w:tbl>
      <w:tblPr>
        <w:tblStyle w:val="22"/>
        <w:tblW w:w="9330" w:type="dxa"/>
        <w:tblInd w:w="5" w:type="dxa"/>
        <w:tblBorders>
          <w:top w:val="single" w:color="000000" w:sz="2" w:space="0"/>
          <w:left w:val="single" w:color="000000" w:sz="4" w:space="0"/>
          <w:bottom w:val="single" w:color="000000" w:sz="8"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330"/>
      </w:tblGrid>
      <w:tr w14:paraId="1D629D89">
        <w:tblPrEx>
          <w:tblBorders>
            <w:top w:val="single" w:color="000000" w:sz="2" w:space="0"/>
            <w:left w:val="single" w:color="000000" w:sz="4" w:space="0"/>
            <w:bottom w:val="single" w:color="000000" w:sz="8"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0505" w:hRule="atLeast"/>
        </w:trPr>
        <w:tc>
          <w:tcPr>
            <w:tcW w:w="9330" w:type="dxa"/>
          </w:tcPr>
          <w:p w14:paraId="66C32305">
            <w:pPr>
              <w:spacing w:line="249" w:lineRule="auto"/>
              <w:rPr>
                <w:rFonts w:ascii="Times New Roman" w:hAnsi="Times New Roman" w:cs="Times New Roman"/>
                <w:color w:val="auto"/>
                <w:sz w:val="21"/>
              </w:rPr>
            </w:pPr>
            <w:r>
              <w:rPr>
                <w:rFonts w:ascii="Times New Roman" w:hAnsi="Times New Roman" w:cs="Times New Roman"/>
                <w:color w:val="auto"/>
              </w:rPr>
              <w:drawing>
                <wp:anchor distT="0" distB="0" distL="0" distR="0" simplePos="0" relativeHeight="251667456" behindDoc="0" locked="0" layoutInCell="1" allowOverlap="1">
                  <wp:simplePos x="0" y="0"/>
                  <wp:positionH relativeFrom="rightMargin">
                    <wp:posOffset>-3796665</wp:posOffset>
                  </wp:positionH>
                  <wp:positionV relativeFrom="topMargin">
                    <wp:posOffset>3304540</wp:posOffset>
                  </wp:positionV>
                  <wp:extent cx="2463800" cy="6350"/>
                  <wp:effectExtent l="0" t="0" r="0" b="0"/>
                  <wp:wrapNone/>
                  <wp:docPr id="1026" name="IM 66"/>
                  <wp:cNvGraphicFramePr/>
                  <a:graphic xmlns:a="http://schemas.openxmlformats.org/drawingml/2006/main">
                    <a:graphicData uri="http://schemas.openxmlformats.org/drawingml/2006/picture">
                      <pic:pic xmlns:pic="http://schemas.openxmlformats.org/drawingml/2006/picture">
                        <pic:nvPicPr>
                          <pic:cNvPr id="1026" name="IM 66"/>
                          <pic:cNvPicPr/>
                        </pic:nvPicPr>
                        <pic:blipFill>
                          <a:blip r:embed="rId36" cstate="print"/>
                          <a:srcRect/>
                          <a:stretch>
                            <a:fillRect/>
                          </a:stretch>
                        </pic:blipFill>
                        <pic:spPr>
                          <a:xfrm>
                            <a:off x="0" y="0"/>
                            <a:ext cx="2463800" cy="6350"/>
                          </a:xfrm>
                          <a:prstGeom prst="rect">
                            <a:avLst/>
                          </a:prstGeom>
                        </pic:spPr>
                      </pic:pic>
                    </a:graphicData>
                  </a:graphic>
                </wp:anchor>
              </w:drawing>
            </w:r>
            <w:r>
              <w:rPr>
                <w:rFonts w:ascii="Times New Roman" w:hAnsi="Times New Roman" w:cs="Times New Roman"/>
                <w:color w:val="auto"/>
              </w:rPr>
              <w:drawing>
                <wp:anchor distT="0" distB="0" distL="0" distR="0" simplePos="0" relativeHeight="251668480" behindDoc="0" locked="0" layoutInCell="1" allowOverlap="1">
                  <wp:simplePos x="0" y="0"/>
                  <wp:positionH relativeFrom="rightMargin">
                    <wp:posOffset>-3796665</wp:posOffset>
                  </wp:positionH>
                  <wp:positionV relativeFrom="topMargin">
                    <wp:posOffset>4218940</wp:posOffset>
                  </wp:positionV>
                  <wp:extent cx="2457450" cy="6350"/>
                  <wp:effectExtent l="0" t="0" r="0" b="0"/>
                  <wp:wrapNone/>
                  <wp:docPr id="1027" name="IM 68"/>
                  <wp:cNvGraphicFramePr/>
                  <a:graphic xmlns:a="http://schemas.openxmlformats.org/drawingml/2006/main">
                    <a:graphicData uri="http://schemas.openxmlformats.org/drawingml/2006/picture">
                      <pic:pic xmlns:pic="http://schemas.openxmlformats.org/drawingml/2006/picture">
                        <pic:nvPicPr>
                          <pic:cNvPr id="1027" name="IM 68"/>
                          <pic:cNvPicPr/>
                        </pic:nvPicPr>
                        <pic:blipFill>
                          <a:blip r:embed="rId37" cstate="print"/>
                          <a:srcRect/>
                          <a:stretch>
                            <a:fillRect/>
                          </a:stretch>
                        </pic:blipFill>
                        <pic:spPr>
                          <a:xfrm>
                            <a:off x="0" y="0"/>
                            <a:ext cx="2457450" cy="6350"/>
                          </a:xfrm>
                          <a:prstGeom prst="rect">
                            <a:avLst/>
                          </a:prstGeom>
                        </pic:spPr>
                      </pic:pic>
                    </a:graphicData>
                  </a:graphic>
                </wp:anchor>
              </w:drawing>
            </w:r>
          </w:p>
          <w:p w14:paraId="24CD2935">
            <w:pPr>
              <w:spacing w:line="249" w:lineRule="auto"/>
              <w:rPr>
                <w:rFonts w:ascii="Times New Roman" w:hAnsi="Times New Roman" w:cs="Times New Roman"/>
                <w:color w:val="auto"/>
                <w:sz w:val="21"/>
              </w:rPr>
            </w:pPr>
          </w:p>
          <w:p w14:paraId="0883EF2B">
            <w:pPr>
              <w:spacing w:line="249" w:lineRule="auto"/>
              <w:rPr>
                <w:rFonts w:ascii="Times New Roman" w:hAnsi="Times New Roman" w:cs="Times New Roman"/>
                <w:color w:val="auto"/>
                <w:sz w:val="21"/>
              </w:rPr>
            </w:pPr>
          </w:p>
          <w:p w14:paraId="0403276D">
            <w:pPr>
              <w:spacing w:line="251" w:lineRule="auto"/>
              <w:rPr>
                <w:rFonts w:ascii="Times New Roman" w:hAnsi="Times New Roman" w:cs="Times New Roman"/>
                <w:color w:val="auto"/>
                <w:sz w:val="21"/>
              </w:rPr>
            </w:pPr>
          </w:p>
          <w:p w14:paraId="466CE6CD">
            <w:pPr>
              <w:spacing w:line="251" w:lineRule="auto"/>
              <w:rPr>
                <w:rFonts w:ascii="Times New Roman" w:hAnsi="Times New Roman" w:cs="Times New Roman"/>
                <w:color w:val="auto"/>
                <w:sz w:val="21"/>
              </w:rPr>
            </w:pPr>
          </w:p>
          <w:p w14:paraId="5EAF5F45">
            <w:pPr>
              <w:spacing w:line="251" w:lineRule="auto"/>
              <w:rPr>
                <w:rFonts w:ascii="Times New Roman" w:hAnsi="Times New Roman" w:cs="Times New Roman"/>
                <w:color w:val="auto"/>
                <w:sz w:val="21"/>
              </w:rPr>
            </w:pPr>
          </w:p>
          <w:p w14:paraId="17825FAA">
            <w:pPr>
              <w:spacing w:line="251" w:lineRule="auto"/>
              <w:rPr>
                <w:rFonts w:ascii="Times New Roman" w:hAnsi="Times New Roman" w:cs="Times New Roman"/>
                <w:color w:val="auto"/>
                <w:sz w:val="21"/>
              </w:rPr>
            </w:pPr>
          </w:p>
          <w:p w14:paraId="6896F9FB">
            <w:pPr>
              <w:pStyle w:val="25"/>
              <w:tabs>
                <w:tab w:val="left" w:pos="7005"/>
              </w:tabs>
              <w:spacing w:before="81" w:line="220" w:lineRule="auto"/>
              <w:ind w:left="1770"/>
              <w:rPr>
                <w:rFonts w:ascii="Times New Roman" w:hAnsi="Times New Roman" w:cs="Times New Roman"/>
                <w:color w:val="auto"/>
                <w:sz w:val="25"/>
                <w:szCs w:val="25"/>
                <w:lang w:eastAsia="zh-CN"/>
              </w:rPr>
            </w:pPr>
            <w:r>
              <w:rPr>
                <w:rFonts w:ascii="Times New Roman" w:hAnsi="Times New Roman" w:cs="Times New Roman"/>
                <w:color w:val="auto"/>
                <w:sz w:val="25"/>
                <w:szCs w:val="25"/>
                <w:u w:val="single"/>
                <w:lang w:eastAsia="zh-CN"/>
              </w:rPr>
              <w:tab/>
            </w:r>
            <w:r>
              <w:rPr>
                <w:rFonts w:ascii="Times New Roman" w:hAnsi="Times New Roman" w:cs="Times New Roman"/>
                <w:color w:val="auto"/>
                <w:spacing w:val="-7"/>
                <w:sz w:val="25"/>
                <w:szCs w:val="25"/>
                <w:u w:val="single"/>
                <w:lang w:eastAsia="zh-CN"/>
              </w:rPr>
              <w:t>工</w:t>
            </w:r>
            <w:r>
              <w:rPr>
                <w:rFonts w:ascii="Times New Roman" w:hAnsi="Times New Roman" w:cs="Times New Roman"/>
                <w:color w:val="auto"/>
                <w:spacing w:val="-7"/>
                <w:sz w:val="25"/>
                <w:szCs w:val="25"/>
                <w:lang w:eastAsia="zh-CN"/>
              </w:rPr>
              <w:t>程</w:t>
            </w:r>
          </w:p>
          <w:p w14:paraId="56CFD621">
            <w:pPr>
              <w:spacing w:line="326" w:lineRule="auto"/>
              <w:rPr>
                <w:rFonts w:ascii="Times New Roman" w:hAnsi="Times New Roman" w:cs="Times New Roman"/>
                <w:color w:val="auto"/>
                <w:sz w:val="21"/>
              </w:rPr>
            </w:pPr>
          </w:p>
          <w:p w14:paraId="594CCF44">
            <w:pPr>
              <w:spacing w:line="327" w:lineRule="auto"/>
              <w:rPr>
                <w:rFonts w:ascii="Times New Roman" w:hAnsi="Times New Roman" w:cs="Times New Roman"/>
                <w:color w:val="auto"/>
                <w:sz w:val="21"/>
              </w:rPr>
            </w:pPr>
          </w:p>
          <w:p w14:paraId="0C27B161">
            <w:pPr>
              <w:pStyle w:val="25"/>
              <w:spacing w:before="120" w:line="220" w:lineRule="auto"/>
              <w:ind w:left="3280"/>
              <w:rPr>
                <w:rFonts w:ascii="Times New Roman" w:hAnsi="Times New Roman" w:cs="Times New Roman"/>
                <w:color w:val="auto"/>
                <w:sz w:val="37"/>
                <w:szCs w:val="37"/>
                <w:lang w:eastAsia="zh-CN"/>
              </w:rPr>
            </w:pPr>
            <w:r>
              <w:rPr>
                <w:rFonts w:ascii="Times New Roman" w:hAnsi="Times New Roman" w:cs="Times New Roman"/>
                <w:color w:val="auto"/>
                <w:spacing w:val="22"/>
                <w:sz w:val="37"/>
                <w:szCs w:val="37"/>
                <w:lang w:eastAsia="zh-CN"/>
              </w:rPr>
              <w:t>发包工程量清单</w:t>
            </w:r>
          </w:p>
          <w:p w14:paraId="483DA6F8">
            <w:pPr>
              <w:spacing w:line="251" w:lineRule="auto"/>
              <w:rPr>
                <w:rFonts w:ascii="Times New Roman" w:hAnsi="Times New Roman" w:cs="Times New Roman"/>
                <w:color w:val="auto"/>
                <w:sz w:val="21"/>
              </w:rPr>
            </w:pPr>
          </w:p>
          <w:p w14:paraId="59C544A6">
            <w:pPr>
              <w:spacing w:line="251" w:lineRule="auto"/>
              <w:rPr>
                <w:rFonts w:ascii="Times New Roman" w:hAnsi="Times New Roman" w:cs="Times New Roman"/>
                <w:color w:val="auto"/>
                <w:sz w:val="21"/>
              </w:rPr>
            </w:pPr>
          </w:p>
          <w:p w14:paraId="2C620936">
            <w:pPr>
              <w:spacing w:line="251" w:lineRule="auto"/>
              <w:rPr>
                <w:rFonts w:ascii="Times New Roman" w:hAnsi="Times New Roman" w:cs="Times New Roman"/>
                <w:color w:val="auto"/>
                <w:sz w:val="21"/>
              </w:rPr>
            </w:pPr>
          </w:p>
          <w:p w14:paraId="48767A53">
            <w:pPr>
              <w:spacing w:line="251" w:lineRule="auto"/>
              <w:rPr>
                <w:rFonts w:ascii="Times New Roman" w:hAnsi="Times New Roman" w:cs="Times New Roman"/>
                <w:color w:val="auto"/>
                <w:sz w:val="21"/>
              </w:rPr>
            </w:pPr>
          </w:p>
          <w:p w14:paraId="18C380A2">
            <w:pPr>
              <w:spacing w:line="251" w:lineRule="auto"/>
              <w:rPr>
                <w:rFonts w:ascii="Times New Roman" w:hAnsi="Times New Roman" w:cs="Times New Roman"/>
                <w:color w:val="auto"/>
                <w:sz w:val="21"/>
              </w:rPr>
            </w:pPr>
          </w:p>
          <w:p w14:paraId="28554214">
            <w:pPr>
              <w:spacing w:line="253" w:lineRule="auto"/>
              <w:rPr>
                <w:rFonts w:ascii="Times New Roman" w:hAnsi="Times New Roman" w:cs="Times New Roman"/>
                <w:color w:val="auto"/>
                <w:sz w:val="21"/>
              </w:rPr>
            </w:pPr>
          </w:p>
          <w:p w14:paraId="421EF823">
            <w:pPr>
              <w:pStyle w:val="25"/>
              <w:spacing w:before="81" w:line="220" w:lineRule="auto"/>
              <w:ind w:left="1910"/>
              <w:rPr>
                <w:rFonts w:ascii="Times New Roman" w:hAnsi="Times New Roman" w:cs="Times New Roman"/>
                <w:color w:val="auto"/>
                <w:sz w:val="24"/>
                <w:szCs w:val="24"/>
                <w:lang w:eastAsia="zh-CN"/>
              </w:rPr>
            </w:pPr>
            <w:r>
              <w:rPr>
                <w:rFonts w:ascii="Times New Roman" w:hAnsi="Times New Roman" w:cs="Times New Roman"/>
                <w:color w:val="auto"/>
                <w:spacing w:val="-8"/>
                <w:sz w:val="24"/>
                <w:szCs w:val="24"/>
                <w:lang w:eastAsia="zh-CN"/>
              </w:rPr>
              <w:t>发  包  人：</w:t>
            </w:r>
          </w:p>
          <w:p w14:paraId="18B77AA8">
            <w:pPr>
              <w:pStyle w:val="25"/>
              <w:spacing w:before="17" w:line="219" w:lineRule="auto"/>
              <w:ind w:left="4110"/>
              <w:rPr>
                <w:rFonts w:ascii="Times New Roman" w:hAnsi="Times New Roman" w:cs="Times New Roman"/>
                <w:color w:val="auto"/>
                <w:sz w:val="24"/>
                <w:szCs w:val="24"/>
                <w:lang w:eastAsia="zh-CN"/>
              </w:rPr>
            </w:pPr>
            <w:r>
              <w:rPr>
                <w:rFonts w:ascii="Times New Roman" w:hAnsi="Times New Roman" w:cs="Times New Roman"/>
                <w:color w:val="auto"/>
                <w:spacing w:val="22"/>
                <w:sz w:val="24"/>
                <w:szCs w:val="24"/>
                <w:lang w:eastAsia="zh-CN"/>
              </w:rPr>
              <w:t>(单位盖章)</w:t>
            </w:r>
          </w:p>
          <w:p w14:paraId="79D397D6">
            <w:pPr>
              <w:spacing w:line="414" w:lineRule="auto"/>
              <w:rPr>
                <w:rFonts w:ascii="Times New Roman" w:hAnsi="Times New Roman" w:cs="Times New Roman"/>
                <w:color w:val="auto"/>
                <w:szCs w:val="24"/>
              </w:rPr>
            </w:pPr>
          </w:p>
          <w:p w14:paraId="199216A3">
            <w:pPr>
              <w:pStyle w:val="25"/>
              <w:spacing w:before="65" w:line="218" w:lineRule="auto"/>
              <w:ind w:left="1930"/>
              <w:rPr>
                <w:rFonts w:ascii="Times New Roman" w:hAnsi="Times New Roman" w:cs="Times New Roman"/>
                <w:color w:val="auto"/>
                <w:sz w:val="24"/>
                <w:szCs w:val="24"/>
                <w:lang w:eastAsia="zh-CN"/>
              </w:rPr>
            </w:pPr>
            <w:r>
              <w:rPr>
                <w:rFonts w:ascii="Times New Roman" w:hAnsi="Times New Roman" w:cs="Times New Roman"/>
                <w:color w:val="auto"/>
                <w:spacing w:val="28"/>
                <w:sz w:val="24"/>
                <w:szCs w:val="24"/>
                <w:lang w:eastAsia="zh-CN"/>
              </w:rPr>
              <w:t>造价咨询人：</w:t>
            </w:r>
          </w:p>
          <w:p w14:paraId="76AB318D">
            <w:pPr>
              <w:spacing w:line="416" w:lineRule="auto"/>
              <w:rPr>
                <w:rFonts w:ascii="Times New Roman" w:hAnsi="Times New Roman" w:cs="Times New Roman"/>
                <w:color w:val="auto"/>
                <w:szCs w:val="24"/>
              </w:rPr>
            </w:pPr>
          </w:p>
          <w:p w14:paraId="4A3CD205">
            <w:pPr>
              <w:pStyle w:val="25"/>
              <w:spacing w:before="66" w:line="219" w:lineRule="auto"/>
              <w:ind w:left="4110"/>
              <w:rPr>
                <w:rFonts w:ascii="Times New Roman" w:hAnsi="Times New Roman" w:cs="Times New Roman"/>
                <w:color w:val="auto"/>
                <w:sz w:val="24"/>
                <w:szCs w:val="24"/>
                <w:lang w:eastAsia="zh-CN"/>
              </w:rPr>
            </w:pPr>
            <w:r>
              <w:rPr>
                <w:rFonts w:ascii="Times New Roman" w:hAnsi="Times New Roman" w:cs="Times New Roman"/>
                <w:color w:val="auto"/>
                <w:spacing w:val="22"/>
                <w:sz w:val="24"/>
                <w:szCs w:val="24"/>
                <w:lang w:eastAsia="zh-CN"/>
              </w:rPr>
              <w:t>(单位盖章)</w:t>
            </w:r>
          </w:p>
          <w:p w14:paraId="0D6A74CF">
            <w:pPr>
              <w:spacing w:line="263" w:lineRule="auto"/>
              <w:rPr>
                <w:rFonts w:ascii="Times New Roman" w:hAnsi="Times New Roman" w:cs="Times New Roman"/>
                <w:color w:val="auto"/>
                <w:szCs w:val="24"/>
              </w:rPr>
            </w:pPr>
          </w:p>
          <w:p w14:paraId="30C14AA3">
            <w:pPr>
              <w:spacing w:line="263" w:lineRule="auto"/>
              <w:rPr>
                <w:rFonts w:ascii="Times New Roman" w:hAnsi="Times New Roman" w:cs="Times New Roman"/>
                <w:color w:val="auto"/>
                <w:sz w:val="21"/>
              </w:rPr>
            </w:pPr>
          </w:p>
          <w:p w14:paraId="127C9BCE">
            <w:pPr>
              <w:spacing w:line="263" w:lineRule="auto"/>
              <w:rPr>
                <w:rFonts w:ascii="Times New Roman" w:hAnsi="Times New Roman" w:cs="Times New Roman"/>
                <w:color w:val="auto"/>
                <w:sz w:val="21"/>
              </w:rPr>
            </w:pPr>
          </w:p>
          <w:p w14:paraId="64722603">
            <w:pPr>
              <w:spacing w:line="263" w:lineRule="auto"/>
              <w:rPr>
                <w:rFonts w:ascii="Times New Roman" w:hAnsi="Times New Roman" w:cs="Times New Roman"/>
                <w:color w:val="auto"/>
                <w:sz w:val="21"/>
              </w:rPr>
            </w:pPr>
          </w:p>
          <w:p w14:paraId="2645B7A2">
            <w:pPr>
              <w:spacing w:line="263" w:lineRule="auto"/>
              <w:rPr>
                <w:rFonts w:ascii="Times New Roman" w:hAnsi="Times New Roman" w:cs="Times New Roman"/>
                <w:color w:val="auto"/>
                <w:sz w:val="21"/>
              </w:rPr>
            </w:pPr>
          </w:p>
          <w:p w14:paraId="6B78C005">
            <w:pPr>
              <w:spacing w:line="264" w:lineRule="auto"/>
              <w:rPr>
                <w:rFonts w:ascii="Times New Roman" w:hAnsi="Times New Roman" w:cs="Times New Roman"/>
                <w:color w:val="auto"/>
                <w:sz w:val="21"/>
              </w:rPr>
            </w:pPr>
          </w:p>
          <w:p w14:paraId="6101C7B9">
            <w:pPr>
              <w:pStyle w:val="25"/>
              <w:spacing w:before="65" w:line="219" w:lineRule="auto"/>
              <w:ind w:left="3710"/>
              <w:rPr>
                <w:rFonts w:ascii="Times New Roman" w:hAnsi="Times New Roman" w:cs="Times New Roman"/>
                <w:color w:val="auto"/>
                <w:sz w:val="20"/>
                <w:szCs w:val="20"/>
              </w:rPr>
            </w:pPr>
            <w:r>
              <w:rPr>
                <w:rFonts w:ascii="Times New Roman" w:hAnsi="Times New Roman" w:cs="Times New Roman"/>
                <w:color w:val="auto"/>
                <w:spacing w:val="-8"/>
                <w:sz w:val="20"/>
                <w:szCs w:val="20"/>
              </w:rPr>
              <w:t>年</w:t>
            </w:r>
            <w:r>
              <w:rPr>
                <w:rFonts w:ascii="Times New Roman" w:hAnsi="Times New Roman" w:cs="Times New Roman"/>
                <w:color w:val="auto"/>
                <w:spacing w:val="6"/>
                <w:sz w:val="20"/>
                <w:szCs w:val="20"/>
              </w:rPr>
              <w:t xml:space="preserve">      </w:t>
            </w:r>
            <w:r>
              <w:rPr>
                <w:rFonts w:ascii="Times New Roman" w:hAnsi="Times New Roman" w:cs="Times New Roman"/>
                <w:color w:val="auto"/>
                <w:spacing w:val="-8"/>
                <w:sz w:val="20"/>
                <w:szCs w:val="20"/>
              </w:rPr>
              <w:t>月</w:t>
            </w:r>
            <w:r>
              <w:rPr>
                <w:rFonts w:ascii="Times New Roman" w:hAnsi="Times New Roman" w:cs="Times New Roman"/>
                <w:color w:val="auto"/>
                <w:spacing w:val="6"/>
                <w:sz w:val="20"/>
                <w:szCs w:val="20"/>
              </w:rPr>
              <w:t xml:space="preserve">      </w:t>
            </w:r>
            <w:r>
              <w:rPr>
                <w:rFonts w:ascii="Times New Roman" w:hAnsi="Times New Roman" w:cs="Times New Roman"/>
                <w:color w:val="auto"/>
                <w:spacing w:val="-8"/>
                <w:sz w:val="20"/>
                <w:szCs w:val="20"/>
              </w:rPr>
              <w:t>日</w:t>
            </w:r>
          </w:p>
        </w:tc>
      </w:tr>
    </w:tbl>
    <w:p w14:paraId="13B254AB">
      <w:pPr>
        <w:pStyle w:val="7"/>
        <w:rPr>
          <w:rFonts w:cs="Times New Roman"/>
          <w:color w:val="auto"/>
        </w:rPr>
      </w:pPr>
    </w:p>
    <w:p w14:paraId="62EF0F05">
      <w:pPr>
        <w:rPr>
          <w:rFonts w:ascii="Times New Roman" w:hAnsi="Times New Roman" w:cs="Times New Roman"/>
          <w:color w:val="auto"/>
        </w:rPr>
        <w:sectPr>
          <w:footerReference r:id="rId17" w:type="default"/>
          <w:pgSz w:w="11910" w:h="16840"/>
          <w:pgMar w:top="1440" w:right="1080" w:bottom="1440" w:left="1080" w:header="0" w:footer="681" w:gutter="0"/>
          <w:cols w:space="720" w:num="1"/>
        </w:sectPr>
      </w:pPr>
    </w:p>
    <w:p w14:paraId="2A053AD0">
      <w:pPr>
        <w:spacing w:before="88" w:line="219" w:lineRule="auto"/>
        <w:rPr>
          <w:rFonts w:ascii="Times New Roman" w:hAnsi="Times New Roman" w:eastAsia="宋体" w:cs="Times New Roman"/>
          <w:color w:val="auto"/>
          <w:sz w:val="27"/>
          <w:szCs w:val="27"/>
        </w:rPr>
      </w:pPr>
      <w:r>
        <w:rPr>
          <w:rFonts w:ascii="Times New Roman" w:hAnsi="Times New Roman" w:eastAsia="宋体" w:cs="Times New Roman"/>
          <w:b/>
          <w:bCs/>
          <w:color w:val="auto"/>
          <w:spacing w:val="3"/>
          <w:sz w:val="27"/>
          <w:szCs w:val="27"/>
        </w:rPr>
        <w:t>附件2:</w:t>
      </w:r>
    </w:p>
    <w:p w14:paraId="3D3470CB">
      <w:pPr>
        <w:pStyle w:val="7"/>
        <w:spacing w:line="243" w:lineRule="auto"/>
        <w:rPr>
          <w:rFonts w:cs="Times New Roman"/>
          <w:color w:val="auto"/>
        </w:rPr>
      </w:pPr>
    </w:p>
    <w:p w14:paraId="1578325A">
      <w:pPr>
        <w:pStyle w:val="7"/>
        <w:spacing w:line="244" w:lineRule="auto"/>
        <w:ind w:left="0"/>
        <w:rPr>
          <w:rFonts w:cs="Times New Roman"/>
          <w:color w:val="auto"/>
        </w:rPr>
      </w:pPr>
    </w:p>
    <w:p w14:paraId="6085D33D">
      <w:pPr>
        <w:spacing w:before="78" w:line="220" w:lineRule="auto"/>
        <w:ind w:left="3755"/>
        <w:rPr>
          <w:rFonts w:ascii="Times New Roman" w:hAnsi="Times New Roman" w:eastAsia="宋体" w:cs="Times New Roman"/>
          <w:color w:val="auto"/>
          <w:szCs w:val="24"/>
        </w:rPr>
      </w:pPr>
      <w:r>
        <w:rPr>
          <w:rFonts w:ascii="Times New Roman" w:hAnsi="Times New Roman" w:eastAsia="宋体" w:cs="Times New Roman"/>
          <w:color w:val="auto"/>
          <w:spacing w:val="-2"/>
          <w:szCs w:val="24"/>
        </w:rPr>
        <w:t>发包工程量清单扉页</w:t>
      </w:r>
    </w:p>
    <w:p w14:paraId="6AA33140">
      <w:pPr>
        <w:spacing w:before="6"/>
        <w:rPr>
          <w:rFonts w:ascii="Times New Roman" w:hAnsi="Times New Roman" w:cs="Times New Roman"/>
          <w:color w:val="auto"/>
        </w:rPr>
      </w:pPr>
    </w:p>
    <w:tbl>
      <w:tblPr>
        <w:tblStyle w:val="22"/>
        <w:tblW w:w="92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48"/>
        <w:gridCol w:w="5022"/>
      </w:tblGrid>
      <w:tr w14:paraId="47999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6" w:hRule="atLeast"/>
        </w:trPr>
        <w:tc>
          <w:tcPr>
            <w:tcW w:w="9270" w:type="dxa"/>
            <w:gridSpan w:val="2"/>
            <w:tcBorders>
              <w:bottom w:val="nil"/>
            </w:tcBorders>
          </w:tcPr>
          <w:p w14:paraId="4D477BD7">
            <w:pPr>
              <w:spacing w:line="244" w:lineRule="auto"/>
              <w:rPr>
                <w:rFonts w:ascii="Times New Roman" w:hAnsi="Times New Roman" w:cs="Times New Roman"/>
                <w:color w:val="auto"/>
                <w:sz w:val="21"/>
              </w:rPr>
            </w:pPr>
          </w:p>
          <w:p w14:paraId="3AA3A3A5">
            <w:pPr>
              <w:spacing w:line="244" w:lineRule="auto"/>
              <w:rPr>
                <w:rFonts w:ascii="Times New Roman" w:hAnsi="Times New Roman" w:cs="Times New Roman"/>
                <w:color w:val="auto"/>
                <w:sz w:val="21"/>
              </w:rPr>
            </w:pPr>
          </w:p>
          <w:p w14:paraId="4AB14AD2">
            <w:pPr>
              <w:spacing w:line="245" w:lineRule="auto"/>
              <w:rPr>
                <w:rFonts w:ascii="Times New Roman" w:hAnsi="Times New Roman" w:cs="Times New Roman"/>
                <w:color w:val="auto"/>
                <w:sz w:val="21"/>
              </w:rPr>
            </w:pPr>
          </w:p>
          <w:p w14:paraId="2C0029CC">
            <w:pPr>
              <w:spacing w:line="245" w:lineRule="auto"/>
              <w:rPr>
                <w:rFonts w:ascii="Times New Roman" w:hAnsi="Times New Roman" w:cs="Times New Roman"/>
                <w:color w:val="auto"/>
                <w:sz w:val="21"/>
              </w:rPr>
            </w:pPr>
          </w:p>
          <w:p w14:paraId="75CD032D">
            <w:pPr>
              <w:pStyle w:val="25"/>
              <w:tabs>
                <w:tab w:val="left" w:pos="8055"/>
              </w:tabs>
              <w:spacing w:before="82" w:line="220" w:lineRule="auto"/>
              <w:ind w:left="4455"/>
              <w:rPr>
                <w:rFonts w:ascii="Times New Roman" w:hAnsi="Times New Roman" w:cs="Times New Roman"/>
                <w:color w:val="auto"/>
                <w:sz w:val="25"/>
                <w:szCs w:val="25"/>
              </w:rPr>
            </w:pPr>
            <w:r>
              <w:rPr>
                <w:rFonts w:ascii="Times New Roman" w:hAnsi="Times New Roman" w:cs="Times New Roman"/>
                <w:color w:val="auto"/>
                <w:sz w:val="25"/>
                <w:szCs w:val="25"/>
                <w:u w:val="single"/>
              </w:rPr>
              <w:tab/>
            </w:r>
            <w:r>
              <w:rPr>
                <w:rFonts w:ascii="Times New Roman" w:hAnsi="Times New Roman" w:cs="Times New Roman"/>
                <w:color w:val="auto"/>
                <w:spacing w:val="-5"/>
                <w:sz w:val="25"/>
                <w:szCs w:val="25"/>
                <w:u w:val="single"/>
              </w:rPr>
              <w:t xml:space="preserve"> </w:t>
            </w:r>
            <w:r>
              <w:rPr>
                <w:rFonts w:ascii="Times New Roman" w:hAnsi="Times New Roman" w:cs="Times New Roman"/>
                <w:color w:val="auto"/>
                <w:spacing w:val="4"/>
                <w:sz w:val="25"/>
                <w:szCs w:val="25"/>
              </w:rPr>
              <w:t>工程</w:t>
            </w:r>
          </w:p>
          <w:p w14:paraId="4E1BF5A5">
            <w:pPr>
              <w:spacing w:line="241" w:lineRule="auto"/>
              <w:rPr>
                <w:rFonts w:ascii="Times New Roman" w:hAnsi="Times New Roman" w:cs="Times New Roman"/>
                <w:color w:val="auto"/>
                <w:sz w:val="21"/>
              </w:rPr>
            </w:pPr>
          </w:p>
          <w:p w14:paraId="1DF5AD74">
            <w:pPr>
              <w:spacing w:line="241" w:lineRule="auto"/>
              <w:rPr>
                <w:rFonts w:ascii="Times New Roman" w:hAnsi="Times New Roman" w:cs="Times New Roman"/>
                <w:color w:val="auto"/>
                <w:sz w:val="21"/>
              </w:rPr>
            </w:pPr>
          </w:p>
          <w:p w14:paraId="761492AE">
            <w:pPr>
              <w:spacing w:line="241" w:lineRule="auto"/>
              <w:rPr>
                <w:rFonts w:ascii="Times New Roman" w:hAnsi="Times New Roman" w:cs="Times New Roman"/>
                <w:color w:val="auto"/>
                <w:sz w:val="21"/>
              </w:rPr>
            </w:pPr>
          </w:p>
          <w:p w14:paraId="76606D17">
            <w:pPr>
              <w:spacing w:line="241" w:lineRule="auto"/>
              <w:rPr>
                <w:rFonts w:ascii="Times New Roman" w:hAnsi="Times New Roman" w:cs="Times New Roman"/>
                <w:color w:val="auto"/>
                <w:sz w:val="21"/>
              </w:rPr>
            </w:pPr>
          </w:p>
          <w:p w14:paraId="151ED122">
            <w:pPr>
              <w:pStyle w:val="25"/>
              <w:spacing w:before="82" w:line="220" w:lineRule="auto"/>
              <w:ind w:left="3275"/>
              <w:rPr>
                <w:rFonts w:ascii="Times New Roman" w:hAnsi="Times New Roman" w:cs="Times New Roman"/>
                <w:color w:val="auto"/>
                <w:sz w:val="25"/>
                <w:szCs w:val="25"/>
              </w:rPr>
            </w:pPr>
            <w:r>
              <w:rPr>
                <w:rFonts w:ascii="Times New Roman" w:hAnsi="Times New Roman" w:cs="Times New Roman"/>
                <w:color w:val="auto"/>
                <w:spacing w:val="53"/>
                <w:sz w:val="25"/>
                <w:szCs w:val="25"/>
                <w:lang w:eastAsia="zh-CN"/>
              </w:rPr>
              <w:t>发包</w:t>
            </w:r>
            <w:r>
              <w:rPr>
                <w:rFonts w:ascii="Times New Roman" w:hAnsi="Times New Roman" w:cs="Times New Roman"/>
                <w:color w:val="auto"/>
                <w:spacing w:val="53"/>
                <w:sz w:val="25"/>
                <w:szCs w:val="25"/>
              </w:rPr>
              <w:t xml:space="preserve"> </w:t>
            </w:r>
            <w:r>
              <w:rPr>
                <w:rFonts w:ascii="Times New Roman" w:hAnsi="Times New Roman" w:cs="Times New Roman"/>
                <w:color w:val="auto"/>
                <w:spacing w:val="-9"/>
                <w:sz w:val="25"/>
                <w:szCs w:val="25"/>
              </w:rPr>
              <w:t>工</w:t>
            </w:r>
            <w:r>
              <w:rPr>
                <w:rFonts w:ascii="Times New Roman" w:hAnsi="Times New Roman" w:cs="Times New Roman"/>
                <w:color w:val="auto"/>
                <w:spacing w:val="49"/>
                <w:sz w:val="25"/>
                <w:szCs w:val="25"/>
              </w:rPr>
              <w:t xml:space="preserve"> </w:t>
            </w:r>
            <w:r>
              <w:rPr>
                <w:rFonts w:ascii="Times New Roman" w:hAnsi="Times New Roman" w:cs="Times New Roman"/>
                <w:color w:val="auto"/>
                <w:spacing w:val="-9"/>
                <w:sz w:val="25"/>
                <w:szCs w:val="25"/>
              </w:rPr>
              <w:t>程</w:t>
            </w:r>
            <w:r>
              <w:rPr>
                <w:rFonts w:ascii="Times New Roman" w:hAnsi="Times New Roman" w:cs="Times New Roman"/>
                <w:color w:val="auto"/>
                <w:spacing w:val="50"/>
                <w:sz w:val="25"/>
                <w:szCs w:val="25"/>
              </w:rPr>
              <w:t xml:space="preserve"> </w:t>
            </w:r>
            <w:r>
              <w:rPr>
                <w:rFonts w:ascii="Times New Roman" w:hAnsi="Times New Roman" w:cs="Times New Roman"/>
                <w:color w:val="auto"/>
                <w:spacing w:val="-9"/>
                <w:sz w:val="25"/>
                <w:szCs w:val="25"/>
              </w:rPr>
              <w:t>量</w:t>
            </w:r>
            <w:r>
              <w:rPr>
                <w:rFonts w:ascii="Times New Roman" w:hAnsi="Times New Roman" w:cs="Times New Roman"/>
                <w:color w:val="auto"/>
                <w:spacing w:val="50"/>
                <w:sz w:val="25"/>
                <w:szCs w:val="25"/>
              </w:rPr>
              <w:t xml:space="preserve"> </w:t>
            </w:r>
            <w:r>
              <w:rPr>
                <w:rFonts w:ascii="Times New Roman" w:hAnsi="Times New Roman" w:cs="Times New Roman"/>
                <w:color w:val="auto"/>
                <w:spacing w:val="-9"/>
                <w:sz w:val="25"/>
                <w:szCs w:val="25"/>
              </w:rPr>
              <w:t>清</w:t>
            </w:r>
            <w:r>
              <w:rPr>
                <w:rFonts w:ascii="Times New Roman" w:hAnsi="Times New Roman" w:cs="Times New Roman"/>
                <w:color w:val="auto"/>
                <w:spacing w:val="52"/>
                <w:sz w:val="25"/>
                <w:szCs w:val="25"/>
              </w:rPr>
              <w:t xml:space="preserve"> </w:t>
            </w:r>
            <w:r>
              <w:rPr>
                <w:rFonts w:ascii="Times New Roman" w:hAnsi="Times New Roman" w:cs="Times New Roman"/>
                <w:color w:val="auto"/>
                <w:spacing w:val="-9"/>
                <w:sz w:val="25"/>
                <w:szCs w:val="25"/>
              </w:rPr>
              <w:t>单</w:t>
            </w:r>
          </w:p>
        </w:tc>
      </w:tr>
      <w:tr w14:paraId="318B0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6" w:hRule="atLeast"/>
        </w:trPr>
        <w:tc>
          <w:tcPr>
            <w:tcW w:w="4248" w:type="dxa"/>
            <w:tcBorders>
              <w:top w:val="nil"/>
              <w:bottom w:val="nil"/>
              <w:right w:val="nil"/>
            </w:tcBorders>
          </w:tcPr>
          <w:p w14:paraId="7AB047D7">
            <w:pPr>
              <w:spacing w:line="251" w:lineRule="auto"/>
              <w:rPr>
                <w:rFonts w:ascii="Times New Roman" w:hAnsi="Times New Roman" w:cs="Times New Roman"/>
                <w:color w:val="auto"/>
                <w:sz w:val="21"/>
              </w:rPr>
            </w:pPr>
          </w:p>
          <w:p w14:paraId="6F92A1DE">
            <w:pPr>
              <w:spacing w:line="253" w:lineRule="auto"/>
              <w:rPr>
                <w:rFonts w:ascii="Times New Roman" w:hAnsi="Times New Roman" w:cs="Times New Roman"/>
                <w:color w:val="auto"/>
                <w:sz w:val="21"/>
              </w:rPr>
            </w:pPr>
          </w:p>
          <w:p w14:paraId="6741C59C">
            <w:pPr>
              <w:pStyle w:val="25"/>
              <w:spacing w:before="81" w:line="220" w:lineRule="auto"/>
              <w:ind w:left="95"/>
              <w:rPr>
                <w:rFonts w:ascii="Times New Roman" w:hAnsi="Times New Roman" w:cs="Times New Roman"/>
                <w:color w:val="auto"/>
                <w:sz w:val="25"/>
                <w:szCs w:val="25"/>
                <w:lang w:eastAsia="zh-CN"/>
              </w:rPr>
            </w:pPr>
            <w:r>
              <w:rPr>
                <w:rFonts w:ascii="Times New Roman" w:hAnsi="Times New Roman" w:cs="Times New Roman"/>
                <w:color w:val="auto"/>
                <w:spacing w:val="37"/>
                <w:sz w:val="25"/>
                <w:szCs w:val="25"/>
                <w:lang w:eastAsia="zh-CN"/>
              </w:rPr>
              <w:t xml:space="preserve">发 包 </w:t>
            </w:r>
            <w:r>
              <w:rPr>
                <w:rFonts w:ascii="Times New Roman" w:hAnsi="Times New Roman" w:cs="Times New Roman"/>
                <w:color w:val="auto"/>
                <w:spacing w:val="-13"/>
                <w:sz w:val="25"/>
                <w:szCs w:val="25"/>
                <w:lang w:eastAsia="zh-CN"/>
              </w:rPr>
              <w:t>人：</w:t>
            </w:r>
          </w:p>
          <w:p w14:paraId="06324217">
            <w:pPr>
              <w:pStyle w:val="25"/>
              <w:spacing w:before="139" w:line="219" w:lineRule="auto"/>
              <w:ind w:left="1665"/>
              <w:rPr>
                <w:rFonts w:ascii="Times New Roman" w:hAnsi="Times New Roman" w:cs="Times New Roman"/>
                <w:color w:val="auto"/>
                <w:sz w:val="25"/>
                <w:szCs w:val="25"/>
                <w:lang w:eastAsia="zh-CN"/>
              </w:rPr>
            </w:pPr>
            <w:r>
              <w:rPr>
                <w:rFonts w:ascii="Times New Roman" w:hAnsi="Times New Roman" w:cs="Times New Roman"/>
                <w:color w:val="auto"/>
                <w:spacing w:val="9"/>
                <w:sz w:val="25"/>
                <w:szCs w:val="25"/>
                <w:lang w:eastAsia="zh-CN"/>
              </w:rPr>
              <w:t>(单位盖章)</w:t>
            </w:r>
          </w:p>
          <w:p w14:paraId="57B83902">
            <w:pPr>
              <w:spacing w:line="309" w:lineRule="auto"/>
              <w:rPr>
                <w:rFonts w:ascii="Times New Roman" w:hAnsi="Times New Roman" w:cs="Times New Roman"/>
                <w:color w:val="auto"/>
                <w:sz w:val="21"/>
              </w:rPr>
            </w:pPr>
          </w:p>
          <w:p w14:paraId="4CF062CD">
            <w:pPr>
              <w:spacing w:line="309" w:lineRule="auto"/>
              <w:rPr>
                <w:rFonts w:ascii="Times New Roman" w:hAnsi="Times New Roman" w:cs="Times New Roman"/>
                <w:color w:val="auto"/>
                <w:sz w:val="21"/>
              </w:rPr>
            </w:pPr>
          </w:p>
          <w:p w14:paraId="62E40153">
            <w:pPr>
              <w:spacing w:line="309" w:lineRule="auto"/>
              <w:rPr>
                <w:rFonts w:ascii="Times New Roman" w:hAnsi="Times New Roman" w:cs="Times New Roman"/>
                <w:color w:val="auto"/>
                <w:sz w:val="21"/>
              </w:rPr>
            </w:pPr>
          </w:p>
          <w:p w14:paraId="09F3FCAF">
            <w:pPr>
              <w:pStyle w:val="25"/>
              <w:spacing w:before="82" w:line="319" w:lineRule="auto"/>
              <w:ind w:left="115" w:right="2632" w:hanging="10"/>
              <w:rPr>
                <w:rFonts w:ascii="Times New Roman" w:hAnsi="Times New Roman" w:cs="Times New Roman"/>
                <w:color w:val="auto"/>
                <w:sz w:val="25"/>
                <w:szCs w:val="25"/>
                <w:lang w:eastAsia="zh-CN"/>
              </w:rPr>
            </w:pPr>
            <w:r>
              <w:rPr>
                <w:rFonts w:ascii="Times New Roman" w:hAnsi="Times New Roman" w:cs="Times New Roman"/>
                <w:color w:val="auto"/>
                <w:spacing w:val="2"/>
                <w:sz w:val="25"/>
                <w:szCs w:val="25"/>
                <w:lang w:eastAsia="zh-CN"/>
              </w:rPr>
              <w:t>法定代表人</w:t>
            </w:r>
            <w:r>
              <w:rPr>
                <w:rFonts w:ascii="Times New Roman" w:hAnsi="Times New Roman" w:cs="Times New Roman"/>
                <w:color w:val="auto"/>
                <w:sz w:val="25"/>
                <w:szCs w:val="25"/>
                <w:lang w:eastAsia="zh-CN"/>
              </w:rPr>
              <w:t xml:space="preserve">   </w:t>
            </w:r>
            <w:r>
              <w:rPr>
                <w:rFonts w:ascii="Times New Roman" w:hAnsi="Times New Roman" w:cs="Times New Roman"/>
                <w:color w:val="auto"/>
                <w:spacing w:val="-1"/>
                <w:sz w:val="25"/>
                <w:szCs w:val="25"/>
                <w:lang w:eastAsia="zh-CN"/>
              </w:rPr>
              <w:t>或其授权人：</w:t>
            </w:r>
          </w:p>
          <w:p w14:paraId="29B53F57">
            <w:pPr>
              <w:pStyle w:val="25"/>
              <w:spacing w:before="4" w:line="219" w:lineRule="auto"/>
              <w:ind w:left="1665"/>
              <w:rPr>
                <w:rFonts w:ascii="Times New Roman" w:hAnsi="Times New Roman" w:cs="Times New Roman"/>
                <w:color w:val="auto"/>
                <w:sz w:val="25"/>
                <w:szCs w:val="25"/>
              </w:rPr>
            </w:pPr>
            <w:r>
              <w:rPr>
                <w:rFonts w:ascii="Times New Roman" w:hAnsi="Times New Roman" w:cs="Times New Roman"/>
                <w:color w:val="auto"/>
                <w:spacing w:val="7"/>
                <w:sz w:val="25"/>
                <w:szCs w:val="25"/>
              </w:rPr>
              <w:t>(签字或盖章)</w:t>
            </w:r>
          </w:p>
        </w:tc>
        <w:tc>
          <w:tcPr>
            <w:tcW w:w="5022" w:type="dxa"/>
            <w:tcBorders>
              <w:top w:val="nil"/>
              <w:left w:val="nil"/>
              <w:bottom w:val="nil"/>
            </w:tcBorders>
          </w:tcPr>
          <w:p w14:paraId="414ADC1B">
            <w:pPr>
              <w:spacing w:line="251" w:lineRule="auto"/>
              <w:rPr>
                <w:rFonts w:ascii="Times New Roman" w:hAnsi="Times New Roman" w:cs="Times New Roman"/>
                <w:color w:val="auto"/>
                <w:sz w:val="21"/>
              </w:rPr>
            </w:pPr>
          </w:p>
          <w:p w14:paraId="58A0744D">
            <w:pPr>
              <w:spacing w:line="251" w:lineRule="auto"/>
              <w:rPr>
                <w:rFonts w:ascii="Times New Roman" w:hAnsi="Times New Roman" w:cs="Times New Roman"/>
                <w:color w:val="auto"/>
                <w:sz w:val="21"/>
              </w:rPr>
            </w:pPr>
          </w:p>
          <w:p w14:paraId="42274F26">
            <w:pPr>
              <w:pStyle w:val="25"/>
              <w:spacing w:before="82" w:line="218" w:lineRule="auto"/>
              <w:ind w:left="1022"/>
              <w:rPr>
                <w:rFonts w:ascii="Times New Roman" w:hAnsi="Times New Roman" w:cs="Times New Roman"/>
                <w:color w:val="auto"/>
                <w:sz w:val="25"/>
                <w:szCs w:val="25"/>
                <w:lang w:eastAsia="zh-CN"/>
              </w:rPr>
            </w:pPr>
            <w:r>
              <w:rPr>
                <w:rFonts w:ascii="Times New Roman" w:hAnsi="Times New Roman" w:cs="Times New Roman"/>
                <w:color w:val="auto"/>
                <w:spacing w:val="-1"/>
                <w:sz w:val="25"/>
                <w:szCs w:val="25"/>
                <w:lang w:eastAsia="zh-CN"/>
              </w:rPr>
              <w:t>造价咨询人：</w:t>
            </w:r>
          </w:p>
          <w:p w14:paraId="706D5165">
            <w:pPr>
              <w:pStyle w:val="25"/>
              <w:spacing w:before="145" w:line="219" w:lineRule="auto"/>
              <w:ind w:left="2582"/>
              <w:rPr>
                <w:rFonts w:ascii="Times New Roman" w:hAnsi="Times New Roman" w:cs="Times New Roman"/>
                <w:color w:val="auto"/>
                <w:sz w:val="25"/>
                <w:szCs w:val="25"/>
                <w:lang w:eastAsia="zh-CN"/>
              </w:rPr>
            </w:pPr>
            <w:r>
              <w:rPr>
                <w:rFonts w:ascii="Times New Roman" w:hAnsi="Times New Roman" w:cs="Times New Roman"/>
                <w:color w:val="auto"/>
                <w:spacing w:val="9"/>
                <w:sz w:val="25"/>
                <w:szCs w:val="25"/>
                <w:lang w:eastAsia="zh-CN"/>
              </w:rPr>
              <w:t>(单位盖章)</w:t>
            </w:r>
          </w:p>
          <w:p w14:paraId="42FC8610">
            <w:pPr>
              <w:spacing w:line="312" w:lineRule="auto"/>
              <w:rPr>
                <w:rFonts w:ascii="Times New Roman" w:hAnsi="Times New Roman" w:cs="Times New Roman"/>
                <w:color w:val="auto"/>
                <w:sz w:val="21"/>
              </w:rPr>
            </w:pPr>
          </w:p>
          <w:p w14:paraId="62862642">
            <w:pPr>
              <w:spacing w:line="313" w:lineRule="auto"/>
              <w:rPr>
                <w:rFonts w:ascii="Times New Roman" w:hAnsi="Times New Roman" w:cs="Times New Roman"/>
                <w:color w:val="auto"/>
                <w:sz w:val="21"/>
              </w:rPr>
            </w:pPr>
          </w:p>
          <w:p w14:paraId="476EE4F3">
            <w:pPr>
              <w:spacing w:line="313" w:lineRule="auto"/>
              <w:rPr>
                <w:rFonts w:ascii="Times New Roman" w:hAnsi="Times New Roman" w:cs="Times New Roman"/>
                <w:color w:val="auto"/>
                <w:sz w:val="21"/>
              </w:rPr>
            </w:pPr>
          </w:p>
          <w:p w14:paraId="46DBE2AD">
            <w:pPr>
              <w:pStyle w:val="25"/>
              <w:spacing w:before="81" w:line="304" w:lineRule="auto"/>
              <w:ind w:left="1512" w:right="2009" w:hanging="10"/>
              <w:rPr>
                <w:rFonts w:ascii="Times New Roman" w:hAnsi="Times New Roman" w:cs="Times New Roman"/>
                <w:color w:val="auto"/>
                <w:sz w:val="25"/>
                <w:szCs w:val="25"/>
                <w:lang w:eastAsia="zh-CN"/>
              </w:rPr>
            </w:pPr>
            <w:r>
              <w:rPr>
                <w:rFonts w:ascii="Times New Roman" w:hAnsi="Times New Roman" w:cs="Times New Roman"/>
                <w:color w:val="auto"/>
                <w:spacing w:val="2"/>
                <w:sz w:val="25"/>
                <w:szCs w:val="25"/>
                <w:lang w:eastAsia="zh-CN"/>
              </w:rPr>
              <w:t>法定代表人</w:t>
            </w:r>
            <w:r>
              <w:rPr>
                <w:rFonts w:ascii="Times New Roman" w:hAnsi="Times New Roman" w:cs="Times New Roman"/>
                <w:color w:val="auto"/>
                <w:sz w:val="25"/>
                <w:szCs w:val="25"/>
                <w:lang w:eastAsia="zh-CN"/>
              </w:rPr>
              <w:t xml:space="preserve">   </w:t>
            </w:r>
            <w:r>
              <w:rPr>
                <w:rFonts w:ascii="Times New Roman" w:hAnsi="Times New Roman" w:cs="Times New Roman"/>
                <w:color w:val="auto"/>
                <w:spacing w:val="-1"/>
                <w:sz w:val="25"/>
                <w:szCs w:val="25"/>
                <w:lang w:eastAsia="zh-CN"/>
              </w:rPr>
              <w:t>或其授权人：</w:t>
            </w:r>
          </w:p>
          <w:p w14:paraId="7E199BA2">
            <w:pPr>
              <w:pStyle w:val="25"/>
              <w:spacing w:before="34" w:line="219" w:lineRule="auto"/>
              <w:ind w:left="2702"/>
              <w:rPr>
                <w:rFonts w:ascii="Times New Roman" w:hAnsi="Times New Roman" w:cs="Times New Roman"/>
                <w:color w:val="auto"/>
                <w:sz w:val="25"/>
                <w:szCs w:val="25"/>
              </w:rPr>
            </w:pPr>
            <w:r>
              <w:rPr>
                <w:rFonts w:ascii="Times New Roman" w:hAnsi="Times New Roman" w:cs="Times New Roman"/>
                <w:color w:val="auto"/>
                <w:spacing w:val="7"/>
                <w:sz w:val="25"/>
                <w:szCs w:val="25"/>
              </w:rPr>
              <w:t>(签字或盖章)</w:t>
            </w:r>
          </w:p>
        </w:tc>
      </w:tr>
      <w:tr w14:paraId="12AC5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9270" w:type="dxa"/>
            <w:gridSpan w:val="2"/>
            <w:tcBorders>
              <w:top w:val="nil"/>
            </w:tcBorders>
          </w:tcPr>
          <w:p w14:paraId="1976EC52">
            <w:pPr>
              <w:spacing w:line="459" w:lineRule="auto"/>
              <w:rPr>
                <w:rFonts w:ascii="Times New Roman" w:hAnsi="Times New Roman" w:cs="Times New Roman"/>
                <w:color w:val="auto"/>
                <w:sz w:val="21"/>
              </w:rPr>
            </w:pPr>
          </w:p>
          <w:p w14:paraId="567AB61C">
            <w:pPr>
              <w:pStyle w:val="25"/>
              <w:spacing w:before="82" w:line="226" w:lineRule="auto"/>
              <w:ind w:left="105"/>
              <w:rPr>
                <w:rFonts w:ascii="Times New Roman" w:hAnsi="Times New Roman" w:cs="Times New Roman"/>
                <w:color w:val="auto"/>
                <w:sz w:val="25"/>
                <w:szCs w:val="25"/>
                <w:lang w:eastAsia="zh-CN"/>
              </w:rPr>
            </w:pPr>
            <w:r>
              <w:rPr>
                <w:rFonts w:ascii="Times New Roman" w:hAnsi="Times New Roman" w:cs="Times New Roman"/>
                <w:color w:val="auto"/>
                <w:spacing w:val="-6"/>
                <w:sz w:val="25"/>
                <w:szCs w:val="25"/>
                <w:lang w:eastAsia="zh-CN"/>
              </w:rPr>
              <w:t>编</w:t>
            </w:r>
            <w:r>
              <w:rPr>
                <w:rFonts w:ascii="Times New Roman" w:hAnsi="Times New Roman" w:cs="Times New Roman"/>
                <w:color w:val="auto"/>
                <w:spacing w:val="20"/>
                <w:sz w:val="25"/>
                <w:szCs w:val="25"/>
                <w:lang w:eastAsia="zh-CN"/>
              </w:rPr>
              <w:t xml:space="preserve">  </w:t>
            </w:r>
            <w:r>
              <w:rPr>
                <w:rFonts w:ascii="Times New Roman" w:hAnsi="Times New Roman" w:cs="Times New Roman"/>
                <w:color w:val="auto"/>
                <w:spacing w:val="-6"/>
                <w:sz w:val="25"/>
                <w:szCs w:val="25"/>
                <w:lang w:eastAsia="zh-CN"/>
              </w:rPr>
              <w:t>制</w:t>
            </w:r>
            <w:r>
              <w:rPr>
                <w:rFonts w:ascii="Times New Roman" w:hAnsi="Times New Roman" w:cs="Times New Roman"/>
                <w:color w:val="auto"/>
                <w:spacing w:val="20"/>
                <w:sz w:val="25"/>
                <w:szCs w:val="25"/>
                <w:lang w:eastAsia="zh-CN"/>
              </w:rPr>
              <w:t xml:space="preserve">  </w:t>
            </w:r>
            <w:r>
              <w:rPr>
                <w:rFonts w:ascii="Times New Roman" w:hAnsi="Times New Roman" w:cs="Times New Roman"/>
                <w:color w:val="auto"/>
                <w:spacing w:val="-6"/>
                <w:sz w:val="25"/>
                <w:szCs w:val="25"/>
                <w:lang w:eastAsia="zh-CN"/>
              </w:rPr>
              <w:t>人：                               复</w:t>
            </w:r>
            <w:r>
              <w:rPr>
                <w:rFonts w:ascii="Times New Roman" w:hAnsi="Times New Roman" w:cs="Times New Roman"/>
                <w:color w:val="auto"/>
                <w:spacing w:val="41"/>
                <w:sz w:val="25"/>
                <w:szCs w:val="25"/>
                <w:lang w:eastAsia="zh-CN"/>
              </w:rPr>
              <w:t xml:space="preserve"> </w:t>
            </w:r>
            <w:r>
              <w:rPr>
                <w:rFonts w:ascii="Times New Roman" w:hAnsi="Times New Roman" w:cs="Times New Roman"/>
                <w:color w:val="auto"/>
                <w:spacing w:val="-6"/>
                <w:sz w:val="25"/>
                <w:szCs w:val="25"/>
                <w:lang w:eastAsia="zh-CN"/>
              </w:rPr>
              <w:t>核</w:t>
            </w:r>
            <w:r>
              <w:rPr>
                <w:rFonts w:ascii="Times New Roman" w:hAnsi="Times New Roman" w:cs="Times New Roman"/>
                <w:color w:val="auto"/>
                <w:spacing w:val="39"/>
                <w:sz w:val="25"/>
                <w:szCs w:val="25"/>
                <w:lang w:eastAsia="zh-CN"/>
              </w:rPr>
              <w:t xml:space="preserve"> </w:t>
            </w:r>
            <w:r>
              <w:rPr>
                <w:rFonts w:ascii="Times New Roman" w:hAnsi="Times New Roman" w:cs="Times New Roman"/>
                <w:color w:val="auto"/>
                <w:spacing w:val="-6"/>
                <w:sz w:val="25"/>
                <w:szCs w:val="25"/>
                <w:lang w:eastAsia="zh-CN"/>
              </w:rPr>
              <w:t>人：</w:t>
            </w:r>
          </w:p>
          <w:p w14:paraId="63D1DCD3">
            <w:pPr>
              <w:pStyle w:val="25"/>
              <w:spacing w:before="131" w:line="225" w:lineRule="auto"/>
              <w:ind w:left="1205"/>
              <w:rPr>
                <w:rFonts w:ascii="Times New Roman" w:hAnsi="Times New Roman" w:cs="Times New Roman"/>
                <w:color w:val="auto"/>
                <w:sz w:val="25"/>
                <w:szCs w:val="25"/>
                <w:lang w:eastAsia="zh-CN"/>
              </w:rPr>
            </w:pPr>
            <w:r>
              <w:rPr>
                <w:rFonts w:ascii="Times New Roman" w:hAnsi="Times New Roman" w:cs="Times New Roman"/>
                <w:color w:val="auto"/>
                <w:spacing w:val="5"/>
                <w:sz w:val="25"/>
                <w:szCs w:val="25"/>
                <w:lang w:eastAsia="zh-CN"/>
              </w:rPr>
              <w:t>(造价工程师签字盖专用章)              (造价工程师签字盖专用章)</w:t>
            </w:r>
          </w:p>
          <w:p w14:paraId="57025703">
            <w:pPr>
              <w:spacing w:line="260" w:lineRule="auto"/>
              <w:rPr>
                <w:rFonts w:ascii="Times New Roman" w:hAnsi="Times New Roman" w:cs="Times New Roman"/>
                <w:color w:val="auto"/>
                <w:sz w:val="21"/>
              </w:rPr>
            </w:pPr>
          </w:p>
          <w:p w14:paraId="7A5E77A5">
            <w:pPr>
              <w:spacing w:line="260" w:lineRule="auto"/>
              <w:rPr>
                <w:rFonts w:ascii="Times New Roman" w:hAnsi="Times New Roman" w:cs="Times New Roman"/>
                <w:color w:val="auto"/>
                <w:sz w:val="21"/>
              </w:rPr>
            </w:pPr>
          </w:p>
          <w:p w14:paraId="010926E3">
            <w:pPr>
              <w:spacing w:line="261" w:lineRule="auto"/>
              <w:rPr>
                <w:rFonts w:ascii="Times New Roman" w:hAnsi="Times New Roman" w:cs="Times New Roman"/>
                <w:color w:val="auto"/>
                <w:sz w:val="21"/>
              </w:rPr>
            </w:pPr>
          </w:p>
          <w:p w14:paraId="5BB8BFF8">
            <w:pPr>
              <w:pStyle w:val="25"/>
              <w:spacing w:before="81" w:line="219" w:lineRule="auto"/>
              <w:ind w:left="95"/>
              <w:rPr>
                <w:rFonts w:ascii="Times New Roman" w:hAnsi="Times New Roman" w:cs="Times New Roman"/>
                <w:color w:val="auto"/>
                <w:sz w:val="25"/>
                <w:szCs w:val="25"/>
                <w:lang w:eastAsia="zh-CN"/>
              </w:rPr>
            </w:pPr>
            <w:r>
              <w:rPr>
                <w:rFonts w:ascii="Times New Roman" w:hAnsi="Times New Roman" w:cs="Times New Roman"/>
                <w:color w:val="auto"/>
                <w:spacing w:val="-5"/>
                <w:sz w:val="25"/>
                <w:szCs w:val="25"/>
                <w:lang w:eastAsia="zh-CN"/>
              </w:rPr>
              <w:t>编制时间：  年</w:t>
            </w:r>
            <w:r>
              <w:rPr>
                <w:rFonts w:ascii="Times New Roman" w:hAnsi="Times New Roman" w:cs="Times New Roman"/>
                <w:color w:val="auto"/>
                <w:spacing w:val="20"/>
                <w:sz w:val="25"/>
                <w:szCs w:val="25"/>
                <w:lang w:eastAsia="zh-CN"/>
              </w:rPr>
              <w:t xml:space="preserve">  </w:t>
            </w:r>
            <w:r>
              <w:rPr>
                <w:rFonts w:ascii="Times New Roman" w:hAnsi="Times New Roman" w:cs="Times New Roman"/>
                <w:color w:val="auto"/>
                <w:spacing w:val="-5"/>
                <w:sz w:val="25"/>
                <w:szCs w:val="25"/>
                <w:lang w:eastAsia="zh-CN"/>
              </w:rPr>
              <w:t>月</w:t>
            </w:r>
            <w:r>
              <w:rPr>
                <w:rFonts w:ascii="Times New Roman" w:hAnsi="Times New Roman" w:cs="Times New Roman"/>
                <w:color w:val="auto"/>
                <w:spacing w:val="33"/>
                <w:sz w:val="25"/>
                <w:szCs w:val="25"/>
                <w:lang w:eastAsia="zh-CN"/>
              </w:rPr>
              <w:t xml:space="preserve">  </w:t>
            </w:r>
            <w:r>
              <w:rPr>
                <w:rFonts w:ascii="Times New Roman" w:hAnsi="Times New Roman" w:cs="Times New Roman"/>
                <w:color w:val="auto"/>
                <w:spacing w:val="-5"/>
                <w:sz w:val="25"/>
                <w:szCs w:val="25"/>
                <w:lang w:eastAsia="zh-CN"/>
              </w:rPr>
              <w:t>日</w:t>
            </w:r>
            <w:r>
              <w:rPr>
                <w:rFonts w:ascii="Times New Roman" w:hAnsi="Times New Roman" w:cs="Times New Roman"/>
                <w:color w:val="auto"/>
                <w:spacing w:val="6"/>
                <w:sz w:val="25"/>
                <w:szCs w:val="25"/>
                <w:lang w:eastAsia="zh-CN"/>
              </w:rPr>
              <w:t xml:space="preserve">                  </w:t>
            </w:r>
            <w:r>
              <w:rPr>
                <w:rFonts w:ascii="Times New Roman" w:hAnsi="Times New Roman" w:cs="Times New Roman"/>
                <w:color w:val="auto"/>
                <w:spacing w:val="-5"/>
                <w:sz w:val="25"/>
                <w:szCs w:val="25"/>
                <w:lang w:eastAsia="zh-CN"/>
              </w:rPr>
              <w:t>编制时间：</w:t>
            </w:r>
            <w:r>
              <w:rPr>
                <w:rFonts w:ascii="Times New Roman" w:hAnsi="Times New Roman" w:cs="Times New Roman"/>
                <w:color w:val="auto"/>
                <w:spacing w:val="19"/>
                <w:sz w:val="25"/>
                <w:szCs w:val="25"/>
                <w:lang w:eastAsia="zh-CN"/>
              </w:rPr>
              <w:t xml:space="preserve">  </w:t>
            </w:r>
            <w:r>
              <w:rPr>
                <w:rFonts w:ascii="Times New Roman" w:hAnsi="Times New Roman" w:cs="Times New Roman"/>
                <w:color w:val="auto"/>
                <w:spacing w:val="-5"/>
                <w:sz w:val="25"/>
                <w:szCs w:val="25"/>
                <w:lang w:eastAsia="zh-CN"/>
              </w:rPr>
              <w:t>年</w:t>
            </w:r>
            <w:r>
              <w:rPr>
                <w:rFonts w:ascii="Times New Roman" w:hAnsi="Times New Roman" w:cs="Times New Roman"/>
                <w:color w:val="auto"/>
                <w:spacing w:val="14"/>
                <w:sz w:val="25"/>
                <w:szCs w:val="25"/>
                <w:lang w:eastAsia="zh-CN"/>
              </w:rPr>
              <w:t xml:space="preserve">  </w:t>
            </w:r>
            <w:r>
              <w:rPr>
                <w:rFonts w:ascii="Times New Roman" w:hAnsi="Times New Roman" w:cs="Times New Roman"/>
                <w:color w:val="auto"/>
                <w:spacing w:val="-5"/>
                <w:sz w:val="25"/>
                <w:szCs w:val="25"/>
                <w:lang w:eastAsia="zh-CN"/>
              </w:rPr>
              <w:t>月</w:t>
            </w:r>
            <w:r>
              <w:rPr>
                <w:rFonts w:ascii="Times New Roman" w:hAnsi="Times New Roman" w:cs="Times New Roman"/>
                <w:color w:val="auto"/>
                <w:spacing w:val="33"/>
                <w:sz w:val="25"/>
                <w:szCs w:val="25"/>
                <w:lang w:eastAsia="zh-CN"/>
              </w:rPr>
              <w:t xml:space="preserve">  </w:t>
            </w:r>
            <w:r>
              <w:rPr>
                <w:rFonts w:ascii="Times New Roman" w:hAnsi="Times New Roman" w:cs="Times New Roman"/>
                <w:color w:val="auto"/>
                <w:spacing w:val="-5"/>
                <w:sz w:val="25"/>
                <w:szCs w:val="25"/>
                <w:lang w:eastAsia="zh-CN"/>
              </w:rPr>
              <w:t>日</w:t>
            </w:r>
          </w:p>
        </w:tc>
      </w:tr>
    </w:tbl>
    <w:p w14:paraId="0CDB92DE">
      <w:pPr>
        <w:pStyle w:val="7"/>
        <w:rPr>
          <w:rFonts w:cs="Times New Roman"/>
          <w:color w:val="auto"/>
        </w:rPr>
      </w:pPr>
    </w:p>
    <w:p w14:paraId="0750DC53">
      <w:pPr>
        <w:rPr>
          <w:rFonts w:ascii="Times New Roman" w:hAnsi="Times New Roman" w:cs="Times New Roman"/>
          <w:color w:val="auto"/>
        </w:rPr>
        <w:sectPr>
          <w:footerReference r:id="rId18" w:type="default"/>
          <w:pgSz w:w="11910" w:h="16840"/>
          <w:pgMar w:top="1440" w:right="1080" w:bottom="1440" w:left="1080" w:header="0" w:footer="679" w:gutter="0"/>
          <w:cols w:space="720" w:num="1"/>
        </w:sectPr>
      </w:pPr>
    </w:p>
    <w:p w14:paraId="76E3AAC0">
      <w:pPr>
        <w:spacing w:before="88" w:line="219" w:lineRule="auto"/>
        <w:rPr>
          <w:rFonts w:ascii="Times New Roman" w:hAnsi="Times New Roman" w:eastAsia="宋体" w:cs="Times New Roman"/>
          <w:color w:val="auto"/>
          <w:sz w:val="27"/>
          <w:szCs w:val="27"/>
        </w:rPr>
      </w:pPr>
      <w:r>
        <w:rPr>
          <w:rFonts w:ascii="Times New Roman" w:hAnsi="Times New Roman" w:eastAsia="宋体" w:cs="Times New Roman"/>
          <w:color w:val="auto"/>
          <w:spacing w:val="8"/>
          <w:sz w:val="27"/>
          <w:szCs w:val="27"/>
        </w:rPr>
        <w:t>附件3:</w:t>
      </w:r>
    </w:p>
    <w:p w14:paraId="778961A2">
      <w:pPr>
        <w:pStyle w:val="7"/>
        <w:spacing w:line="399" w:lineRule="auto"/>
        <w:rPr>
          <w:rFonts w:cs="Times New Roman"/>
          <w:color w:val="auto"/>
        </w:rPr>
      </w:pPr>
    </w:p>
    <w:p w14:paraId="5E2A7983">
      <w:pPr>
        <w:spacing w:before="78" w:line="219" w:lineRule="auto"/>
        <w:ind w:left="4245"/>
        <w:rPr>
          <w:rFonts w:ascii="Times New Roman" w:hAnsi="Times New Roman" w:eastAsia="宋体" w:cs="Times New Roman"/>
          <w:color w:val="auto"/>
          <w:szCs w:val="24"/>
        </w:rPr>
      </w:pPr>
      <w:r>
        <w:rPr>
          <w:rFonts w:ascii="Times New Roman" w:hAnsi="Times New Roman" w:eastAsia="宋体" w:cs="Times New Roman"/>
          <w:color w:val="auto"/>
          <w:spacing w:val="-3"/>
          <w:szCs w:val="24"/>
        </w:rPr>
        <w:t>编制说明</w:t>
      </w:r>
    </w:p>
    <w:p w14:paraId="4A15C965">
      <w:pPr>
        <w:spacing w:before="146" w:line="195" w:lineRule="auto"/>
        <w:ind w:left="25"/>
        <w:rPr>
          <w:rFonts w:ascii="Times New Roman" w:hAnsi="Times New Roman" w:eastAsia="宋体" w:cs="Times New Roman"/>
          <w:color w:val="auto"/>
          <w:sz w:val="25"/>
          <w:szCs w:val="25"/>
        </w:rPr>
      </w:pPr>
      <w:r>
        <w:rPr>
          <w:rFonts w:ascii="Times New Roman" w:hAnsi="Times New Roman" w:eastAsia="宋体" w:cs="Times New Roman"/>
          <w:color w:val="auto"/>
          <w:spacing w:val="-2"/>
          <w:sz w:val="25"/>
          <w:szCs w:val="25"/>
        </w:rPr>
        <w:t>工程名称：</w:t>
      </w:r>
      <w:r>
        <w:rPr>
          <w:rFonts w:ascii="Times New Roman" w:hAnsi="Times New Roman" w:eastAsia="宋体" w:cs="Times New Roman"/>
          <w:color w:val="auto"/>
          <w:spacing w:val="1"/>
          <w:sz w:val="25"/>
          <w:szCs w:val="25"/>
        </w:rPr>
        <w:t xml:space="preserve">                                                </w:t>
      </w:r>
      <w:r>
        <w:rPr>
          <w:rFonts w:ascii="Times New Roman" w:hAnsi="Times New Roman" w:eastAsia="宋体" w:cs="Times New Roman"/>
          <w:color w:val="auto"/>
          <w:spacing w:val="-2"/>
          <w:sz w:val="25"/>
          <w:szCs w:val="25"/>
        </w:rPr>
        <w:t>第</w:t>
      </w:r>
      <w:r>
        <w:rPr>
          <w:rFonts w:ascii="Times New Roman" w:hAnsi="Times New Roman" w:eastAsia="宋体" w:cs="Times New Roman"/>
          <w:color w:val="auto"/>
          <w:spacing w:val="25"/>
          <w:sz w:val="25"/>
          <w:szCs w:val="25"/>
        </w:rPr>
        <w:t xml:space="preserve">  </w:t>
      </w:r>
      <w:r>
        <w:rPr>
          <w:rFonts w:ascii="Times New Roman" w:hAnsi="Times New Roman" w:eastAsia="宋体" w:cs="Times New Roman"/>
          <w:color w:val="auto"/>
          <w:spacing w:val="-2"/>
          <w:sz w:val="25"/>
          <w:szCs w:val="25"/>
        </w:rPr>
        <w:t>页共页</w:t>
      </w:r>
    </w:p>
    <w:tbl>
      <w:tblPr>
        <w:tblStyle w:val="22"/>
        <w:tblW w:w="9290"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290"/>
      </w:tblGrid>
      <w:tr w14:paraId="6FF4AF8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0460" w:hRule="atLeast"/>
        </w:trPr>
        <w:tc>
          <w:tcPr>
            <w:tcW w:w="9290" w:type="dxa"/>
          </w:tcPr>
          <w:p w14:paraId="22BC6ADF">
            <w:pPr>
              <w:spacing w:line="316" w:lineRule="auto"/>
              <w:rPr>
                <w:rFonts w:ascii="Times New Roman" w:hAnsi="Times New Roman" w:cs="Times New Roman"/>
                <w:color w:val="auto"/>
                <w:sz w:val="21"/>
              </w:rPr>
            </w:pPr>
          </w:p>
          <w:p w14:paraId="31D865FC">
            <w:pPr>
              <w:spacing w:line="400" w:lineRule="exact"/>
              <w:rPr>
                <w:rFonts w:ascii="Times New Roman" w:hAnsi="Times New Roman" w:cs="Times New Roman"/>
                <w:color w:val="auto"/>
                <w:szCs w:val="24"/>
              </w:rPr>
            </w:pPr>
          </w:p>
          <w:p w14:paraId="1EF873E1">
            <w:pPr>
              <w:pStyle w:val="25"/>
              <w:snapToGrid/>
              <w:spacing w:line="400" w:lineRule="exact"/>
              <w:ind w:left="125" w:right="240" w:firstLine="499"/>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1.工程概况：建设地址、建筑面积、建筑高度、占地面积、经济指标、层高、层</w:t>
            </w:r>
            <w:r>
              <w:rPr>
                <w:rFonts w:ascii="Times New Roman" w:hAnsi="Times New Roman" w:cs="Times New Roman"/>
                <w:color w:val="auto"/>
                <w:spacing w:val="13"/>
                <w:sz w:val="24"/>
                <w:szCs w:val="24"/>
                <w:lang w:eastAsia="zh-CN"/>
              </w:rPr>
              <w:t xml:space="preserve"> </w:t>
            </w:r>
            <w:r>
              <w:rPr>
                <w:rFonts w:ascii="Times New Roman" w:hAnsi="Times New Roman" w:cs="Times New Roman"/>
                <w:color w:val="auto"/>
                <w:sz w:val="24"/>
                <w:szCs w:val="24"/>
                <w:lang w:eastAsia="zh-CN"/>
              </w:rPr>
              <w:t>数、结构形式、定额(计划)工期、质量目标、施工现场情况、自然地理条件、环境</w:t>
            </w:r>
          </w:p>
          <w:p w14:paraId="2B806000">
            <w:pPr>
              <w:pStyle w:val="25"/>
              <w:snapToGrid/>
              <w:spacing w:line="400" w:lineRule="exact"/>
              <w:ind w:left="115"/>
              <w:rPr>
                <w:rFonts w:ascii="Times New Roman" w:hAnsi="Times New Roman" w:cs="Times New Roman"/>
                <w:color w:val="auto"/>
                <w:sz w:val="24"/>
                <w:szCs w:val="24"/>
                <w:lang w:eastAsia="zh-CN"/>
              </w:rPr>
            </w:pPr>
            <w:r>
              <w:rPr>
                <w:rFonts w:ascii="Times New Roman" w:hAnsi="Times New Roman" w:cs="Times New Roman"/>
                <w:color w:val="auto"/>
                <w:spacing w:val="-1"/>
                <w:sz w:val="24"/>
                <w:szCs w:val="24"/>
                <w:lang w:eastAsia="zh-CN"/>
              </w:rPr>
              <w:t>保护要求等。</w:t>
            </w:r>
          </w:p>
          <w:p w14:paraId="18140DA0">
            <w:pPr>
              <w:pStyle w:val="25"/>
              <w:snapToGrid/>
              <w:spacing w:line="400" w:lineRule="exact"/>
              <w:ind w:left="585"/>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2.编制依据：计价依据、标准与规范、施工图纸、标准图集等。</w:t>
            </w:r>
          </w:p>
          <w:p w14:paraId="5CACFDC0">
            <w:pPr>
              <w:pStyle w:val="25"/>
              <w:snapToGrid/>
              <w:spacing w:line="400" w:lineRule="exact"/>
              <w:ind w:left="585" w:right="3174"/>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3.采用(或经合同双方批准、确认)的施工组织设</w:t>
            </w:r>
            <w:r>
              <w:rPr>
                <w:rFonts w:ascii="Times New Roman" w:hAnsi="Times New Roman" w:cs="Times New Roman"/>
                <w:color w:val="auto"/>
                <w:spacing w:val="-1"/>
                <w:sz w:val="24"/>
                <w:szCs w:val="24"/>
                <w:lang w:eastAsia="zh-CN"/>
              </w:rPr>
              <w:t>计。</w:t>
            </w:r>
            <w:r>
              <w:rPr>
                <w:rFonts w:ascii="Times New Roman" w:hAnsi="Times New Roman" w:cs="Times New Roman"/>
                <w:color w:val="auto"/>
                <w:sz w:val="24"/>
                <w:szCs w:val="24"/>
                <w:lang w:eastAsia="zh-CN"/>
              </w:rPr>
              <w:t xml:space="preserve"> 4.综合单价需(或已)包括的风险因素、范围(幅度</w:t>
            </w:r>
            <w:r>
              <w:rPr>
                <w:rFonts w:ascii="Times New Roman" w:hAnsi="Times New Roman" w:cs="Times New Roman"/>
                <w:color w:val="auto"/>
                <w:spacing w:val="-1"/>
                <w:sz w:val="24"/>
                <w:szCs w:val="24"/>
                <w:lang w:eastAsia="zh-CN"/>
              </w:rPr>
              <w:t>)。</w:t>
            </w:r>
          </w:p>
          <w:p w14:paraId="645D32EA">
            <w:pPr>
              <w:pStyle w:val="25"/>
              <w:snapToGrid/>
              <w:spacing w:line="400" w:lineRule="exact"/>
              <w:ind w:left="585" w:right="5814"/>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5.采用的计价、计税方法。 6.其他需要说明的问题。</w:t>
            </w:r>
          </w:p>
          <w:p w14:paraId="1FA8A771">
            <w:pPr>
              <w:snapToGrid/>
              <w:spacing w:line="400" w:lineRule="exact"/>
              <w:rPr>
                <w:rFonts w:ascii="Times New Roman" w:hAnsi="Times New Roman" w:cs="Times New Roman"/>
                <w:color w:val="auto"/>
                <w:szCs w:val="24"/>
              </w:rPr>
            </w:pPr>
          </w:p>
          <w:p w14:paraId="6BA4EE55">
            <w:pPr>
              <w:snapToGrid/>
              <w:spacing w:line="400" w:lineRule="exact"/>
              <w:rPr>
                <w:rFonts w:ascii="Times New Roman" w:hAnsi="Times New Roman" w:cs="Times New Roman"/>
                <w:color w:val="auto"/>
                <w:szCs w:val="24"/>
              </w:rPr>
            </w:pPr>
          </w:p>
          <w:p w14:paraId="2984F4F8">
            <w:pPr>
              <w:snapToGrid/>
              <w:spacing w:line="400" w:lineRule="exact"/>
              <w:rPr>
                <w:rFonts w:ascii="Times New Roman" w:hAnsi="Times New Roman" w:cs="Times New Roman"/>
                <w:color w:val="auto"/>
                <w:szCs w:val="24"/>
              </w:rPr>
            </w:pPr>
          </w:p>
          <w:p w14:paraId="13BF8F8E">
            <w:pPr>
              <w:snapToGrid/>
              <w:spacing w:line="400" w:lineRule="exact"/>
              <w:rPr>
                <w:rFonts w:ascii="Times New Roman" w:hAnsi="Times New Roman" w:cs="Times New Roman"/>
                <w:color w:val="auto"/>
                <w:szCs w:val="24"/>
              </w:rPr>
            </w:pPr>
          </w:p>
          <w:p w14:paraId="0E482C84">
            <w:pPr>
              <w:pStyle w:val="25"/>
              <w:snapToGrid/>
              <w:spacing w:line="400" w:lineRule="exact"/>
              <w:ind w:left="115"/>
              <w:rPr>
                <w:rFonts w:ascii="Times New Roman" w:hAnsi="Times New Roman" w:cs="Times New Roman"/>
                <w:color w:val="auto"/>
                <w:sz w:val="24"/>
                <w:szCs w:val="24"/>
                <w:lang w:eastAsia="zh-CN"/>
              </w:rPr>
            </w:pPr>
            <w:r>
              <w:rPr>
                <w:rFonts w:ascii="Times New Roman" w:hAnsi="Times New Roman" w:cs="Times New Roman"/>
                <w:color w:val="auto"/>
                <w:spacing w:val="4"/>
                <w:sz w:val="24"/>
                <w:szCs w:val="24"/>
                <w:lang w:eastAsia="zh-CN"/>
              </w:rPr>
              <w:t>注：1.工程概况须根据不同专业工程特征要求进行表述；</w:t>
            </w:r>
          </w:p>
          <w:p w14:paraId="68F8CBF2">
            <w:pPr>
              <w:pStyle w:val="25"/>
              <w:snapToGrid/>
              <w:spacing w:line="400" w:lineRule="exact"/>
              <w:ind w:left="585"/>
              <w:rPr>
                <w:rFonts w:ascii="Times New Roman" w:hAnsi="Times New Roman" w:cs="Times New Roman"/>
                <w:color w:val="auto"/>
                <w:sz w:val="24"/>
                <w:szCs w:val="24"/>
                <w:lang w:eastAsia="zh-CN"/>
              </w:rPr>
            </w:pPr>
            <w:r>
              <w:rPr>
                <w:rFonts w:ascii="Times New Roman" w:hAnsi="Times New Roman" w:cs="Times New Roman"/>
                <w:color w:val="auto"/>
                <w:spacing w:val="4"/>
                <w:sz w:val="24"/>
                <w:szCs w:val="24"/>
                <w:lang w:eastAsia="zh-CN"/>
              </w:rPr>
              <w:t>2.必要时有关工程内容、数量、数据、工程特征等可列表表示；</w:t>
            </w:r>
          </w:p>
          <w:p w14:paraId="5DE077D3">
            <w:pPr>
              <w:pStyle w:val="25"/>
              <w:snapToGrid/>
              <w:spacing w:line="400" w:lineRule="exact"/>
              <w:ind w:left="585"/>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3.不同计价阶段应列明相应阶段涉及量、价、费的计价依据及取定标准。</w:t>
            </w:r>
          </w:p>
        </w:tc>
      </w:tr>
    </w:tbl>
    <w:p w14:paraId="5B9D15A8">
      <w:pPr>
        <w:pStyle w:val="2"/>
        <w:rPr>
          <w:rFonts w:ascii="Times New Roman" w:hAnsi="Times New Roman" w:cs="Times New Roman"/>
          <w:b w:val="0"/>
          <w:bCs w:val="0"/>
          <w:color w:val="auto"/>
          <w:spacing w:val="-5"/>
          <w:kern w:val="0"/>
          <w14:textOutline w14:w="8712" w14:cap="flat" w14:cmpd="sng" w14:algn="ctr">
            <w14:solidFill>
              <w14:srgbClr w14:val="000000"/>
            </w14:solidFill>
            <w14:prstDash w14:val="solid"/>
            <w14:miter w14:val="0"/>
          </w14:textOutline>
        </w:rPr>
        <w:sectPr>
          <w:footerReference r:id="rId19" w:type="default"/>
          <w:pgSz w:w="11906" w:h="16838"/>
          <w:pgMar w:top="1440" w:right="1083" w:bottom="1440" w:left="1083" w:header="850" w:footer="850" w:gutter="0"/>
          <w:cols w:space="0" w:num="1"/>
        </w:sectPr>
      </w:pPr>
    </w:p>
    <w:p w14:paraId="7BE68349">
      <w:pPr>
        <w:pStyle w:val="2"/>
        <w:ind w:left="0" w:firstLine="0"/>
        <w:rPr>
          <w:rFonts w:ascii="Times New Roman" w:hAnsi="Times New Roman" w:cs="Times New Roman"/>
          <w:b w:val="0"/>
          <w:bCs w:val="0"/>
          <w:color w:val="auto"/>
          <w:spacing w:val="-5"/>
          <w:kern w:val="0"/>
          <w14:textOutline w14:w="8712" w14:cap="flat" w14:cmpd="sng" w14:algn="ctr">
            <w14:solidFill>
              <w14:srgbClr w14:val="000000"/>
            </w14:solidFill>
            <w14:prstDash w14:val="solid"/>
            <w14:miter w14:val="0"/>
          </w14:textOutline>
        </w:rPr>
      </w:pPr>
      <w:r>
        <w:rPr>
          <w:rFonts w:ascii="Times New Roman" w:hAnsi="Times New Roman" w:cs="Times New Roman"/>
          <w:b w:val="0"/>
          <w:bCs w:val="0"/>
          <w:color w:val="auto"/>
          <w:spacing w:val="-5"/>
          <w:kern w:val="0"/>
          <w14:textOutline w14:w="8712" w14:cap="flat" w14:cmpd="sng" w14:algn="ctr">
            <w14:solidFill>
              <w14:srgbClr w14:val="000000"/>
            </w14:solidFill>
            <w14:prstDash w14:val="solid"/>
            <w14:miter w14:val="0"/>
          </w14:textOutline>
        </w:rPr>
        <w:t>第六章　图纸</w:t>
      </w:r>
    </w:p>
    <w:p w14:paraId="1B58576E">
      <w:pPr>
        <w:rPr>
          <w:rFonts w:ascii="Times New Roman" w:hAnsi="Times New Roman" w:cs="Times New Roman"/>
          <w:color w:val="auto"/>
        </w:rPr>
      </w:pPr>
    </w:p>
    <w:p w14:paraId="0F4E2703">
      <w:pPr>
        <w:jc w:val="center"/>
        <w:rPr>
          <w:rFonts w:ascii="Times New Roman" w:hAnsi="Times New Roman" w:cs="Times New Roman"/>
          <w:color w:val="auto"/>
        </w:rPr>
        <w:sectPr>
          <w:footerReference r:id="rId20" w:type="default"/>
          <w:pgSz w:w="11906" w:h="16838"/>
          <w:pgMar w:top="1440" w:right="1083" w:bottom="1440" w:left="1083" w:header="850" w:footer="850" w:gutter="0"/>
          <w:cols w:space="0" w:num="1"/>
        </w:sectPr>
      </w:pPr>
      <w:r>
        <w:rPr>
          <w:rFonts w:ascii="Times New Roman" w:hAnsi="Times New Roman" w:cs="Times New Roman"/>
          <w:color w:val="auto"/>
        </w:rPr>
        <w:t>(内容由发包人提供)</w:t>
      </w:r>
    </w:p>
    <w:p w14:paraId="5FD4D42B">
      <w:pPr>
        <w:rPr>
          <w:rFonts w:ascii="Times New Roman" w:hAnsi="Times New Roman" w:cs="Times New Roman"/>
          <w:color w:val="auto"/>
        </w:rPr>
      </w:pPr>
    </w:p>
    <w:p w14:paraId="772C1908">
      <w:pPr>
        <w:pStyle w:val="2"/>
        <w:rPr>
          <w:rFonts w:ascii="Times New Roman" w:hAnsi="Times New Roman" w:cs="Times New Roman"/>
          <w:b w:val="0"/>
          <w:bCs w:val="0"/>
          <w:color w:val="auto"/>
          <w:spacing w:val="-5"/>
          <w:kern w:val="0"/>
          <w14:textOutline w14:w="8712" w14:cap="flat" w14:cmpd="sng" w14:algn="ctr">
            <w14:solidFill>
              <w14:srgbClr w14:val="000000"/>
            </w14:solidFill>
            <w14:prstDash w14:val="solid"/>
            <w14:miter w14:val="0"/>
          </w14:textOutline>
        </w:rPr>
      </w:pPr>
      <w:r>
        <w:rPr>
          <w:rFonts w:ascii="Times New Roman" w:hAnsi="Times New Roman" w:cs="Times New Roman"/>
          <w:b w:val="0"/>
          <w:bCs w:val="0"/>
          <w:color w:val="auto"/>
          <w:spacing w:val="-5"/>
          <w:kern w:val="0"/>
          <w14:textOutline w14:w="8712" w14:cap="flat" w14:cmpd="sng" w14:algn="ctr">
            <w14:solidFill>
              <w14:srgbClr w14:val="000000"/>
            </w14:solidFill>
            <w14:prstDash w14:val="solid"/>
            <w14:miter w14:val="0"/>
          </w14:textOutline>
        </w:rPr>
        <w:t>第七章　技术标准和要求</w:t>
      </w:r>
    </w:p>
    <w:p w14:paraId="58D93BDF">
      <w:pPr>
        <w:keepNext w:val="0"/>
        <w:keepLines w:val="0"/>
        <w:pageBreakBefore w:val="0"/>
        <w:widowControl/>
        <w:kinsoku/>
        <w:wordWrap/>
        <w:overflowPunct/>
        <w:topLinePunct w:val="0"/>
        <w:autoSpaceDE/>
        <w:autoSpaceDN/>
        <w:bidi w:val="0"/>
        <w:adjustRightInd w:val="0"/>
        <w:snapToGrid w:val="0"/>
        <w:spacing w:line="360" w:lineRule="auto"/>
        <w:ind w:left="0" w:leftChars="0" w:firstLine="482" w:firstLineChars="200"/>
        <w:textAlignment w:val="auto"/>
        <w:rPr>
          <w:rFonts w:hint="eastAsia" w:asciiTheme="minorEastAsia" w:hAnsiTheme="minorEastAsia" w:eastAsiaTheme="minorEastAsia" w:cstheme="minorEastAsia"/>
          <w:b/>
          <w:bCs/>
          <w:snapToGrid w:val="0"/>
          <w:color w:val="auto"/>
          <w:kern w:val="0"/>
          <w:sz w:val="24"/>
          <w:szCs w:val="24"/>
          <w:highlight w:val="none"/>
          <w:lang w:val="en-US" w:eastAsia="zh-CN"/>
        </w:rPr>
      </w:pPr>
      <w:r>
        <w:rPr>
          <w:rFonts w:hint="eastAsia" w:asciiTheme="minorEastAsia" w:hAnsiTheme="minorEastAsia" w:eastAsiaTheme="minorEastAsia" w:cstheme="minorEastAsia"/>
          <w:b/>
          <w:bCs/>
          <w:snapToGrid w:val="0"/>
          <w:color w:val="auto"/>
          <w:kern w:val="0"/>
          <w:sz w:val="24"/>
          <w:szCs w:val="24"/>
          <w:highlight w:val="none"/>
          <w:lang w:val="en-US" w:eastAsia="zh-CN"/>
        </w:rPr>
        <w:t>一、采购目的</w:t>
      </w:r>
    </w:p>
    <w:p w14:paraId="7BA0A4BC">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杭州临江环境能源有限公司能源运行中</w:t>
      </w:r>
      <w:r>
        <w:rPr>
          <w:rFonts w:hint="eastAsia" w:asciiTheme="minorEastAsia" w:hAnsiTheme="minorEastAsia" w:eastAsiaTheme="minorEastAsia" w:cstheme="minorEastAsia"/>
          <w:snapToGrid w:val="0"/>
          <w:color w:val="auto"/>
          <w:kern w:val="0"/>
          <w:sz w:val="24"/>
          <w:szCs w:val="24"/>
          <w:highlight w:val="none"/>
          <w:shd w:val="clear" w:color="auto" w:fill="auto"/>
          <w:lang w:val="en-US" w:eastAsia="zh-CN"/>
        </w:rPr>
        <w:t>心南、北区各有3台垃圾吊，</w:t>
      </w:r>
      <w:r>
        <w:rPr>
          <w:rFonts w:hint="eastAsia" w:asciiTheme="minorEastAsia" w:hAnsiTheme="minorEastAsia" w:eastAsiaTheme="minorEastAsia" w:cstheme="minorEastAsia"/>
          <w:snapToGrid w:val="0"/>
          <w:color w:val="auto"/>
          <w:kern w:val="0"/>
          <w:sz w:val="24"/>
          <w:szCs w:val="24"/>
          <w:highlight w:val="none"/>
          <w:lang w:val="en-US" w:eastAsia="zh-CN"/>
        </w:rPr>
        <w:t>使用过程中，轨道在车轮作用力下，出现了大车轨道偏移，车轮与轨道错位，轨道断裂等问题。垃圾吊小车也出现了啃轨、轨道磨损等问题，以上问题，极易导致车轮跑偏、异常振动、车轮卡死、车轮轴承频繁损坏等一系列故障，对焚烧炉正常上料带来较大影响，严重时可能导致上料中断影响正常生产的问题。为保证上料系统的正常稳定，现对存在问题的垃圾吊轨道及车轮进行维修、更换。</w:t>
      </w:r>
    </w:p>
    <w:p w14:paraId="06540C88">
      <w:pPr>
        <w:keepNext w:val="0"/>
        <w:keepLines w:val="0"/>
        <w:pageBreakBefore w:val="0"/>
        <w:widowControl/>
        <w:kinsoku/>
        <w:wordWrap/>
        <w:overflowPunct/>
        <w:topLinePunct w:val="0"/>
        <w:autoSpaceDE/>
        <w:autoSpaceDN/>
        <w:bidi w:val="0"/>
        <w:adjustRightInd w:val="0"/>
        <w:snapToGrid w:val="0"/>
        <w:spacing w:line="360" w:lineRule="auto"/>
        <w:ind w:left="0" w:leftChars="0" w:firstLine="482" w:firstLineChars="200"/>
        <w:textAlignment w:val="auto"/>
        <w:rPr>
          <w:rFonts w:hint="eastAsia" w:asciiTheme="minorEastAsia" w:hAnsiTheme="minorEastAsia" w:eastAsiaTheme="minorEastAsia" w:cstheme="minorEastAsia"/>
          <w:b/>
          <w:bCs/>
          <w:snapToGrid w:val="0"/>
          <w:color w:val="auto"/>
          <w:kern w:val="0"/>
          <w:sz w:val="24"/>
          <w:szCs w:val="24"/>
          <w:highlight w:val="none"/>
          <w:lang w:val="en-US" w:eastAsia="zh-CN"/>
        </w:rPr>
      </w:pPr>
      <w:r>
        <w:rPr>
          <w:rFonts w:hint="eastAsia" w:asciiTheme="minorEastAsia" w:hAnsiTheme="minorEastAsia" w:eastAsiaTheme="minorEastAsia" w:cstheme="minorEastAsia"/>
          <w:b/>
          <w:bCs/>
          <w:snapToGrid w:val="0"/>
          <w:color w:val="auto"/>
          <w:kern w:val="0"/>
          <w:sz w:val="24"/>
          <w:szCs w:val="24"/>
          <w:highlight w:val="none"/>
          <w:lang w:val="en-US" w:eastAsia="zh-CN"/>
        </w:rPr>
        <w:t>二、采购内容、采购数量、制造厂家、规格型号、用途等说明</w:t>
      </w:r>
    </w:p>
    <w:p w14:paraId="086F0E45">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bookmarkStart w:id="9" w:name="_Toc19132"/>
      <w:bookmarkStart w:id="10" w:name="_Toc695"/>
      <w:bookmarkStart w:id="11" w:name="_Toc7823"/>
      <w:bookmarkStart w:id="12" w:name="_Toc30208"/>
      <w:r>
        <w:rPr>
          <w:rFonts w:hint="eastAsia" w:asciiTheme="minorEastAsia" w:hAnsiTheme="minorEastAsia" w:eastAsiaTheme="minorEastAsia" w:cstheme="minorEastAsia"/>
          <w:snapToGrid w:val="0"/>
          <w:color w:val="auto"/>
          <w:kern w:val="0"/>
          <w:sz w:val="24"/>
          <w:szCs w:val="24"/>
          <w:highlight w:val="none"/>
          <w:lang w:val="en-US" w:eastAsia="zh-CN"/>
        </w:rPr>
        <w:t>1．项目内容：能源运行中心6台（南、北区各3台）垃圾吊大、小车轨道、承轨梁大修，车轮调整、更换；</w:t>
      </w:r>
    </w:p>
    <w:p w14:paraId="1A090B1F">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2．数量：详见施工工程量预算；</w:t>
      </w:r>
    </w:p>
    <w:p w14:paraId="181DAC0A">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3．制造厂家：科尼起重机设备（上海）有限公司；</w:t>
      </w:r>
    </w:p>
    <w:p w14:paraId="0E65462E">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4.规格型号：GL 20t-38.7mA8；</w:t>
      </w:r>
    </w:p>
    <w:p w14:paraId="46094B1F">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5．用途：能源运行中心6台（南、北区各3台）垃圾吊大、小车轨道、承轨梁大修，车轮调整、更换。</w:t>
      </w:r>
    </w:p>
    <w:p w14:paraId="1C3DA1C8">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6.工程概况</w:t>
      </w:r>
      <w:bookmarkEnd w:id="9"/>
      <w:bookmarkEnd w:id="10"/>
      <w:bookmarkEnd w:id="11"/>
      <w:bookmarkEnd w:id="12"/>
    </w:p>
    <w:p w14:paraId="3A170AFD">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bCs w:val="0"/>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临江公司能源运行中心现有垃圾吊6台，规格型号：GL 20t-38.7mA8，由科尼起重机设备（上海）有限公司制造，跨距38.7m，额定起重量20t/h，轨顶标高37米，抓斗容积12m³</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w:t>
      </w:r>
      <w:r>
        <w:rPr>
          <w:rFonts w:hint="eastAsia" w:asciiTheme="minorEastAsia" w:hAnsiTheme="minorEastAsia" w:eastAsiaTheme="minorEastAsia" w:cstheme="minorEastAsia"/>
          <w:bCs w:val="0"/>
          <w:snapToGrid w:val="0"/>
          <w:color w:val="auto"/>
          <w:kern w:val="0"/>
          <w:sz w:val="24"/>
          <w:szCs w:val="24"/>
          <w:highlight w:val="none"/>
          <w:lang w:val="en-US" w:eastAsia="zh-CN"/>
        </w:rPr>
        <w:t>承轨梁及大车轨道分别有4条，每条长度约97米。南区及北区焚烧炉各3台，垃圾吊各3台，24小时不间断对入厂垃圾进行抓取、搬运、搅拌、称重及对焚烧炉精准投料，保障垃圾处理流程连续、稳定、安全运行。</w:t>
      </w:r>
    </w:p>
    <w:p w14:paraId="0B0C5F25">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7.服务期限</w:t>
      </w:r>
    </w:p>
    <w:p w14:paraId="62E41C2A">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b/>
          <w:bCs/>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施工总工期：90天（其中：#2垃圾吊小车轨道更换8天、#3垃圾吊小车轨道更换8天、#4垃圾吊小车轨道更换8天、#5垃圾吊小车轨道更换16天，合计40天；单侧垃圾仓大车轨道、承轨梁大修调整、断口修复25天，两侧共计50天），分次实施。若施工过程中发包人上料系统等有参观接待或其他原因临时停工，导致工期延后的，工期予以顺延。</w:t>
      </w:r>
      <w:r>
        <w:rPr>
          <w:rFonts w:hint="eastAsia" w:asciiTheme="minorEastAsia" w:hAnsiTheme="minorEastAsia" w:eastAsiaTheme="minorEastAsia" w:cstheme="minorEastAsia"/>
          <w:b/>
          <w:bCs/>
          <w:snapToGrid w:val="0"/>
          <w:color w:val="auto"/>
          <w:kern w:val="0"/>
          <w:sz w:val="24"/>
          <w:szCs w:val="24"/>
          <w:highlight w:val="none"/>
          <w:lang w:val="en-US" w:eastAsia="zh-CN"/>
        </w:rPr>
        <w:t>本项目为在运行项目，为保证生产稳定，检修过程中垃圾吊无法长期停运，承包人应充分考虑施工安排及进度。</w:t>
      </w:r>
    </w:p>
    <w:p w14:paraId="62AE0857">
      <w:pPr>
        <w:keepNext w:val="0"/>
        <w:keepLines w:val="0"/>
        <w:pageBreakBefore w:val="0"/>
        <w:widowControl/>
        <w:kinsoku/>
        <w:wordWrap/>
        <w:overflowPunct/>
        <w:topLinePunct w:val="0"/>
        <w:autoSpaceDE/>
        <w:autoSpaceDN/>
        <w:bidi w:val="0"/>
        <w:adjustRightInd w:val="0"/>
        <w:snapToGrid w:val="0"/>
        <w:spacing w:line="360" w:lineRule="auto"/>
        <w:ind w:left="0" w:leftChars="0" w:firstLine="482" w:firstLineChars="200"/>
        <w:textAlignment w:val="auto"/>
        <w:rPr>
          <w:rFonts w:hint="eastAsia" w:asciiTheme="minorEastAsia" w:hAnsiTheme="minorEastAsia" w:eastAsiaTheme="minorEastAsia" w:cstheme="minorEastAsia"/>
          <w:b/>
          <w:bCs/>
          <w:snapToGrid w:val="0"/>
          <w:color w:val="auto"/>
          <w:kern w:val="0"/>
          <w:sz w:val="24"/>
          <w:szCs w:val="24"/>
          <w:highlight w:val="none"/>
          <w:lang w:val="en-US" w:eastAsia="zh-CN"/>
        </w:rPr>
      </w:pPr>
      <w:r>
        <w:rPr>
          <w:rFonts w:hint="eastAsia" w:asciiTheme="minorEastAsia" w:hAnsiTheme="minorEastAsia" w:eastAsiaTheme="minorEastAsia" w:cstheme="minorEastAsia"/>
          <w:b/>
          <w:bCs/>
          <w:snapToGrid w:val="0"/>
          <w:color w:val="auto"/>
          <w:kern w:val="0"/>
          <w:sz w:val="24"/>
          <w:szCs w:val="24"/>
          <w:highlight w:val="none"/>
          <w:lang w:val="en-US" w:eastAsia="zh-CN"/>
        </w:rPr>
        <w:t>三、质保要求</w:t>
      </w:r>
    </w:p>
    <w:p w14:paraId="224EACB9">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rPr>
        <w:t>垃圾吊大修验收合格12个月，12个月内不发生轨道偏移、啃轨、轨道变形、轨道断裂、承轨梁移位、承轨梁损坏、相关连接螺栓断裂、车轮与轨道间隙异常等问题，视为满足质保要求。</w:t>
      </w:r>
    </w:p>
    <w:p w14:paraId="2E8250F3">
      <w:pPr>
        <w:keepNext w:val="0"/>
        <w:keepLines w:val="0"/>
        <w:pageBreakBefore w:val="0"/>
        <w:widowControl/>
        <w:kinsoku/>
        <w:wordWrap/>
        <w:overflowPunct/>
        <w:topLinePunct w:val="0"/>
        <w:autoSpaceDE/>
        <w:autoSpaceDN/>
        <w:bidi w:val="0"/>
        <w:adjustRightInd w:val="0"/>
        <w:snapToGrid w:val="0"/>
        <w:spacing w:line="360" w:lineRule="auto"/>
        <w:ind w:left="0" w:leftChars="0" w:firstLine="482" w:firstLineChars="200"/>
        <w:textAlignment w:val="auto"/>
        <w:rPr>
          <w:rFonts w:hint="eastAsia" w:asciiTheme="minorEastAsia" w:hAnsiTheme="minorEastAsia" w:eastAsiaTheme="minorEastAsia" w:cstheme="minorEastAsia"/>
          <w:b/>
          <w:bCs/>
          <w:snapToGrid w:val="0"/>
          <w:color w:val="auto"/>
          <w:kern w:val="0"/>
          <w:sz w:val="24"/>
          <w:szCs w:val="24"/>
          <w:highlight w:val="none"/>
          <w:lang w:val="en-US" w:eastAsia="zh-CN"/>
        </w:rPr>
      </w:pPr>
      <w:r>
        <w:rPr>
          <w:rFonts w:hint="eastAsia" w:asciiTheme="minorEastAsia" w:hAnsiTheme="minorEastAsia" w:eastAsiaTheme="minorEastAsia" w:cstheme="minorEastAsia"/>
          <w:b/>
          <w:bCs/>
          <w:snapToGrid w:val="0"/>
          <w:color w:val="auto"/>
          <w:kern w:val="0"/>
          <w:sz w:val="24"/>
          <w:szCs w:val="24"/>
          <w:highlight w:val="none"/>
          <w:lang w:val="en-US" w:eastAsia="zh-CN"/>
        </w:rPr>
        <w:t>四、服务要求</w:t>
      </w:r>
    </w:p>
    <w:p w14:paraId="2DA44CEE">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1.承包人根据发包人提供的技术文件和现场实际情况，编制详细切实可行大修方案，经批准后实施。方案中包含但不限于人员及工器具落实情况、配件准备情况、维修准备、调试验收安排、技术资料等；</w:t>
      </w:r>
    </w:p>
    <w:p w14:paraId="71D895D4">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2.承包人各作业工种人员须持证上岗，如吊装作业、涉电作业、电焊作业、动火作业、登高作业等；</w:t>
      </w:r>
    </w:p>
    <w:p w14:paraId="50D1DD6D">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bCs w:val="0"/>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3.承包人大修中所用吊具、施工机具、工器具、材料等均由承包人自行准备，</w:t>
      </w:r>
      <w:r>
        <w:rPr>
          <w:rFonts w:hint="eastAsia" w:asciiTheme="minorEastAsia" w:hAnsiTheme="minorEastAsia" w:eastAsiaTheme="minorEastAsia" w:cstheme="minorEastAsia"/>
          <w:bCs w:val="0"/>
          <w:snapToGrid w:val="0"/>
          <w:color w:val="auto"/>
          <w:kern w:val="0"/>
          <w:sz w:val="24"/>
          <w:szCs w:val="24"/>
          <w:highlight w:val="none"/>
          <w:lang w:val="en-US" w:eastAsia="zh-CN"/>
        </w:rPr>
        <w:t>大修更换的所有杂物、备件，按照要求放置在指定位置：垃圾吊轨道大修拆除的小车轨道、小车车轮、轨道垫板、压轨器等，按照要求放置在指定位置，所有权为发包人；</w:t>
      </w:r>
    </w:p>
    <w:p w14:paraId="26A07BDE">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4.本次大修使用到的辅助材料如螺栓、螺母等由承包人提供，包含在本次招标范围内，发包人不额外支付费用；</w:t>
      </w:r>
    </w:p>
    <w:p w14:paraId="707E0764">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5.大修完成后试运及消缺由承包人负责。大修完成后，承包人在试运合格后7天内编制《大修报告》（报告需包含但不限于修前、修后测量数据，如轨距、水平度、标高、车轮与轨道间隙等数据，故障或缺陷原因分析，预防措施）。</w:t>
      </w:r>
    </w:p>
    <w:p w14:paraId="7B7C6B4D">
      <w:pPr>
        <w:keepNext w:val="0"/>
        <w:keepLines w:val="0"/>
        <w:pageBreakBefore w:val="0"/>
        <w:widowControl/>
        <w:kinsoku/>
        <w:wordWrap/>
        <w:overflowPunct/>
        <w:topLinePunct w:val="0"/>
        <w:autoSpaceDE/>
        <w:autoSpaceDN/>
        <w:bidi w:val="0"/>
        <w:adjustRightInd w:val="0"/>
        <w:snapToGrid w:val="0"/>
        <w:spacing w:after="0" w:afterLines="-2147483648"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6.承包人作业人员必须经过入厂培训考试，作业前办理相关工作票。施工过程中严格按照施工方案及安全规程进行作业，</w:t>
      </w:r>
      <w:r>
        <w:rPr>
          <w:rFonts w:hint="eastAsia" w:asciiTheme="minorEastAsia" w:hAnsiTheme="minorEastAsia" w:eastAsiaTheme="minorEastAsia" w:cstheme="minorEastAsia"/>
          <w:b/>
          <w:bCs/>
          <w:snapToGrid w:val="0"/>
          <w:color w:val="auto"/>
          <w:kern w:val="0"/>
          <w:sz w:val="24"/>
          <w:szCs w:val="24"/>
          <w:highlight w:val="none"/>
          <w:u w:val="single"/>
          <w:lang w:val="en-US" w:eastAsia="zh-CN" w:bidi="ar-SA"/>
        </w:rPr>
        <w:t>配备的施工工器具为防爆级别。</w:t>
      </w:r>
    </w:p>
    <w:p w14:paraId="362C1BD9">
      <w:pPr>
        <w:keepNext w:val="0"/>
        <w:keepLines w:val="0"/>
        <w:pageBreakBefore w:val="0"/>
        <w:widowControl/>
        <w:kinsoku/>
        <w:wordWrap/>
        <w:overflowPunct/>
        <w:topLinePunct w:val="0"/>
        <w:autoSpaceDE/>
        <w:autoSpaceDN/>
        <w:bidi w:val="0"/>
        <w:adjustRightInd w:val="0"/>
        <w:snapToGrid w:val="0"/>
        <w:spacing w:after="0" w:afterLines="-2147483648"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7.技术交底：项目负责人将工程施工概况、施工方案、施工工艺、质量标准、安全技术措施等及时向有关施工人员进行详细技术交底；</w:t>
      </w:r>
    </w:p>
    <w:p w14:paraId="17857CF9">
      <w:pPr>
        <w:keepNext w:val="0"/>
        <w:keepLines w:val="0"/>
        <w:pageBreakBefore w:val="0"/>
        <w:widowControl/>
        <w:kinsoku/>
        <w:wordWrap/>
        <w:overflowPunct/>
        <w:topLinePunct w:val="0"/>
        <w:autoSpaceDE/>
        <w:autoSpaceDN/>
        <w:bidi w:val="0"/>
        <w:adjustRightInd w:val="0"/>
        <w:snapToGrid w:val="0"/>
        <w:spacing w:after="0" w:afterLines="-2147483648"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bidi="ar-SA"/>
        </w:rPr>
        <w:t>8.安全技术交底：专职安全员对现场施工人员及现场安全员进行安全技术措施交底；每天班组长对施工人员进行安全操作规程技术交底，完成班前喊话等教育工作。</w:t>
      </w:r>
    </w:p>
    <w:p w14:paraId="64577CE2">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9.施工范围：</w:t>
      </w:r>
    </w:p>
    <w:p w14:paraId="1DEAE1E5">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（1）南、北区6台垃圾吊大车轨道承轨梁检测、大修、调整，对故障及缺陷进行处理至合格范围；</w:t>
      </w:r>
    </w:p>
    <w:p w14:paraId="775295F4">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（2）南、北区6台垃圾吊大车轨道，压轨器、压轨螺栓检查、更换，大车轨道垫板检查、更换。对大车轨道是否存在断口进行着色探伤，对断口位置进行铝热焊接修复；</w:t>
      </w:r>
    </w:p>
    <w:p w14:paraId="2AD44C26">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（3）南、北区6台垃圾吊大车车轮与轨道间隙调整至规定范围内。</w:t>
      </w:r>
    </w:p>
    <w:p w14:paraId="092D7B1D">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（4）南、北区4台垃圾吊小车轨道拆除、更换，小车车轮与轨道间隙调整至规定范围内；</w:t>
      </w:r>
    </w:p>
    <w:p w14:paraId="71B2FC1B">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（5）对#5垃圾吊小车4个车轮进行更换（车轮由发包人提供），其他辅材由承包人负责。</w:t>
      </w:r>
    </w:p>
    <w:p w14:paraId="11AD991F">
      <w:pPr>
        <w:keepNext w:val="0"/>
        <w:keepLines w:val="0"/>
        <w:pageBreakBefore w:val="0"/>
        <w:widowControl/>
        <w:kinsoku/>
        <w:wordWrap/>
        <w:overflowPunct/>
        <w:topLinePunct w:val="0"/>
        <w:autoSpaceDE/>
        <w:autoSpaceDN/>
        <w:bidi w:val="0"/>
        <w:adjustRightInd w:val="0"/>
        <w:snapToGrid w:val="0"/>
        <w:spacing w:line="360" w:lineRule="auto"/>
        <w:ind w:left="0" w:leftChars="0" w:firstLine="482" w:firstLineChars="200"/>
        <w:textAlignment w:val="auto"/>
        <w:rPr>
          <w:rFonts w:hint="eastAsia" w:asciiTheme="minorEastAsia" w:hAnsiTheme="minorEastAsia" w:eastAsiaTheme="minorEastAsia" w:cstheme="minorEastAsia"/>
          <w:b/>
          <w:bCs/>
          <w:snapToGrid w:val="0"/>
          <w:color w:val="auto"/>
          <w:kern w:val="0"/>
          <w:sz w:val="24"/>
          <w:szCs w:val="24"/>
          <w:highlight w:val="none"/>
          <w:lang w:val="en-US" w:eastAsia="zh-CN"/>
        </w:rPr>
      </w:pPr>
      <w:bookmarkStart w:id="13" w:name="_Toc19263"/>
      <w:bookmarkStart w:id="14" w:name="_Toc7182"/>
      <w:bookmarkStart w:id="15" w:name="_Toc9564"/>
      <w:bookmarkStart w:id="16" w:name="_Toc3657"/>
      <w:r>
        <w:rPr>
          <w:rFonts w:hint="eastAsia" w:asciiTheme="minorEastAsia" w:hAnsiTheme="minorEastAsia" w:eastAsiaTheme="minorEastAsia" w:cstheme="minorEastAsia"/>
          <w:b/>
          <w:bCs/>
          <w:snapToGrid w:val="0"/>
          <w:color w:val="auto"/>
          <w:kern w:val="0"/>
          <w:sz w:val="24"/>
          <w:szCs w:val="24"/>
          <w:highlight w:val="none"/>
          <w:lang w:val="en-US" w:eastAsia="zh-CN"/>
        </w:rPr>
        <w:t>五、</w:t>
      </w:r>
      <w:bookmarkEnd w:id="13"/>
      <w:bookmarkEnd w:id="14"/>
      <w:bookmarkEnd w:id="15"/>
      <w:bookmarkEnd w:id="16"/>
      <w:bookmarkStart w:id="17" w:name="_Toc15775"/>
      <w:bookmarkStart w:id="18" w:name="_Toc16208"/>
      <w:bookmarkStart w:id="19" w:name="_Toc1266"/>
      <w:bookmarkStart w:id="20" w:name="_Toc17375"/>
      <w:r>
        <w:rPr>
          <w:rFonts w:hint="eastAsia" w:asciiTheme="minorEastAsia" w:hAnsiTheme="minorEastAsia" w:eastAsiaTheme="minorEastAsia" w:cstheme="minorEastAsia"/>
          <w:b/>
          <w:bCs/>
          <w:snapToGrid w:val="0"/>
          <w:color w:val="auto"/>
          <w:kern w:val="0"/>
          <w:sz w:val="24"/>
          <w:szCs w:val="24"/>
          <w:highlight w:val="none"/>
          <w:lang w:val="en-US" w:eastAsia="zh-CN"/>
        </w:rPr>
        <w:t>大修项目</w:t>
      </w:r>
      <w:bookmarkEnd w:id="17"/>
      <w:bookmarkEnd w:id="18"/>
      <w:bookmarkEnd w:id="19"/>
      <w:bookmarkEnd w:id="20"/>
      <w:r>
        <w:rPr>
          <w:rFonts w:hint="eastAsia" w:asciiTheme="minorEastAsia" w:hAnsiTheme="minorEastAsia" w:eastAsiaTheme="minorEastAsia" w:cstheme="minorEastAsia"/>
          <w:b/>
          <w:bCs/>
          <w:snapToGrid w:val="0"/>
          <w:color w:val="auto"/>
          <w:kern w:val="0"/>
          <w:sz w:val="24"/>
          <w:szCs w:val="24"/>
          <w:highlight w:val="none"/>
          <w:lang w:val="en-US" w:eastAsia="zh-CN"/>
        </w:rPr>
        <w:t>及施工</w:t>
      </w:r>
    </w:p>
    <w:p w14:paraId="0DB4388E">
      <w:pPr>
        <w:pageBreakBefore w:val="0"/>
        <w:shd w:val="clear" w:color="auto" w:fill="auto"/>
        <w:overflowPunct/>
        <w:topLinePunct w:val="0"/>
        <w:bidi w:val="0"/>
        <w:adjustRightInd w:val="0"/>
        <w:snapToGrid w:val="0"/>
        <w:spacing w:line="360" w:lineRule="auto"/>
        <w:ind w:left="0" w:leftChars="0" w:firstLine="480" w:firstLineChars="200"/>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rPr>
        <w:t>1.</w:t>
      </w:r>
      <w:r>
        <w:rPr>
          <w:rFonts w:hint="eastAsia" w:asciiTheme="minorEastAsia" w:hAnsiTheme="minorEastAsia" w:eastAsiaTheme="minorEastAsia" w:cstheme="minorEastAsia"/>
          <w:i w:val="0"/>
          <w:iCs w:val="0"/>
          <w:caps w:val="0"/>
          <w:snapToGrid w:val="0"/>
          <w:color w:val="auto"/>
          <w:spacing w:val="0"/>
          <w:kern w:val="0"/>
          <w:sz w:val="24"/>
          <w:szCs w:val="24"/>
          <w:highlight w:val="none"/>
          <w:shd w:val="clear" w:color="auto" w:fill="auto"/>
          <w:lang w:val="en-US" w:eastAsia="zh-CN"/>
        </w:rPr>
        <w:t>大修项目：</w:t>
      </w:r>
    </w:p>
    <w:tbl>
      <w:tblPr>
        <w:tblStyle w:val="16"/>
        <w:tblpPr w:leftFromText="180" w:rightFromText="180" w:vertAnchor="text" w:horzAnchor="page" w:tblpX="1392" w:tblpY="326"/>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1459"/>
        <w:gridCol w:w="7756"/>
      </w:tblGrid>
      <w:tr w14:paraId="28096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70" w:type="pct"/>
            <w:noWrap w:val="0"/>
            <w:vAlign w:val="bottom"/>
          </w:tcPr>
          <w:p w14:paraId="44DD262A">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right="0" w:firstLine="0" w:firstLineChars="0"/>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序号</w:t>
            </w:r>
          </w:p>
        </w:tc>
        <w:tc>
          <w:tcPr>
            <w:tcW w:w="733" w:type="pct"/>
            <w:noWrap w:val="0"/>
            <w:vAlign w:val="bottom"/>
          </w:tcPr>
          <w:p w14:paraId="68233906">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right="0" w:firstLine="0" w:firstLineChars="0"/>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设备名称</w:t>
            </w:r>
          </w:p>
        </w:tc>
        <w:tc>
          <w:tcPr>
            <w:tcW w:w="3896" w:type="pct"/>
            <w:noWrap w:val="0"/>
            <w:vAlign w:val="bottom"/>
          </w:tcPr>
          <w:p w14:paraId="6353B962">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right="0" w:firstLine="0" w:firstLineChars="0"/>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大修项目</w:t>
            </w:r>
          </w:p>
        </w:tc>
      </w:tr>
      <w:tr w14:paraId="5B497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370" w:type="pct"/>
            <w:noWrap/>
            <w:vAlign w:val="center"/>
          </w:tcPr>
          <w:p w14:paraId="5CF4DA21">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right="0" w:firstLine="0" w:firstLineChars="0"/>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w:t>
            </w:r>
          </w:p>
        </w:tc>
        <w:tc>
          <w:tcPr>
            <w:tcW w:w="733" w:type="pct"/>
            <w:vMerge w:val="restart"/>
            <w:noWrap w:val="0"/>
            <w:vAlign w:val="center"/>
          </w:tcPr>
          <w:p w14:paraId="524A16C8">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right="0" w:firstLine="0" w:firstLineChars="0"/>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rPr>
            </w:pPr>
            <w:r>
              <w:rPr>
                <w:rFonts w:hint="eastAsia" w:asciiTheme="minorEastAsia" w:hAnsiTheme="minorEastAsia" w:eastAsiaTheme="minorEastAsia" w:cstheme="minorEastAsia"/>
                <w:bCs w:val="0"/>
                <w:snapToGrid w:val="0"/>
                <w:color w:val="auto"/>
                <w:kern w:val="0"/>
                <w:sz w:val="24"/>
                <w:szCs w:val="24"/>
                <w:highlight w:val="none"/>
                <w:lang w:val="en-US" w:eastAsia="zh-CN"/>
              </w:rPr>
              <w:t>垃圾吊大车轨道及承轨梁、车轮</w:t>
            </w:r>
          </w:p>
        </w:tc>
        <w:tc>
          <w:tcPr>
            <w:tcW w:w="3896" w:type="pct"/>
            <w:noWrap w:val="0"/>
            <w:vAlign w:val="center"/>
          </w:tcPr>
          <w:p w14:paraId="25938D90">
            <w:pPr>
              <w:pageBreakBefore w:val="0"/>
              <w:overflowPunct/>
              <w:topLinePunct w:val="0"/>
              <w:bidi w:val="0"/>
              <w:adjustRightInd w:val="0"/>
              <w:snapToGrid w:val="0"/>
              <w:ind w:firstLine="0" w:firstLineChars="0"/>
              <w:jc w:val="both"/>
              <w:rPr>
                <w:rFonts w:hint="eastAsia" w:asciiTheme="minorEastAsia" w:hAnsiTheme="minorEastAsia" w:eastAsiaTheme="minorEastAsia" w:cstheme="minorEastAsia"/>
                <w:i w:val="0"/>
                <w:iCs w:val="0"/>
                <w:snapToGrid w:val="0"/>
                <w:color w:val="auto"/>
                <w:kern w:val="0"/>
                <w:sz w:val="24"/>
                <w:szCs w:val="24"/>
                <w:highlight w:val="none"/>
                <w:u w:val="none"/>
              </w:rPr>
            </w:pPr>
            <w:r>
              <w:rPr>
                <w:rFonts w:hint="eastAsia" w:asciiTheme="minorEastAsia" w:hAnsiTheme="minorEastAsia" w:eastAsiaTheme="minorEastAsia" w:cstheme="minorEastAsia"/>
                <w:bCs w:val="0"/>
                <w:snapToGrid w:val="0"/>
                <w:color w:val="auto"/>
                <w:kern w:val="0"/>
                <w:sz w:val="24"/>
                <w:szCs w:val="24"/>
                <w:highlight w:val="none"/>
                <w:lang w:val="en-US" w:eastAsia="zh-CN"/>
              </w:rPr>
              <w:t>由专业人员用全站仪、电子水准仪等对南、北区垃圾吊大车轨道承轨梁及大车轨道相关修前数据进行测量。其中承轨梁4条，每条长度约97米。大车轨道4条，每条长度约97米。所需工具、材料承包人负责提供。</w:t>
            </w:r>
          </w:p>
        </w:tc>
      </w:tr>
      <w:tr w14:paraId="40F3B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370" w:type="pct"/>
            <w:noWrap/>
            <w:vAlign w:val="center"/>
          </w:tcPr>
          <w:p w14:paraId="440753E5">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right="0" w:firstLine="0" w:firstLineChars="0"/>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2</w:t>
            </w:r>
          </w:p>
        </w:tc>
        <w:tc>
          <w:tcPr>
            <w:tcW w:w="733" w:type="pct"/>
            <w:vMerge w:val="continue"/>
            <w:noWrap w:val="0"/>
            <w:vAlign w:val="center"/>
          </w:tcPr>
          <w:p w14:paraId="222993E5">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leftChars="0" w:right="0" w:firstLine="0" w:firstLineChars="0"/>
              <w:jc w:val="left"/>
              <w:textAlignment w:val="auto"/>
              <w:rPr>
                <w:rFonts w:hint="eastAsia" w:asciiTheme="minorEastAsia" w:hAnsiTheme="minorEastAsia" w:eastAsiaTheme="minorEastAsia" w:cstheme="minorEastAsia"/>
                <w:bCs w:val="0"/>
                <w:snapToGrid w:val="0"/>
                <w:color w:val="auto"/>
                <w:kern w:val="0"/>
                <w:sz w:val="24"/>
                <w:szCs w:val="24"/>
                <w:highlight w:val="none"/>
                <w:lang w:val="en-US" w:eastAsia="zh-CN"/>
              </w:rPr>
            </w:pPr>
          </w:p>
        </w:tc>
        <w:tc>
          <w:tcPr>
            <w:tcW w:w="3896" w:type="pct"/>
            <w:noWrap w:val="0"/>
            <w:vAlign w:val="center"/>
          </w:tcPr>
          <w:p w14:paraId="06858AD9">
            <w:pPr>
              <w:pageBreakBefore w:val="0"/>
              <w:overflowPunct/>
              <w:topLinePunct w:val="0"/>
              <w:bidi w:val="0"/>
              <w:adjustRightInd w:val="0"/>
              <w:snapToGrid w:val="0"/>
              <w:ind w:firstLine="0" w:firstLineChars="0"/>
              <w:jc w:val="both"/>
              <w:rPr>
                <w:rFonts w:hint="eastAsia" w:asciiTheme="minorEastAsia" w:hAnsiTheme="minorEastAsia" w:eastAsiaTheme="minorEastAsia" w:cstheme="minorEastAsia"/>
                <w:bCs w:val="0"/>
                <w:snapToGrid w:val="0"/>
                <w:color w:val="auto"/>
                <w:kern w:val="0"/>
                <w:sz w:val="24"/>
                <w:szCs w:val="24"/>
                <w:highlight w:val="none"/>
                <w:lang w:val="en-US" w:eastAsia="zh-CN"/>
              </w:rPr>
            </w:pPr>
            <w:r>
              <w:rPr>
                <w:rFonts w:hint="eastAsia" w:asciiTheme="minorEastAsia" w:hAnsiTheme="minorEastAsia" w:eastAsiaTheme="minorEastAsia" w:cstheme="minorEastAsia"/>
                <w:bCs w:val="0"/>
                <w:snapToGrid w:val="0"/>
                <w:color w:val="auto"/>
                <w:kern w:val="0"/>
                <w:sz w:val="24"/>
                <w:szCs w:val="24"/>
                <w:highlight w:val="none"/>
                <w:lang w:val="en-US" w:eastAsia="zh-CN"/>
              </w:rPr>
              <w:t>根据测得的数据对南、北区垃圾吊大车轨道承轨梁及大车轨道偏移量进行调整。如承轨梁出现失稳、严重锈蚀、塑性变形或裂纹等缺陷，应进行修理，直至达到相关标准及满足使用规范。所需材料由承包人负责提供。</w:t>
            </w:r>
          </w:p>
        </w:tc>
      </w:tr>
      <w:tr w14:paraId="66244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370" w:type="pct"/>
            <w:noWrap/>
            <w:vAlign w:val="center"/>
          </w:tcPr>
          <w:p w14:paraId="56F74427">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right="0" w:firstLine="0" w:firstLineChars="0"/>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3</w:t>
            </w:r>
          </w:p>
        </w:tc>
        <w:tc>
          <w:tcPr>
            <w:tcW w:w="733" w:type="pct"/>
            <w:vMerge w:val="continue"/>
            <w:noWrap w:val="0"/>
            <w:vAlign w:val="center"/>
          </w:tcPr>
          <w:p w14:paraId="2A3A946A">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leftChars="0" w:right="0" w:firstLine="0" w:firstLineChars="0"/>
              <w:jc w:val="left"/>
              <w:textAlignment w:val="auto"/>
              <w:rPr>
                <w:rFonts w:hint="eastAsia" w:asciiTheme="minorEastAsia" w:hAnsiTheme="minorEastAsia" w:eastAsiaTheme="minorEastAsia" w:cstheme="minorEastAsia"/>
                <w:i w:val="0"/>
                <w:iCs w:val="0"/>
                <w:snapToGrid w:val="0"/>
                <w:color w:val="auto"/>
                <w:kern w:val="0"/>
                <w:sz w:val="24"/>
                <w:szCs w:val="24"/>
                <w:highlight w:val="none"/>
                <w:u w:val="none"/>
              </w:rPr>
            </w:pPr>
          </w:p>
        </w:tc>
        <w:tc>
          <w:tcPr>
            <w:tcW w:w="3896" w:type="pct"/>
            <w:noWrap w:val="0"/>
            <w:vAlign w:val="center"/>
          </w:tcPr>
          <w:p w14:paraId="388BE70D">
            <w:pPr>
              <w:pageBreakBefore w:val="0"/>
              <w:overflowPunct/>
              <w:topLinePunct w:val="0"/>
              <w:bidi w:val="0"/>
              <w:adjustRightInd w:val="0"/>
              <w:snapToGrid w:val="0"/>
              <w:ind w:firstLine="0" w:firstLineChars="0"/>
              <w:jc w:val="both"/>
              <w:rPr>
                <w:rFonts w:hint="eastAsia" w:asciiTheme="minorEastAsia" w:hAnsiTheme="minorEastAsia" w:eastAsiaTheme="minorEastAsia" w:cstheme="minorEastAsia"/>
                <w:i w:val="0"/>
                <w:iCs w:val="0"/>
                <w:snapToGrid w:val="0"/>
                <w:color w:val="auto"/>
                <w:kern w:val="0"/>
                <w:sz w:val="24"/>
                <w:szCs w:val="24"/>
                <w:highlight w:val="none"/>
                <w:u w:val="none"/>
              </w:rPr>
            </w:pPr>
            <w:r>
              <w:rPr>
                <w:rFonts w:hint="eastAsia" w:asciiTheme="minorEastAsia" w:hAnsiTheme="minorEastAsia" w:eastAsiaTheme="minorEastAsia" w:cstheme="minorEastAsia"/>
                <w:bCs w:val="0"/>
                <w:snapToGrid w:val="0"/>
                <w:color w:val="auto"/>
                <w:kern w:val="0"/>
                <w:sz w:val="24"/>
                <w:szCs w:val="24"/>
                <w:highlight w:val="none"/>
                <w:lang w:val="en-US" w:eastAsia="zh-CN"/>
              </w:rPr>
              <w:t>对大车轨道承轨梁连接螺栓进行检查、紧固，对缺失部分补全。</w:t>
            </w:r>
            <w:r>
              <w:rPr>
                <w:rFonts w:hint="eastAsia" w:asciiTheme="minorEastAsia" w:hAnsiTheme="minorEastAsia" w:eastAsiaTheme="minorEastAsia" w:cstheme="minorEastAsia"/>
                <w:snapToGrid w:val="0"/>
                <w:color w:val="auto"/>
                <w:kern w:val="0"/>
                <w:sz w:val="24"/>
                <w:szCs w:val="24"/>
                <w:highlight w:val="none"/>
                <w:lang w:val="en-US" w:eastAsia="zh-CN"/>
              </w:rPr>
              <w:t>材料承包人负责。</w:t>
            </w:r>
          </w:p>
        </w:tc>
      </w:tr>
      <w:tr w14:paraId="70C6F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370" w:type="pct"/>
            <w:noWrap/>
            <w:vAlign w:val="center"/>
          </w:tcPr>
          <w:p w14:paraId="30381438">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right="0" w:firstLine="0" w:firstLineChars="0"/>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4</w:t>
            </w:r>
          </w:p>
        </w:tc>
        <w:tc>
          <w:tcPr>
            <w:tcW w:w="733" w:type="pct"/>
            <w:vMerge w:val="continue"/>
            <w:noWrap w:val="0"/>
            <w:vAlign w:val="center"/>
          </w:tcPr>
          <w:p w14:paraId="6B4EC62C">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leftChars="0" w:right="0" w:firstLine="0" w:firstLineChars="0"/>
              <w:jc w:val="left"/>
              <w:textAlignment w:val="auto"/>
              <w:rPr>
                <w:rFonts w:hint="eastAsia" w:asciiTheme="minorEastAsia" w:hAnsiTheme="minorEastAsia" w:eastAsiaTheme="minorEastAsia" w:cstheme="minorEastAsia"/>
                <w:i w:val="0"/>
                <w:iCs w:val="0"/>
                <w:snapToGrid w:val="0"/>
                <w:color w:val="auto"/>
                <w:kern w:val="0"/>
                <w:sz w:val="24"/>
                <w:szCs w:val="24"/>
                <w:highlight w:val="none"/>
                <w:u w:val="none"/>
              </w:rPr>
            </w:pPr>
          </w:p>
        </w:tc>
        <w:tc>
          <w:tcPr>
            <w:tcW w:w="3896" w:type="pct"/>
            <w:noWrap w:val="0"/>
            <w:vAlign w:val="center"/>
          </w:tcPr>
          <w:p w14:paraId="286AB104">
            <w:pPr>
              <w:pageBreakBefore w:val="0"/>
              <w:overflowPunct/>
              <w:topLinePunct w:val="0"/>
              <w:bidi w:val="0"/>
              <w:adjustRightInd w:val="0"/>
              <w:snapToGrid w:val="0"/>
              <w:ind w:firstLine="0" w:firstLineChars="0"/>
              <w:jc w:val="both"/>
              <w:rPr>
                <w:rFonts w:hint="eastAsia" w:asciiTheme="minorEastAsia" w:hAnsiTheme="minorEastAsia" w:eastAsiaTheme="minorEastAsia" w:cstheme="minorEastAsia"/>
                <w:bCs w:val="0"/>
                <w:snapToGrid w:val="0"/>
                <w:color w:val="auto"/>
                <w:kern w:val="0"/>
                <w:sz w:val="24"/>
                <w:szCs w:val="24"/>
                <w:highlight w:val="none"/>
                <w:lang w:val="en-US" w:eastAsia="zh-CN"/>
              </w:rPr>
            </w:pPr>
            <w:r>
              <w:rPr>
                <w:rFonts w:hint="eastAsia" w:asciiTheme="minorEastAsia" w:hAnsiTheme="minorEastAsia" w:eastAsiaTheme="minorEastAsia" w:cstheme="minorEastAsia"/>
                <w:bCs w:val="0"/>
                <w:snapToGrid w:val="0"/>
                <w:color w:val="auto"/>
                <w:kern w:val="0"/>
                <w:sz w:val="24"/>
                <w:szCs w:val="24"/>
                <w:highlight w:val="none"/>
                <w:lang w:val="en-US" w:eastAsia="zh-CN"/>
              </w:rPr>
              <w:t>对大车轨道</w:t>
            </w:r>
            <w:r>
              <w:rPr>
                <w:rFonts w:hint="eastAsia" w:asciiTheme="minorEastAsia" w:hAnsiTheme="minorEastAsia" w:eastAsiaTheme="minorEastAsia" w:cstheme="minorEastAsia"/>
                <w:snapToGrid w:val="0"/>
                <w:color w:val="auto"/>
                <w:kern w:val="0"/>
                <w:sz w:val="24"/>
                <w:szCs w:val="24"/>
                <w:highlight w:val="none"/>
                <w:lang w:val="en-US" w:eastAsia="zh-CN"/>
              </w:rPr>
              <w:t>压轨器、压轨螺栓检查、紧固、补齐缺失部分</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t>。</w:t>
            </w:r>
            <w:r>
              <w:rPr>
                <w:rFonts w:hint="eastAsia" w:asciiTheme="minorEastAsia" w:hAnsiTheme="minorEastAsia" w:eastAsiaTheme="minorEastAsia" w:cstheme="minorEastAsia"/>
                <w:snapToGrid w:val="0"/>
                <w:color w:val="auto"/>
                <w:kern w:val="0"/>
                <w:sz w:val="24"/>
                <w:szCs w:val="24"/>
                <w:highlight w:val="none"/>
                <w:lang w:val="en-US" w:eastAsia="zh-CN"/>
              </w:rPr>
              <w:t>材料承包人负责。</w:t>
            </w:r>
          </w:p>
        </w:tc>
      </w:tr>
      <w:tr w14:paraId="301F7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370" w:type="pct"/>
            <w:noWrap/>
            <w:vAlign w:val="center"/>
          </w:tcPr>
          <w:p w14:paraId="39B931C8">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right="0" w:firstLine="0" w:firstLineChars="0"/>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5</w:t>
            </w:r>
          </w:p>
        </w:tc>
        <w:tc>
          <w:tcPr>
            <w:tcW w:w="733" w:type="pct"/>
            <w:vMerge w:val="continue"/>
            <w:noWrap w:val="0"/>
            <w:vAlign w:val="center"/>
          </w:tcPr>
          <w:p w14:paraId="03FCEA5E">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leftChars="0" w:right="0" w:firstLine="0" w:firstLineChars="0"/>
              <w:jc w:val="left"/>
              <w:textAlignment w:val="auto"/>
              <w:rPr>
                <w:rFonts w:hint="eastAsia" w:asciiTheme="minorEastAsia" w:hAnsiTheme="minorEastAsia" w:eastAsiaTheme="minorEastAsia" w:cstheme="minorEastAsia"/>
                <w:i w:val="0"/>
                <w:iCs w:val="0"/>
                <w:snapToGrid w:val="0"/>
                <w:color w:val="auto"/>
                <w:kern w:val="0"/>
                <w:sz w:val="24"/>
                <w:szCs w:val="24"/>
                <w:highlight w:val="none"/>
                <w:u w:val="none"/>
              </w:rPr>
            </w:pPr>
          </w:p>
        </w:tc>
        <w:tc>
          <w:tcPr>
            <w:tcW w:w="3896" w:type="pct"/>
            <w:noWrap w:val="0"/>
            <w:vAlign w:val="center"/>
          </w:tcPr>
          <w:p w14:paraId="34653484">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right="0" w:firstLine="0" w:firstLineChars="0"/>
              <w:jc w:val="left"/>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对垃圾吊大车轨道断口进行铝热焊接修复（目前发现2个断口），如检测发现有新断口，需将所有断口修复合格。</w:t>
            </w:r>
            <w:r>
              <w:rPr>
                <w:rFonts w:hint="eastAsia" w:asciiTheme="minorEastAsia" w:hAnsiTheme="minorEastAsia" w:eastAsiaTheme="minorEastAsia" w:cstheme="minorEastAsia"/>
                <w:snapToGrid w:val="0"/>
                <w:color w:val="auto"/>
                <w:kern w:val="0"/>
                <w:sz w:val="24"/>
                <w:szCs w:val="24"/>
                <w:highlight w:val="none"/>
                <w:lang w:val="en-US" w:eastAsia="zh-CN"/>
              </w:rPr>
              <w:t>材料承包人负责。</w:t>
            </w:r>
          </w:p>
        </w:tc>
      </w:tr>
      <w:tr w14:paraId="1BF36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370" w:type="pct"/>
            <w:noWrap/>
            <w:vAlign w:val="center"/>
          </w:tcPr>
          <w:p w14:paraId="325FD09A">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right="0" w:firstLine="0" w:firstLineChars="0"/>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6</w:t>
            </w:r>
          </w:p>
        </w:tc>
        <w:tc>
          <w:tcPr>
            <w:tcW w:w="733" w:type="pct"/>
            <w:vMerge w:val="continue"/>
            <w:noWrap w:val="0"/>
            <w:vAlign w:val="center"/>
          </w:tcPr>
          <w:p w14:paraId="6CAB32D4">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leftChars="0" w:right="0" w:firstLine="0" w:firstLineChars="0"/>
              <w:jc w:val="left"/>
              <w:textAlignment w:val="auto"/>
              <w:rPr>
                <w:rFonts w:hint="eastAsia" w:asciiTheme="minorEastAsia" w:hAnsiTheme="minorEastAsia" w:eastAsiaTheme="minorEastAsia" w:cstheme="minorEastAsia"/>
                <w:i w:val="0"/>
                <w:iCs w:val="0"/>
                <w:snapToGrid w:val="0"/>
                <w:color w:val="auto"/>
                <w:kern w:val="0"/>
                <w:sz w:val="24"/>
                <w:szCs w:val="24"/>
                <w:highlight w:val="none"/>
                <w:u w:val="none"/>
              </w:rPr>
            </w:pPr>
          </w:p>
        </w:tc>
        <w:tc>
          <w:tcPr>
            <w:tcW w:w="3896" w:type="pct"/>
            <w:noWrap w:val="0"/>
            <w:vAlign w:val="center"/>
          </w:tcPr>
          <w:p w14:paraId="55B729BD">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right="0" w:firstLine="0" w:firstLineChars="0"/>
              <w:jc w:val="left"/>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bCs w:val="0"/>
                <w:snapToGrid w:val="0"/>
                <w:color w:val="auto"/>
                <w:kern w:val="0"/>
                <w:sz w:val="24"/>
                <w:szCs w:val="24"/>
                <w:highlight w:val="none"/>
                <w:lang w:val="en-US" w:eastAsia="zh-CN"/>
              </w:rPr>
              <w:t>垃圾吊大车轨道承轨梁及大车轨道调整完成后，对</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大车车轮（48个）与轨道间隙进行调整，达到相关标准。</w:t>
            </w:r>
            <w:r>
              <w:rPr>
                <w:rFonts w:hint="eastAsia" w:asciiTheme="minorEastAsia" w:hAnsiTheme="minorEastAsia" w:eastAsiaTheme="minorEastAsia" w:cstheme="minorEastAsia"/>
                <w:snapToGrid w:val="0"/>
                <w:color w:val="auto"/>
                <w:kern w:val="0"/>
                <w:sz w:val="24"/>
                <w:szCs w:val="24"/>
                <w:highlight w:val="none"/>
                <w:lang w:val="en-US" w:eastAsia="zh-CN"/>
              </w:rPr>
              <w:t>材料承包人负责。</w:t>
            </w:r>
          </w:p>
        </w:tc>
      </w:tr>
      <w:tr w14:paraId="489A0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trPr>
        <w:tc>
          <w:tcPr>
            <w:tcW w:w="370" w:type="pct"/>
            <w:noWrap/>
            <w:vAlign w:val="center"/>
          </w:tcPr>
          <w:p w14:paraId="4CBE2E2F">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right="0" w:firstLine="0" w:firstLineChars="0"/>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w:t>
            </w:r>
          </w:p>
        </w:tc>
        <w:tc>
          <w:tcPr>
            <w:tcW w:w="733" w:type="pct"/>
            <w:vMerge w:val="restart"/>
            <w:noWrap w:val="0"/>
            <w:vAlign w:val="center"/>
          </w:tcPr>
          <w:p w14:paraId="3FFDCBAA">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right="0" w:firstLine="0" w:firstLineChars="0"/>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t>垃圾吊小车轨道及车轮</w:t>
            </w:r>
          </w:p>
        </w:tc>
        <w:tc>
          <w:tcPr>
            <w:tcW w:w="3896" w:type="pct"/>
            <w:noWrap w:val="0"/>
            <w:vAlign w:val="center"/>
          </w:tcPr>
          <w:p w14:paraId="4E8777C3">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right="0" w:firstLine="0" w:firstLineChars="0"/>
              <w:jc w:val="left"/>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分别对#2垃圾吊小车轨道（40米），#3垃圾吊小车轨道（40米），#4垃圾吊小车轨道（约40米），#5垃圾吊小车轨道（约80米），</w:t>
            </w:r>
            <w:r>
              <w:rPr>
                <w:rFonts w:hint="eastAsia" w:asciiTheme="minorEastAsia" w:hAnsiTheme="minorEastAsia" w:eastAsiaTheme="minorEastAsia" w:cstheme="minorEastAsia"/>
                <w:snapToGrid w:val="0"/>
                <w:color w:val="auto"/>
                <w:kern w:val="0"/>
                <w:sz w:val="24"/>
                <w:szCs w:val="24"/>
                <w:highlight w:val="none"/>
                <w:lang w:val="en-US" w:eastAsia="zh-CN"/>
              </w:rPr>
              <w:t>共计约200米进行更换，并将更换下的废旧轨道放置于发包人指定地点。小车轨道材料由承包人负责。发包人不再额外付费。</w:t>
            </w:r>
          </w:p>
        </w:tc>
      </w:tr>
      <w:tr w14:paraId="016DF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370" w:type="pct"/>
            <w:noWrap/>
            <w:vAlign w:val="center"/>
          </w:tcPr>
          <w:p w14:paraId="025CE8CD">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right="0" w:firstLine="0" w:firstLineChars="0"/>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2</w:t>
            </w:r>
          </w:p>
        </w:tc>
        <w:tc>
          <w:tcPr>
            <w:tcW w:w="733" w:type="pct"/>
            <w:vMerge w:val="continue"/>
            <w:noWrap w:val="0"/>
            <w:vAlign w:val="center"/>
          </w:tcPr>
          <w:p w14:paraId="0F3C5EA4">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leftChars="0" w:right="0" w:firstLine="0" w:firstLineChars="0"/>
              <w:jc w:val="left"/>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pPr>
          </w:p>
        </w:tc>
        <w:tc>
          <w:tcPr>
            <w:tcW w:w="3896" w:type="pct"/>
            <w:noWrap w:val="0"/>
            <w:vAlign w:val="center"/>
          </w:tcPr>
          <w:p w14:paraId="20B1E601">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right="0" w:firstLine="0" w:firstLineChars="0"/>
              <w:jc w:val="left"/>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对更换完成的4台垃圾吊小车车轮与轨道间隙进行调整至规范要求，由</w:t>
            </w:r>
            <w:r>
              <w:rPr>
                <w:rFonts w:hint="eastAsia" w:asciiTheme="minorEastAsia" w:hAnsiTheme="minorEastAsia" w:eastAsiaTheme="minorEastAsia" w:cstheme="minorEastAsia"/>
                <w:snapToGrid w:val="0"/>
                <w:color w:val="auto"/>
                <w:kern w:val="0"/>
                <w:sz w:val="24"/>
                <w:szCs w:val="24"/>
                <w:highlight w:val="none"/>
                <w:lang w:val="en-US" w:eastAsia="zh-CN"/>
              </w:rPr>
              <w:t>材料承包人负责。</w:t>
            </w:r>
          </w:p>
        </w:tc>
      </w:tr>
      <w:tr w14:paraId="5B657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370" w:type="pct"/>
            <w:noWrap/>
            <w:vAlign w:val="center"/>
          </w:tcPr>
          <w:p w14:paraId="53956A5E">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right="0" w:firstLine="0" w:firstLineChars="0"/>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t>3</w:t>
            </w:r>
          </w:p>
        </w:tc>
        <w:tc>
          <w:tcPr>
            <w:tcW w:w="733" w:type="pct"/>
            <w:vMerge w:val="continue"/>
            <w:noWrap w:val="0"/>
            <w:vAlign w:val="center"/>
          </w:tcPr>
          <w:p w14:paraId="51BEF61C">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leftChars="0" w:right="0" w:firstLine="0" w:firstLineChars="0"/>
              <w:jc w:val="left"/>
              <w:textAlignment w:val="auto"/>
              <w:rPr>
                <w:rFonts w:hint="eastAsia" w:asciiTheme="minorEastAsia" w:hAnsiTheme="minorEastAsia" w:eastAsiaTheme="minorEastAsia" w:cstheme="minorEastAsia"/>
                <w:i w:val="0"/>
                <w:iCs w:val="0"/>
                <w:snapToGrid w:val="0"/>
                <w:color w:val="auto"/>
                <w:kern w:val="0"/>
                <w:sz w:val="24"/>
                <w:szCs w:val="24"/>
                <w:highlight w:val="none"/>
                <w:u w:val="none"/>
              </w:rPr>
            </w:pPr>
          </w:p>
        </w:tc>
        <w:tc>
          <w:tcPr>
            <w:tcW w:w="3896" w:type="pct"/>
            <w:noWrap w:val="0"/>
            <w:vAlign w:val="center"/>
          </w:tcPr>
          <w:p w14:paraId="2E980264">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right="0" w:firstLine="0" w:firstLineChars="0"/>
              <w:jc w:val="left"/>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t>对#5垃圾吊小车4个车轮进行更换。车轮由发包人提供，</w:t>
            </w:r>
            <w:r>
              <w:rPr>
                <w:rFonts w:hint="eastAsia" w:asciiTheme="minorEastAsia" w:hAnsiTheme="minorEastAsia" w:eastAsiaTheme="minorEastAsia" w:cstheme="minorEastAsia"/>
                <w:snapToGrid w:val="0"/>
                <w:color w:val="auto"/>
                <w:kern w:val="0"/>
                <w:sz w:val="24"/>
                <w:szCs w:val="24"/>
                <w:highlight w:val="none"/>
                <w:lang w:val="en-US" w:eastAsia="zh-CN"/>
              </w:rPr>
              <w:t>其余材料由承包人负责。</w:t>
            </w:r>
          </w:p>
        </w:tc>
      </w:tr>
    </w:tbl>
    <w:p w14:paraId="02B53708">
      <w:pPr>
        <w:pageBreakBefore w:val="0"/>
        <w:shd w:val="clear" w:color="auto" w:fill="auto"/>
        <w:overflowPunct/>
        <w:topLinePunct w:val="0"/>
        <w:bidi w:val="0"/>
        <w:adjustRightInd w:val="0"/>
        <w:snapToGrid w:val="0"/>
        <w:spacing w:line="360" w:lineRule="auto"/>
        <w:ind w:firstLine="480" w:firstLineChars="200"/>
        <w:rPr>
          <w:rFonts w:hint="eastAsia" w:asciiTheme="minorEastAsia" w:hAnsiTheme="minorEastAsia" w:eastAsiaTheme="minorEastAsia" w:cstheme="minorEastAsia"/>
          <w:i w:val="0"/>
          <w:iCs w:val="0"/>
          <w:snapToGrid w:val="0"/>
          <w:color w:val="auto"/>
          <w:kern w:val="0"/>
          <w:sz w:val="24"/>
          <w:szCs w:val="24"/>
          <w:highlight w:val="none"/>
          <w:u w:val="none"/>
          <w:shd w:val="clear" w:color="auto" w:fill="auto"/>
          <w:lang w:val="en-US" w:eastAsia="zh-CN"/>
        </w:rPr>
      </w:pPr>
    </w:p>
    <w:p w14:paraId="6EAF8EE2">
      <w:pPr>
        <w:pageBreakBefore w:val="0"/>
        <w:shd w:val="clear" w:color="auto" w:fill="auto"/>
        <w:overflowPunct/>
        <w:topLinePunct w:val="0"/>
        <w:bidi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shd w:val="clear" w:color="auto" w:fill="auto"/>
          <w:lang w:val="en-US" w:eastAsia="zh-CN"/>
        </w:rPr>
      </w:pPr>
      <w:r>
        <w:rPr>
          <w:rFonts w:hint="eastAsia" w:asciiTheme="minorEastAsia" w:hAnsiTheme="minorEastAsia" w:eastAsiaTheme="minorEastAsia" w:cstheme="minorEastAsia"/>
          <w:i w:val="0"/>
          <w:iCs w:val="0"/>
          <w:snapToGrid w:val="0"/>
          <w:color w:val="auto"/>
          <w:kern w:val="0"/>
          <w:sz w:val="24"/>
          <w:szCs w:val="24"/>
          <w:highlight w:val="none"/>
          <w:u w:val="none"/>
          <w:shd w:val="clear" w:color="auto" w:fill="auto"/>
          <w:lang w:val="en-US" w:eastAsia="zh-CN"/>
        </w:rPr>
        <w:t>2.</w:t>
      </w:r>
      <w:r>
        <w:rPr>
          <w:rFonts w:hint="eastAsia" w:asciiTheme="minorEastAsia" w:hAnsiTheme="minorEastAsia" w:eastAsiaTheme="minorEastAsia" w:cstheme="minorEastAsia"/>
          <w:i w:val="0"/>
          <w:iCs w:val="0"/>
          <w:caps w:val="0"/>
          <w:snapToGrid w:val="0"/>
          <w:color w:val="auto"/>
          <w:spacing w:val="0"/>
          <w:kern w:val="0"/>
          <w:sz w:val="24"/>
          <w:szCs w:val="24"/>
          <w:highlight w:val="none"/>
          <w:shd w:val="clear" w:color="auto" w:fill="auto"/>
          <w:lang w:val="en-US" w:eastAsia="zh-CN"/>
        </w:rPr>
        <w:t>配件清单</w:t>
      </w:r>
    </w:p>
    <w:tbl>
      <w:tblPr>
        <w:tblStyle w:val="16"/>
        <w:tblpPr w:leftFromText="180" w:rightFromText="180" w:vertAnchor="text" w:horzAnchor="page" w:tblpX="1513" w:tblpY="439"/>
        <w:tblOverlap w:val="never"/>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40"/>
        <w:gridCol w:w="1353"/>
        <w:gridCol w:w="4925"/>
        <w:gridCol w:w="541"/>
        <w:gridCol w:w="541"/>
        <w:gridCol w:w="1028"/>
        <w:gridCol w:w="1028"/>
      </w:tblGrid>
      <w:tr w14:paraId="3CB34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367" w:type="pct"/>
            <w:tcBorders>
              <w:top w:val="single" w:color="auto" w:sz="4" w:space="0"/>
              <w:left w:val="single" w:color="auto" w:sz="4" w:space="0"/>
              <w:bottom w:val="nil"/>
              <w:right w:val="single" w:color="000000" w:sz="4" w:space="0"/>
            </w:tcBorders>
            <w:noWrap/>
            <w:vAlign w:val="center"/>
          </w:tcPr>
          <w:p w14:paraId="590B06F2">
            <w:pPr>
              <w:keepNext w:val="0"/>
              <w:keepLines w:val="0"/>
              <w:pageBreakBefore w:val="0"/>
              <w:widowControl/>
              <w:suppressLineNumbers w:val="0"/>
              <w:overflowPunct/>
              <w:topLinePunct w:val="0"/>
              <w:bidi w:val="0"/>
              <w:adjustRightInd w:val="0"/>
              <w:snapToGrid w:val="0"/>
              <w:spacing w:line="360" w:lineRule="auto"/>
              <w:ind w:firstLine="0" w:firstLineChars="0"/>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shd w:val="clear" w:color="auto" w:fill="auto"/>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shd w:val="clear" w:color="auto" w:fill="auto"/>
                <w:lang w:val="en-US" w:eastAsia="zh-CN" w:bidi="ar"/>
              </w:rPr>
              <w:t>序号</w:t>
            </w:r>
          </w:p>
        </w:tc>
        <w:tc>
          <w:tcPr>
            <w:tcW w:w="987" w:type="pct"/>
            <w:tcBorders>
              <w:top w:val="single" w:color="auto" w:sz="4" w:space="0"/>
              <w:left w:val="single" w:color="000000" w:sz="4" w:space="0"/>
              <w:bottom w:val="nil"/>
              <w:right w:val="single" w:color="000000" w:sz="4" w:space="0"/>
            </w:tcBorders>
            <w:noWrap/>
            <w:vAlign w:val="center"/>
          </w:tcPr>
          <w:p w14:paraId="702FFE49">
            <w:pPr>
              <w:keepNext w:val="0"/>
              <w:keepLines w:val="0"/>
              <w:pageBreakBefore w:val="0"/>
              <w:widowControl/>
              <w:suppressLineNumbers w:val="0"/>
              <w:overflowPunct/>
              <w:topLinePunct w:val="0"/>
              <w:bidi w:val="0"/>
              <w:adjustRightInd w:val="0"/>
              <w:snapToGrid w:val="0"/>
              <w:spacing w:line="360" w:lineRule="auto"/>
              <w:ind w:left="0" w:leftChars="0" w:firstLine="0" w:firstLineChars="0"/>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shd w:val="clear" w:color="auto" w:fill="auto"/>
              </w:rPr>
            </w:pPr>
            <w:r>
              <w:rPr>
                <w:rFonts w:hint="eastAsia" w:asciiTheme="minorEastAsia" w:hAnsiTheme="minorEastAsia" w:eastAsiaTheme="minorEastAsia" w:cstheme="minorEastAsia"/>
                <w:i w:val="0"/>
                <w:iCs w:val="0"/>
                <w:snapToGrid w:val="0"/>
                <w:color w:val="auto"/>
                <w:kern w:val="0"/>
                <w:sz w:val="24"/>
                <w:szCs w:val="24"/>
                <w:highlight w:val="none"/>
                <w:u w:val="none"/>
                <w:shd w:val="clear" w:color="auto" w:fill="auto"/>
                <w:lang w:val="en-US" w:eastAsia="zh-CN" w:bidi="ar"/>
              </w:rPr>
              <w:t>名称</w:t>
            </w:r>
          </w:p>
        </w:tc>
        <w:tc>
          <w:tcPr>
            <w:tcW w:w="1360" w:type="pct"/>
            <w:tcBorders>
              <w:top w:val="single" w:color="auto" w:sz="4" w:space="0"/>
              <w:left w:val="single" w:color="000000" w:sz="4" w:space="0"/>
              <w:bottom w:val="nil"/>
              <w:right w:val="single" w:color="000000" w:sz="4" w:space="0"/>
            </w:tcBorders>
            <w:noWrap/>
            <w:vAlign w:val="center"/>
          </w:tcPr>
          <w:p w14:paraId="1890D3B6">
            <w:pPr>
              <w:keepNext w:val="0"/>
              <w:keepLines w:val="0"/>
              <w:pageBreakBefore w:val="0"/>
              <w:widowControl/>
              <w:suppressLineNumbers w:val="0"/>
              <w:overflowPunct/>
              <w:topLinePunct w:val="0"/>
              <w:bidi w:val="0"/>
              <w:adjustRightInd w:val="0"/>
              <w:snapToGrid w:val="0"/>
              <w:spacing w:line="360" w:lineRule="auto"/>
              <w:ind w:left="0" w:leftChars="0" w:firstLine="0" w:firstLineChars="0"/>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shd w:val="clear" w:color="auto" w:fill="auto"/>
                <w:lang w:val="en-US"/>
              </w:rPr>
            </w:pPr>
            <w:r>
              <w:rPr>
                <w:rFonts w:hint="eastAsia" w:asciiTheme="minorEastAsia" w:hAnsiTheme="minorEastAsia" w:eastAsiaTheme="minorEastAsia" w:cstheme="minorEastAsia"/>
                <w:i w:val="0"/>
                <w:iCs w:val="0"/>
                <w:snapToGrid w:val="0"/>
                <w:color w:val="auto"/>
                <w:kern w:val="0"/>
                <w:sz w:val="24"/>
                <w:szCs w:val="24"/>
                <w:highlight w:val="none"/>
                <w:u w:val="none"/>
                <w:shd w:val="clear" w:color="auto" w:fill="auto"/>
                <w:lang w:val="en-US" w:eastAsia="zh-CN" w:bidi="ar"/>
              </w:rPr>
              <w:t>规格型号</w:t>
            </w:r>
          </w:p>
        </w:tc>
        <w:tc>
          <w:tcPr>
            <w:tcW w:w="528" w:type="pct"/>
            <w:tcBorders>
              <w:top w:val="single" w:color="auto" w:sz="4" w:space="0"/>
              <w:left w:val="single" w:color="000000" w:sz="4" w:space="0"/>
              <w:bottom w:val="nil"/>
              <w:right w:val="single" w:color="000000" w:sz="4" w:space="0"/>
            </w:tcBorders>
            <w:noWrap/>
            <w:vAlign w:val="center"/>
          </w:tcPr>
          <w:p w14:paraId="0DD6D0B5">
            <w:pPr>
              <w:keepNext w:val="0"/>
              <w:keepLines w:val="0"/>
              <w:pageBreakBefore w:val="0"/>
              <w:widowControl/>
              <w:suppressLineNumbers w:val="0"/>
              <w:overflowPunct/>
              <w:topLinePunct w:val="0"/>
              <w:bidi w:val="0"/>
              <w:adjustRightInd w:val="0"/>
              <w:snapToGrid w:val="0"/>
              <w:spacing w:line="360" w:lineRule="auto"/>
              <w:ind w:firstLine="0" w:firstLineChars="0"/>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shd w:val="clear" w:color="auto" w:fill="auto"/>
              </w:rPr>
            </w:pPr>
            <w:r>
              <w:rPr>
                <w:rFonts w:hint="eastAsia" w:asciiTheme="minorEastAsia" w:hAnsiTheme="minorEastAsia" w:eastAsiaTheme="minorEastAsia" w:cstheme="minorEastAsia"/>
                <w:i w:val="0"/>
                <w:iCs w:val="0"/>
                <w:snapToGrid w:val="0"/>
                <w:color w:val="auto"/>
                <w:kern w:val="0"/>
                <w:sz w:val="24"/>
                <w:szCs w:val="24"/>
                <w:highlight w:val="none"/>
                <w:u w:val="none"/>
                <w:shd w:val="clear" w:color="auto" w:fill="auto"/>
                <w:lang w:val="en-US" w:eastAsia="zh-CN" w:bidi="ar"/>
              </w:rPr>
              <w:t>数量</w:t>
            </w:r>
          </w:p>
        </w:tc>
        <w:tc>
          <w:tcPr>
            <w:tcW w:w="372" w:type="pct"/>
            <w:tcBorders>
              <w:top w:val="single" w:color="auto" w:sz="4" w:space="0"/>
              <w:left w:val="single" w:color="000000" w:sz="4" w:space="0"/>
              <w:bottom w:val="nil"/>
              <w:right w:val="single" w:color="000000" w:sz="4" w:space="0"/>
            </w:tcBorders>
            <w:noWrap/>
            <w:vAlign w:val="center"/>
          </w:tcPr>
          <w:p w14:paraId="762E021B">
            <w:pPr>
              <w:keepNext w:val="0"/>
              <w:keepLines w:val="0"/>
              <w:pageBreakBefore w:val="0"/>
              <w:widowControl/>
              <w:suppressLineNumbers w:val="0"/>
              <w:overflowPunct/>
              <w:topLinePunct w:val="0"/>
              <w:bidi w:val="0"/>
              <w:adjustRightInd w:val="0"/>
              <w:snapToGrid w:val="0"/>
              <w:spacing w:line="360" w:lineRule="auto"/>
              <w:ind w:firstLine="0" w:firstLineChars="0"/>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shd w:val="clear" w:color="auto" w:fill="auto"/>
              </w:rPr>
            </w:pPr>
            <w:r>
              <w:rPr>
                <w:rFonts w:hint="eastAsia" w:asciiTheme="minorEastAsia" w:hAnsiTheme="minorEastAsia" w:eastAsiaTheme="minorEastAsia" w:cstheme="minorEastAsia"/>
                <w:i w:val="0"/>
                <w:iCs w:val="0"/>
                <w:snapToGrid w:val="0"/>
                <w:color w:val="auto"/>
                <w:kern w:val="0"/>
                <w:sz w:val="24"/>
                <w:szCs w:val="24"/>
                <w:highlight w:val="none"/>
                <w:u w:val="none"/>
                <w:shd w:val="clear" w:color="auto" w:fill="auto"/>
                <w:lang w:val="en-US" w:eastAsia="zh-CN" w:bidi="ar"/>
              </w:rPr>
              <w:t>单位</w:t>
            </w:r>
          </w:p>
        </w:tc>
        <w:tc>
          <w:tcPr>
            <w:tcW w:w="724" w:type="pct"/>
            <w:tcBorders>
              <w:top w:val="single" w:color="auto" w:sz="4" w:space="0"/>
              <w:left w:val="single" w:color="000000" w:sz="4" w:space="0"/>
              <w:bottom w:val="nil"/>
              <w:right w:val="single" w:color="000000" w:sz="4" w:space="0"/>
            </w:tcBorders>
            <w:noWrap/>
            <w:vAlign w:val="center"/>
          </w:tcPr>
          <w:p w14:paraId="7FA4A45C">
            <w:pPr>
              <w:keepNext w:val="0"/>
              <w:keepLines w:val="0"/>
              <w:pageBreakBefore w:val="0"/>
              <w:widowControl/>
              <w:suppressLineNumbers w:val="0"/>
              <w:overflowPunct/>
              <w:topLinePunct w:val="0"/>
              <w:bidi w:val="0"/>
              <w:adjustRightInd w:val="0"/>
              <w:snapToGrid w:val="0"/>
              <w:spacing w:line="360" w:lineRule="auto"/>
              <w:ind w:firstLine="0" w:firstLineChars="0"/>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shd w:val="clear" w:color="auto" w:fill="auto"/>
              </w:rPr>
            </w:pPr>
            <w:r>
              <w:rPr>
                <w:rFonts w:hint="eastAsia" w:asciiTheme="minorEastAsia" w:hAnsiTheme="minorEastAsia" w:eastAsiaTheme="minorEastAsia" w:cstheme="minorEastAsia"/>
                <w:i w:val="0"/>
                <w:iCs w:val="0"/>
                <w:snapToGrid w:val="0"/>
                <w:color w:val="auto"/>
                <w:kern w:val="0"/>
                <w:sz w:val="24"/>
                <w:szCs w:val="24"/>
                <w:highlight w:val="none"/>
                <w:u w:val="none"/>
                <w:shd w:val="clear" w:color="auto" w:fill="auto"/>
                <w:lang w:val="en-US" w:eastAsia="zh-CN" w:bidi="ar"/>
              </w:rPr>
              <w:t>单价（元）</w:t>
            </w:r>
          </w:p>
        </w:tc>
        <w:tc>
          <w:tcPr>
            <w:tcW w:w="660" w:type="pct"/>
            <w:tcBorders>
              <w:top w:val="single" w:color="auto" w:sz="4" w:space="0"/>
              <w:left w:val="single" w:color="000000" w:sz="4" w:space="0"/>
              <w:bottom w:val="nil"/>
              <w:right w:val="single" w:color="auto" w:sz="4" w:space="0"/>
            </w:tcBorders>
            <w:noWrap/>
            <w:vAlign w:val="center"/>
          </w:tcPr>
          <w:p w14:paraId="3BC557F9">
            <w:pPr>
              <w:keepNext w:val="0"/>
              <w:keepLines w:val="0"/>
              <w:pageBreakBefore w:val="0"/>
              <w:widowControl/>
              <w:suppressLineNumbers w:val="0"/>
              <w:overflowPunct/>
              <w:topLinePunct w:val="0"/>
              <w:bidi w:val="0"/>
              <w:adjustRightInd w:val="0"/>
              <w:snapToGrid w:val="0"/>
              <w:spacing w:line="360" w:lineRule="auto"/>
              <w:ind w:firstLine="0" w:firstLineChars="0"/>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shd w:val="clear" w:color="auto" w:fill="auto"/>
              </w:rPr>
            </w:pPr>
            <w:r>
              <w:rPr>
                <w:rFonts w:hint="eastAsia" w:asciiTheme="minorEastAsia" w:hAnsiTheme="minorEastAsia" w:eastAsiaTheme="minorEastAsia" w:cstheme="minorEastAsia"/>
                <w:i w:val="0"/>
                <w:iCs w:val="0"/>
                <w:snapToGrid w:val="0"/>
                <w:color w:val="auto"/>
                <w:kern w:val="0"/>
                <w:sz w:val="24"/>
                <w:szCs w:val="24"/>
                <w:highlight w:val="none"/>
                <w:u w:val="none"/>
                <w:shd w:val="clear" w:color="auto" w:fill="auto"/>
                <w:lang w:val="en-US" w:eastAsia="zh-CN" w:bidi="ar"/>
              </w:rPr>
              <w:t>金额（元）</w:t>
            </w:r>
          </w:p>
        </w:tc>
      </w:tr>
      <w:tr w14:paraId="18FEE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367" w:type="pct"/>
            <w:tcBorders>
              <w:top w:val="single" w:color="000000" w:sz="4" w:space="0"/>
              <w:left w:val="single" w:color="auto" w:sz="4" w:space="0"/>
              <w:bottom w:val="single" w:color="000000" w:sz="4" w:space="0"/>
              <w:right w:val="single" w:color="000000" w:sz="4" w:space="0"/>
            </w:tcBorders>
            <w:shd w:val="clear" w:color="auto" w:fill="FFFFFF"/>
            <w:noWrap/>
            <w:vAlign w:val="center"/>
          </w:tcPr>
          <w:p w14:paraId="743CCE13">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right="0" w:firstLine="0" w:firstLineChars="0"/>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t>1</w:t>
            </w:r>
          </w:p>
        </w:tc>
        <w:tc>
          <w:tcPr>
            <w:tcW w:w="9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A87C3">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right="0" w:firstLine="0" w:firstLineChars="0"/>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t>垃圾吊小车轨道</w:t>
            </w:r>
          </w:p>
        </w:tc>
        <w:tc>
          <w:tcPr>
            <w:tcW w:w="1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C0DD8">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right="0" w:firstLine="0" w:firstLineChars="0"/>
              <w:jc w:val="left"/>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t>实心方钢：100mm*60mm，材质Q355</w:t>
            </w: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54AF5">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right="0" w:firstLine="0" w:firstLineChars="0"/>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t>200</w:t>
            </w:r>
          </w:p>
        </w:tc>
        <w:tc>
          <w:tcPr>
            <w:tcW w:w="3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2A555">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right="0" w:firstLine="0" w:firstLineChars="0"/>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t>米</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E0484">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t>350</w:t>
            </w:r>
          </w:p>
        </w:tc>
        <w:tc>
          <w:tcPr>
            <w:tcW w:w="660" w:type="pct"/>
            <w:tcBorders>
              <w:top w:val="single" w:color="000000" w:sz="4" w:space="0"/>
              <w:left w:val="single" w:color="000000" w:sz="4" w:space="0"/>
              <w:bottom w:val="single" w:color="000000" w:sz="4" w:space="0"/>
              <w:right w:val="single" w:color="auto" w:sz="4" w:space="0"/>
            </w:tcBorders>
            <w:shd w:val="clear" w:color="auto" w:fill="FFFFFF"/>
            <w:noWrap/>
            <w:vAlign w:val="center"/>
          </w:tcPr>
          <w:p w14:paraId="73FBF315">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t>70000</w:t>
            </w:r>
          </w:p>
        </w:tc>
      </w:tr>
      <w:tr w14:paraId="4E0F1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367" w:type="pct"/>
            <w:tcBorders>
              <w:top w:val="single" w:color="000000" w:sz="4" w:space="0"/>
              <w:left w:val="single" w:color="auto" w:sz="4" w:space="0"/>
              <w:bottom w:val="single" w:color="000000" w:sz="4" w:space="0"/>
              <w:right w:val="single" w:color="000000" w:sz="4" w:space="0"/>
            </w:tcBorders>
            <w:shd w:val="clear" w:color="auto" w:fill="FFFFFF"/>
            <w:noWrap/>
            <w:vAlign w:val="center"/>
          </w:tcPr>
          <w:p w14:paraId="440A3FC8">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right="0" w:firstLine="0" w:firstLineChars="0"/>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t>2</w:t>
            </w:r>
          </w:p>
        </w:tc>
        <w:tc>
          <w:tcPr>
            <w:tcW w:w="9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BBE6E">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right="0" w:firstLine="0" w:firstLineChars="0"/>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t>压轨器及螺栓</w:t>
            </w:r>
          </w:p>
        </w:tc>
        <w:tc>
          <w:tcPr>
            <w:tcW w:w="1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8BC0E">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right="0" w:firstLine="0" w:firstLineChars="0"/>
              <w:jc w:val="left"/>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t>QU100（含螺栓、螺母、垫片等，12.9级）</w:t>
            </w: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C3751">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right="0" w:firstLine="0" w:firstLineChars="0"/>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t>1300</w:t>
            </w:r>
          </w:p>
        </w:tc>
        <w:tc>
          <w:tcPr>
            <w:tcW w:w="3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DBA26">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right="0" w:firstLine="0" w:firstLineChars="0"/>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t>套</w:t>
            </w:r>
          </w:p>
        </w:tc>
        <w:tc>
          <w:tcPr>
            <w:tcW w:w="7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F72F8">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t>30</w:t>
            </w:r>
          </w:p>
        </w:tc>
        <w:tc>
          <w:tcPr>
            <w:tcW w:w="660" w:type="pct"/>
            <w:tcBorders>
              <w:top w:val="single" w:color="000000" w:sz="4" w:space="0"/>
              <w:left w:val="single" w:color="000000" w:sz="4" w:space="0"/>
              <w:bottom w:val="single" w:color="000000" w:sz="4" w:space="0"/>
              <w:right w:val="single" w:color="auto" w:sz="4" w:space="0"/>
            </w:tcBorders>
            <w:shd w:val="clear" w:color="auto" w:fill="FFFFFF"/>
            <w:noWrap/>
            <w:vAlign w:val="center"/>
          </w:tcPr>
          <w:p w14:paraId="16E781D9">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t>39000</w:t>
            </w:r>
          </w:p>
        </w:tc>
      </w:tr>
      <w:tr w14:paraId="63C91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trPr>
        <w:tc>
          <w:tcPr>
            <w:tcW w:w="367" w:type="pct"/>
            <w:tcBorders>
              <w:top w:val="single" w:color="000000" w:sz="4" w:space="0"/>
              <w:left w:val="single" w:color="auto" w:sz="4" w:space="0"/>
              <w:bottom w:val="single" w:color="000000" w:sz="4" w:space="0"/>
              <w:right w:val="single" w:color="000000" w:sz="4" w:space="0"/>
            </w:tcBorders>
            <w:shd w:val="clear" w:color="auto" w:fill="FFFFFF"/>
            <w:noWrap/>
            <w:vAlign w:val="center"/>
          </w:tcPr>
          <w:p w14:paraId="5585A171">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right="0" w:firstLine="0" w:firstLineChars="0"/>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t>3</w:t>
            </w:r>
          </w:p>
        </w:tc>
        <w:tc>
          <w:tcPr>
            <w:tcW w:w="9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FFC60">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right="0" w:firstLine="0" w:firstLineChars="0"/>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t>大车轨道垫板</w:t>
            </w:r>
          </w:p>
        </w:tc>
        <w:tc>
          <w:tcPr>
            <w:tcW w:w="1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1F3EE">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left"/>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t>厚度0~3mm，材质304，宽度：</w:t>
            </w:r>
            <w:r>
              <w:rPr>
                <w:rFonts w:hint="eastAsia" w:asciiTheme="minorEastAsia" w:hAnsiTheme="minorEastAsia" w:eastAsiaTheme="minorEastAsia" w:cstheme="minorEastAsia"/>
                <w:bCs w:val="0"/>
                <w:snapToGrid w:val="0"/>
                <w:color w:val="auto"/>
                <w:kern w:val="0"/>
                <w:sz w:val="24"/>
                <w:szCs w:val="24"/>
                <w:highlight w:val="none"/>
                <w:lang w:val="en-US" w:eastAsia="zh-CN"/>
              </w:rPr>
              <w:t>宽于轨道10mm～20mm；长度约40cm</w:t>
            </w: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2D427">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right="0" w:rightChars="0" w:firstLine="0" w:firstLineChars="0"/>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t>300</w:t>
            </w:r>
          </w:p>
        </w:tc>
        <w:tc>
          <w:tcPr>
            <w:tcW w:w="3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06C82">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right="0" w:rightChars="0" w:firstLine="0" w:firstLineChars="0"/>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t>块</w:t>
            </w:r>
          </w:p>
        </w:tc>
        <w:tc>
          <w:tcPr>
            <w:tcW w:w="7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FAEF4">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t>25</w:t>
            </w:r>
          </w:p>
        </w:tc>
        <w:tc>
          <w:tcPr>
            <w:tcW w:w="660" w:type="pct"/>
            <w:tcBorders>
              <w:top w:val="single" w:color="000000" w:sz="4" w:space="0"/>
              <w:left w:val="single" w:color="000000" w:sz="4" w:space="0"/>
              <w:bottom w:val="single" w:color="000000" w:sz="4" w:space="0"/>
              <w:right w:val="single" w:color="auto" w:sz="4" w:space="0"/>
            </w:tcBorders>
            <w:shd w:val="clear" w:color="auto" w:fill="FFFFFF"/>
            <w:noWrap/>
            <w:vAlign w:val="center"/>
          </w:tcPr>
          <w:p w14:paraId="2E747943">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t>7500</w:t>
            </w:r>
          </w:p>
        </w:tc>
      </w:tr>
      <w:tr w14:paraId="73ED1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367" w:type="pct"/>
            <w:tcBorders>
              <w:top w:val="single" w:color="000000" w:sz="4" w:space="0"/>
              <w:left w:val="single" w:color="auto" w:sz="4" w:space="0"/>
              <w:bottom w:val="single" w:color="000000" w:sz="4" w:space="0"/>
              <w:right w:val="single" w:color="000000" w:sz="4" w:space="0"/>
            </w:tcBorders>
            <w:shd w:val="clear" w:color="auto" w:fill="FFFFFF"/>
            <w:noWrap/>
            <w:vAlign w:val="center"/>
          </w:tcPr>
          <w:p w14:paraId="1F0156F8">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right="0" w:firstLine="0" w:firstLineChars="0"/>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t>4</w:t>
            </w:r>
          </w:p>
        </w:tc>
        <w:tc>
          <w:tcPr>
            <w:tcW w:w="9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257D3">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right="0" w:firstLine="0" w:firstLineChars="0"/>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bidi="ar-SA"/>
              </w:rPr>
              <w:t>无机环氧富锌</w:t>
            </w:r>
          </w:p>
        </w:tc>
        <w:tc>
          <w:tcPr>
            <w:tcW w:w="1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6BCFA">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leftChars="0" w:right="0" w:firstLine="0" w:firstLineChars="0"/>
              <w:jc w:val="left"/>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t>15L/桶</w:t>
            </w: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CA225">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right="0" w:firstLine="0" w:firstLineChars="0"/>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t>8</w:t>
            </w:r>
          </w:p>
        </w:tc>
        <w:tc>
          <w:tcPr>
            <w:tcW w:w="3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38599">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right="0" w:firstLine="0" w:firstLineChars="0"/>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t>桶</w:t>
            </w:r>
          </w:p>
        </w:tc>
        <w:tc>
          <w:tcPr>
            <w:tcW w:w="7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41F07">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t>800</w:t>
            </w:r>
          </w:p>
        </w:tc>
        <w:tc>
          <w:tcPr>
            <w:tcW w:w="660" w:type="pct"/>
            <w:tcBorders>
              <w:top w:val="single" w:color="000000" w:sz="4" w:space="0"/>
              <w:left w:val="single" w:color="000000" w:sz="4" w:space="0"/>
              <w:bottom w:val="single" w:color="000000" w:sz="4" w:space="0"/>
              <w:right w:val="single" w:color="auto" w:sz="4" w:space="0"/>
            </w:tcBorders>
            <w:shd w:val="clear" w:color="auto" w:fill="FFFFFF"/>
            <w:noWrap/>
            <w:vAlign w:val="center"/>
          </w:tcPr>
          <w:p w14:paraId="718FB1F9">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t>6400</w:t>
            </w:r>
          </w:p>
        </w:tc>
      </w:tr>
      <w:tr w14:paraId="46ECF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367" w:type="pct"/>
            <w:tcBorders>
              <w:top w:val="single" w:color="000000" w:sz="4" w:space="0"/>
              <w:left w:val="single" w:color="auto" w:sz="4" w:space="0"/>
              <w:bottom w:val="single" w:color="000000" w:sz="4" w:space="0"/>
              <w:right w:val="single" w:color="000000" w:sz="4" w:space="0"/>
            </w:tcBorders>
            <w:shd w:val="clear" w:color="auto" w:fill="FFFFFF"/>
            <w:noWrap/>
            <w:vAlign w:val="center"/>
          </w:tcPr>
          <w:p w14:paraId="3192D7C7">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right="0" w:firstLine="0" w:firstLineChars="0"/>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t>5</w:t>
            </w:r>
          </w:p>
        </w:tc>
        <w:tc>
          <w:tcPr>
            <w:tcW w:w="9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883D3">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right="0" w:firstLine="0" w:firstLineChars="0"/>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bidi="ar-SA"/>
              </w:rPr>
              <w:t>环氧云铁中间漆</w:t>
            </w:r>
          </w:p>
        </w:tc>
        <w:tc>
          <w:tcPr>
            <w:tcW w:w="1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B1B6D">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leftChars="0" w:right="0" w:firstLine="0" w:firstLineChars="0"/>
              <w:jc w:val="left"/>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t>15L/桶</w:t>
            </w: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4D7A4">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right="0" w:firstLine="0" w:firstLineChars="0"/>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t>8</w:t>
            </w:r>
          </w:p>
        </w:tc>
        <w:tc>
          <w:tcPr>
            <w:tcW w:w="3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7451C">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right="0" w:firstLine="0" w:firstLineChars="0"/>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t>桶</w:t>
            </w:r>
          </w:p>
        </w:tc>
        <w:tc>
          <w:tcPr>
            <w:tcW w:w="7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3D354">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t>800</w:t>
            </w:r>
          </w:p>
        </w:tc>
        <w:tc>
          <w:tcPr>
            <w:tcW w:w="660" w:type="pct"/>
            <w:tcBorders>
              <w:top w:val="single" w:color="000000" w:sz="4" w:space="0"/>
              <w:left w:val="single" w:color="000000" w:sz="4" w:space="0"/>
              <w:bottom w:val="single" w:color="000000" w:sz="4" w:space="0"/>
              <w:right w:val="single" w:color="auto" w:sz="4" w:space="0"/>
            </w:tcBorders>
            <w:shd w:val="clear" w:color="auto" w:fill="FFFFFF"/>
            <w:noWrap/>
            <w:vAlign w:val="center"/>
          </w:tcPr>
          <w:p w14:paraId="6FA457F3">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t>6400</w:t>
            </w:r>
          </w:p>
        </w:tc>
      </w:tr>
      <w:tr w14:paraId="3B4F2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367" w:type="pct"/>
            <w:tcBorders>
              <w:top w:val="single" w:color="000000" w:sz="4" w:space="0"/>
              <w:left w:val="single" w:color="auto" w:sz="4" w:space="0"/>
              <w:bottom w:val="single" w:color="auto" w:sz="4" w:space="0"/>
              <w:right w:val="single" w:color="000000" w:sz="4" w:space="0"/>
            </w:tcBorders>
            <w:shd w:val="clear" w:color="auto" w:fill="FFFFFF"/>
            <w:noWrap/>
            <w:vAlign w:val="center"/>
          </w:tcPr>
          <w:p w14:paraId="20208DDF">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right="0" w:firstLine="0" w:firstLineChars="0"/>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t>6</w:t>
            </w:r>
          </w:p>
        </w:tc>
        <w:tc>
          <w:tcPr>
            <w:tcW w:w="987" w:type="pct"/>
            <w:tcBorders>
              <w:top w:val="single" w:color="000000" w:sz="4" w:space="0"/>
              <w:left w:val="single" w:color="000000" w:sz="4" w:space="0"/>
              <w:bottom w:val="single" w:color="auto" w:sz="4" w:space="0"/>
              <w:right w:val="single" w:color="000000" w:sz="4" w:space="0"/>
            </w:tcBorders>
            <w:shd w:val="clear" w:color="auto" w:fill="FFFFFF"/>
            <w:noWrap/>
            <w:vAlign w:val="center"/>
          </w:tcPr>
          <w:p w14:paraId="3F6A7214">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right="0" w:firstLine="0" w:firstLineChars="0"/>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bidi="ar-SA"/>
              </w:rPr>
              <w:t>脂肪族聚氨酯</w:t>
            </w:r>
          </w:p>
        </w:tc>
        <w:tc>
          <w:tcPr>
            <w:tcW w:w="1360" w:type="pct"/>
            <w:tcBorders>
              <w:top w:val="single" w:color="000000" w:sz="4" w:space="0"/>
              <w:left w:val="single" w:color="000000" w:sz="4" w:space="0"/>
              <w:bottom w:val="single" w:color="auto" w:sz="4" w:space="0"/>
              <w:right w:val="single" w:color="000000" w:sz="4" w:space="0"/>
            </w:tcBorders>
            <w:shd w:val="clear" w:color="auto" w:fill="FFFFFF"/>
            <w:noWrap/>
            <w:vAlign w:val="center"/>
          </w:tcPr>
          <w:p w14:paraId="76FEFE39">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leftChars="0" w:right="0" w:firstLine="0" w:firstLineChars="0"/>
              <w:jc w:val="left"/>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t>15L/桶</w:t>
            </w:r>
          </w:p>
        </w:tc>
        <w:tc>
          <w:tcPr>
            <w:tcW w:w="528" w:type="pct"/>
            <w:tcBorders>
              <w:top w:val="single" w:color="000000" w:sz="4" w:space="0"/>
              <w:left w:val="single" w:color="000000" w:sz="4" w:space="0"/>
              <w:bottom w:val="single" w:color="auto" w:sz="4" w:space="0"/>
              <w:right w:val="single" w:color="000000" w:sz="4" w:space="0"/>
            </w:tcBorders>
            <w:shd w:val="clear" w:color="auto" w:fill="FFFFFF"/>
            <w:noWrap/>
            <w:vAlign w:val="center"/>
          </w:tcPr>
          <w:p w14:paraId="7888607F">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right="0" w:firstLine="0" w:firstLineChars="0"/>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t>8</w:t>
            </w:r>
          </w:p>
        </w:tc>
        <w:tc>
          <w:tcPr>
            <w:tcW w:w="372" w:type="pct"/>
            <w:tcBorders>
              <w:top w:val="single" w:color="000000" w:sz="4" w:space="0"/>
              <w:left w:val="single" w:color="000000" w:sz="4" w:space="0"/>
              <w:bottom w:val="single" w:color="auto" w:sz="4" w:space="0"/>
              <w:right w:val="single" w:color="000000" w:sz="4" w:space="0"/>
            </w:tcBorders>
            <w:shd w:val="clear" w:color="auto" w:fill="FFFFFF"/>
            <w:noWrap/>
            <w:vAlign w:val="center"/>
          </w:tcPr>
          <w:p w14:paraId="4AFDCC6D">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right="0" w:firstLine="0" w:firstLineChars="0"/>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t>桶</w:t>
            </w:r>
          </w:p>
        </w:tc>
        <w:tc>
          <w:tcPr>
            <w:tcW w:w="724" w:type="pct"/>
            <w:tcBorders>
              <w:top w:val="single" w:color="000000" w:sz="4" w:space="0"/>
              <w:left w:val="single" w:color="000000" w:sz="4" w:space="0"/>
              <w:bottom w:val="single" w:color="auto" w:sz="4" w:space="0"/>
              <w:right w:val="single" w:color="000000" w:sz="4" w:space="0"/>
            </w:tcBorders>
            <w:shd w:val="clear" w:color="auto" w:fill="FFFFFF"/>
            <w:noWrap/>
            <w:vAlign w:val="center"/>
          </w:tcPr>
          <w:p w14:paraId="0235B38D">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t>800</w:t>
            </w:r>
          </w:p>
        </w:tc>
        <w:tc>
          <w:tcPr>
            <w:tcW w:w="660" w:type="pct"/>
            <w:tcBorders>
              <w:top w:val="single" w:color="000000" w:sz="4" w:space="0"/>
              <w:left w:val="single" w:color="000000" w:sz="4" w:space="0"/>
              <w:bottom w:val="single" w:color="auto" w:sz="4" w:space="0"/>
              <w:right w:val="single" w:color="auto" w:sz="4" w:space="0"/>
            </w:tcBorders>
            <w:shd w:val="clear" w:color="auto" w:fill="FFFFFF"/>
            <w:noWrap/>
            <w:vAlign w:val="center"/>
          </w:tcPr>
          <w:p w14:paraId="3B135068">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rPr>
              <w:t>6400</w:t>
            </w:r>
          </w:p>
        </w:tc>
      </w:tr>
    </w:tbl>
    <w:p w14:paraId="534452EA">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配件清单中的配件由承包人负责采购，到货后双方共同对配件质量进行验收，若质量不满足要求需进行更换。配件按需更换，按实结算，若发现清单之外的配件需要更换，由发包人负责提供并进行安装、调试，发包人不额外支付安装、调试费用。</w:t>
      </w:r>
    </w:p>
    <w:p w14:paraId="78C18CC6">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3.施工工程量预算</w:t>
      </w:r>
    </w:p>
    <w:p w14:paraId="15C3B8F3">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1）垃圾吊承轨梁与大车轨道共4条（每条长度约97米），在大修前、后需进行三维坐标测量（包含轨道平行度、直线度、跨距、标高等数据）每条承轨梁，每条轨道测点不少于49个，相邻两个测点之间的距离不大于2m。</w:t>
      </w:r>
    </w:p>
    <w:p w14:paraId="69DBB41A">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（2）垃圾吊大车轨道承轨梁共4条，每条长度约97米，承轨梁标高约34米。根据测量数据对承轨钢梁检查、调整：</w:t>
      </w:r>
    </w:p>
    <w:p w14:paraId="70D568AC">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a.检查承轨梁连接螺栓，缺失部分补全，紧固所有螺栓（包含：承轨梁之间的连接螺栓，承轨梁与牛腿之间螺栓）。由于承轨梁螺栓位置较高，在施工过程中需要使用吊篮或者搭设脚手架。</w:t>
      </w:r>
    </w:p>
    <w:p w14:paraId="6B6EF948">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b.如检查发现承轨梁出现整体失稳、严重锈蚀、塑性变形和裂纹现象，应进行现场修理。</w:t>
      </w:r>
    </w:p>
    <w:p w14:paraId="19693077">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c.如承轨梁出现下沉或偏移，由承包人提供合理的方案，经确认后进行校正施工。每个垃圾仓内，大车承轨梁共有21个支点，根据实际情况进行调整。在施工时需要使用吊篮或搭设脚手架到达合适位置，对承轨梁进行校正。</w:t>
      </w:r>
    </w:p>
    <w:p w14:paraId="0922017C">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（3）垃圾吊大车轨道共4条，每条长度约97米，标高约34米。根据测量数据对垃圾吊大车轨道大修调整：</w:t>
      </w:r>
    </w:p>
    <w:p w14:paraId="3B0E2E8B">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a.在垃圾吊大车轨道调整大修过程中根据实际需要进行更换压轨器及螺栓。（4条大车轨道，压轨器共约1300套）</w:t>
      </w:r>
    </w:p>
    <w:p w14:paraId="7D903367">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b.在垃圾吊大车轨道调整大修过程中对大车轨道垫板进行全部更换，垫板数量约200块（根据现场实际需求进行更换）。</w:t>
      </w:r>
    </w:p>
    <w:p w14:paraId="1DBF0AE9">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（4）目前南北垃圾吊大车轨道两个位置出现断裂，进行铝热焊接。焊接完成后进行磁粉检测，并出具报告。</w:t>
      </w:r>
    </w:p>
    <w:p w14:paraId="29659740">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（5）拆除、更换垃圾吊行车小车轨道：</w:t>
      </w:r>
    </w:p>
    <w:p w14:paraId="1B9569E9">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拆除、更换垃圾吊小车轨道约200米。</w:t>
      </w:r>
    </w:p>
    <w:p w14:paraId="67209E37">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（6）更换#5垃圾吊小车车轮，调整垃圾吊车轮与轨道间隙：</w:t>
      </w:r>
    </w:p>
    <w:p w14:paraId="24DA53B9">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a.更换#5垃圾吊小车车轮4个。</w:t>
      </w:r>
    </w:p>
    <w:p w14:paraId="00387C4B">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b.调整垃圾吊车轮与轨道的间隙（大车车轮48个，小车车轮16个，共64个）。</w:t>
      </w:r>
    </w:p>
    <w:p w14:paraId="05FD7F16">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bidi="ar-SA"/>
        </w:rPr>
        <w:t>4.主要作业人员配置（具体以满足现场实际工作需求为</w:t>
      </w:r>
      <w:r>
        <w:rPr>
          <w:rFonts w:hint="eastAsia" w:asciiTheme="minorEastAsia" w:hAnsiTheme="minorEastAsia" w:eastAsiaTheme="minorEastAsia" w:cstheme="minorEastAsia"/>
          <w:snapToGrid w:val="0"/>
          <w:color w:val="auto"/>
          <w:kern w:val="0"/>
          <w:sz w:val="24"/>
          <w:szCs w:val="24"/>
          <w:highlight w:val="none"/>
          <w:lang w:val="en-US" w:eastAsia="zh-CN"/>
        </w:rPr>
        <w:t>准）</w:t>
      </w:r>
    </w:p>
    <w:tbl>
      <w:tblPr>
        <w:tblStyle w:val="16"/>
        <w:tblpPr w:leftFromText="180" w:rightFromText="180" w:vertAnchor="text" w:horzAnchor="page" w:tblpX="1562" w:tblpY="159"/>
        <w:tblOverlap w:val="never"/>
        <w:tblW w:w="8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3"/>
        <w:gridCol w:w="3684"/>
        <w:gridCol w:w="3841"/>
      </w:tblGrid>
      <w:tr w14:paraId="4809E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3" w:type="dxa"/>
            <w:noWrap w:val="0"/>
            <w:vAlign w:val="center"/>
          </w:tcPr>
          <w:p w14:paraId="00AE4641">
            <w:pPr>
              <w:pageBreakBefore w:val="0"/>
              <w:overflowPunct/>
              <w:topLinePunct w:val="0"/>
              <w:bidi w:val="0"/>
              <w:adjustRightInd w:val="0"/>
              <w:snapToGrid w:val="0"/>
              <w:spacing w:line="360" w:lineRule="auto"/>
              <w:ind w:firstLine="0" w:firstLineChars="0"/>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序号</w:t>
            </w:r>
          </w:p>
        </w:tc>
        <w:tc>
          <w:tcPr>
            <w:tcW w:w="3684" w:type="dxa"/>
            <w:noWrap w:val="0"/>
            <w:vAlign w:val="center"/>
          </w:tcPr>
          <w:p w14:paraId="0EF333D4">
            <w:pPr>
              <w:pageBreakBefore w:val="0"/>
              <w:overflowPunct/>
              <w:topLinePunct w:val="0"/>
              <w:bidi w:val="0"/>
              <w:adjustRightInd w:val="0"/>
              <w:snapToGrid w:val="0"/>
              <w:spacing w:line="360" w:lineRule="auto"/>
              <w:ind w:left="0" w:leftChars="0" w:firstLine="0" w:firstLineChars="0"/>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人员岗位</w:t>
            </w:r>
          </w:p>
        </w:tc>
        <w:tc>
          <w:tcPr>
            <w:tcW w:w="3841" w:type="dxa"/>
            <w:noWrap w:val="0"/>
            <w:vAlign w:val="center"/>
          </w:tcPr>
          <w:p w14:paraId="3D9ECC70">
            <w:pPr>
              <w:pageBreakBefore w:val="0"/>
              <w:overflowPunct/>
              <w:topLinePunct w:val="0"/>
              <w:bidi w:val="0"/>
              <w:adjustRightInd w:val="0"/>
              <w:snapToGrid w:val="0"/>
              <w:spacing w:line="360" w:lineRule="auto"/>
              <w:ind w:left="0" w:leftChars="0" w:firstLine="0" w:firstLineChars="0"/>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岗位职责</w:t>
            </w:r>
          </w:p>
        </w:tc>
      </w:tr>
      <w:tr w14:paraId="396A8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trPr>
        <w:tc>
          <w:tcPr>
            <w:tcW w:w="1153" w:type="dxa"/>
            <w:noWrap w:val="0"/>
            <w:vAlign w:val="center"/>
          </w:tcPr>
          <w:p w14:paraId="35E1EF45">
            <w:pPr>
              <w:pageBreakBefore w:val="0"/>
              <w:overflowPunct/>
              <w:topLinePunct w:val="0"/>
              <w:bidi w:val="0"/>
              <w:adjustRightInd w:val="0"/>
              <w:snapToGrid w:val="0"/>
              <w:spacing w:line="360" w:lineRule="auto"/>
              <w:ind w:left="0" w:leftChars="0" w:firstLine="0" w:firstLineChars="0"/>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1</w:t>
            </w:r>
          </w:p>
        </w:tc>
        <w:tc>
          <w:tcPr>
            <w:tcW w:w="3684" w:type="dxa"/>
            <w:noWrap w:val="0"/>
            <w:vAlign w:val="center"/>
          </w:tcPr>
          <w:p w14:paraId="4A2661CF">
            <w:pPr>
              <w:pageBreakBefore w:val="0"/>
              <w:overflowPunct/>
              <w:topLinePunct w:val="0"/>
              <w:bidi w:val="0"/>
              <w:adjustRightInd w:val="0"/>
              <w:snapToGrid w:val="0"/>
              <w:spacing w:line="360" w:lineRule="auto"/>
              <w:ind w:left="0" w:leftChars="0" w:firstLine="0" w:firstLineChars="0"/>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现场管理员</w:t>
            </w:r>
          </w:p>
        </w:tc>
        <w:tc>
          <w:tcPr>
            <w:tcW w:w="3841" w:type="dxa"/>
            <w:noWrap w:val="0"/>
            <w:vAlign w:val="center"/>
          </w:tcPr>
          <w:p w14:paraId="401E515D">
            <w:pPr>
              <w:pageBreakBefore w:val="0"/>
              <w:overflowPunct/>
              <w:topLinePunct w:val="0"/>
              <w:bidi w:val="0"/>
              <w:adjustRightInd w:val="0"/>
              <w:snapToGrid w:val="0"/>
              <w:spacing w:line="360" w:lineRule="auto"/>
              <w:ind w:left="0" w:leftChars="0" w:firstLine="0" w:firstLineChars="0"/>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现场施工作业总负责</w:t>
            </w:r>
          </w:p>
        </w:tc>
      </w:tr>
      <w:tr w14:paraId="4EB5D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53" w:type="dxa"/>
            <w:noWrap w:val="0"/>
            <w:vAlign w:val="center"/>
          </w:tcPr>
          <w:p w14:paraId="636393AE">
            <w:pPr>
              <w:pageBreakBefore w:val="0"/>
              <w:overflowPunct/>
              <w:topLinePunct w:val="0"/>
              <w:bidi w:val="0"/>
              <w:adjustRightInd w:val="0"/>
              <w:snapToGrid w:val="0"/>
              <w:spacing w:line="360" w:lineRule="auto"/>
              <w:ind w:left="0" w:leftChars="0" w:firstLine="0" w:firstLineChars="0"/>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2</w:t>
            </w:r>
          </w:p>
        </w:tc>
        <w:tc>
          <w:tcPr>
            <w:tcW w:w="3684" w:type="dxa"/>
            <w:noWrap w:val="0"/>
            <w:vAlign w:val="center"/>
          </w:tcPr>
          <w:p w14:paraId="0728E248">
            <w:pPr>
              <w:pageBreakBefore w:val="0"/>
              <w:overflowPunct/>
              <w:topLinePunct w:val="0"/>
              <w:bidi w:val="0"/>
              <w:adjustRightInd w:val="0"/>
              <w:snapToGrid w:val="0"/>
              <w:spacing w:line="360" w:lineRule="auto"/>
              <w:ind w:left="0" w:leftChars="0" w:firstLine="0" w:firstLineChars="0"/>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安全监护人员</w:t>
            </w:r>
          </w:p>
        </w:tc>
        <w:tc>
          <w:tcPr>
            <w:tcW w:w="3841" w:type="dxa"/>
            <w:noWrap w:val="0"/>
            <w:vAlign w:val="center"/>
          </w:tcPr>
          <w:p w14:paraId="3A64D75A">
            <w:pPr>
              <w:pageBreakBefore w:val="0"/>
              <w:overflowPunct/>
              <w:topLinePunct w:val="0"/>
              <w:bidi w:val="0"/>
              <w:adjustRightInd w:val="0"/>
              <w:snapToGrid w:val="0"/>
              <w:spacing w:line="360" w:lineRule="auto"/>
              <w:ind w:left="0" w:leftChars="0" w:firstLine="0" w:firstLineChars="0"/>
              <w:jc w:val="center"/>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rPr>
              <w:t>现场作业安全监护</w:t>
            </w:r>
            <w:r>
              <w:rPr>
                <w:rFonts w:hint="eastAsia" w:asciiTheme="minorEastAsia" w:hAnsiTheme="minorEastAsia" w:eastAsiaTheme="minorEastAsia" w:cstheme="minorEastAsia"/>
                <w:snapToGrid w:val="0"/>
                <w:color w:val="auto"/>
                <w:kern w:val="0"/>
                <w:sz w:val="24"/>
                <w:szCs w:val="24"/>
                <w:highlight w:val="none"/>
                <w:lang w:eastAsia="zh-CN"/>
              </w:rPr>
              <w:t>（</w:t>
            </w:r>
            <w:r>
              <w:rPr>
                <w:rFonts w:hint="eastAsia" w:asciiTheme="minorEastAsia" w:hAnsiTheme="minorEastAsia" w:eastAsiaTheme="minorEastAsia" w:cstheme="minorEastAsia"/>
                <w:snapToGrid w:val="0"/>
                <w:color w:val="auto"/>
                <w:kern w:val="0"/>
                <w:sz w:val="24"/>
                <w:szCs w:val="24"/>
                <w:highlight w:val="none"/>
                <w:lang w:val="en-US" w:eastAsia="zh-CN"/>
              </w:rPr>
              <w:t>持证上岗</w:t>
            </w:r>
            <w:r>
              <w:rPr>
                <w:rFonts w:hint="eastAsia" w:asciiTheme="minorEastAsia" w:hAnsiTheme="minorEastAsia" w:eastAsiaTheme="minorEastAsia" w:cstheme="minorEastAsia"/>
                <w:snapToGrid w:val="0"/>
                <w:color w:val="auto"/>
                <w:kern w:val="0"/>
                <w:sz w:val="24"/>
                <w:szCs w:val="24"/>
                <w:highlight w:val="none"/>
                <w:lang w:eastAsia="zh-CN"/>
              </w:rPr>
              <w:t>）</w:t>
            </w:r>
          </w:p>
        </w:tc>
      </w:tr>
      <w:tr w14:paraId="51220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53" w:type="dxa"/>
            <w:noWrap w:val="0"/>
            <w:vAlign w:val="center"/>
          </w:tcPr>
          <w:p w14:paraId="645BF666">
            <w:pPr>
              <w:pageBreakBefore w:val="0"/>
              <w:overflowPunct/>
              <w:topLinePunct w:val="0"/>
              <w:bidi w:val="0"/>
              <w:adjustRightInd w:val="0"/>
              <w:snapToGrid w:val="0"/>
              <w:spacing w:line="360" w:lineRule="auto"/>
              <w:ind w:left="0" w:leftChars="0" w:firstLine="0" w:firstLineChars="0"/>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3</w:t>
            </w:r>
          </w:p>
        </w:tc>
        <w:tc>
          <w:tcPr>
            <w:tcW w:w="3684" w:type="dxa"/>
            <w:noWrap w:val="0"/>
            <w:vAlign w:val="center"/>
          </w:tcPr>
          <w:p w14:paraId="44147272">
            <w:pPr>
              <w:pageBreakBefore w:val="0"/>
              <w:overflowPunct/>
              <w:topLinePunct w:val="0"/>
              <w:bidi w:val="0"/>
              <w:adjustRightInd w:val="0"/>
              <w:snapToGrid w:val="0"/>
              <w:spacing w:line="360" w:lineRule="auto"/>
              <w:ind w:left="0" w:leftChars="0" w:firstLine="0" w:firstLineChars="0"/>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作业人员</w:t>
            </w:r>
          </w:p>
        </w:tc>
        <w:tc>
          <w:tcPr>
            <w:tcW w:w="3841" w:type="dxa"/>
            <w:noWrap w:val="0"/>
            <w:vAlign w:val="center"/>
          </w:tcPr>
          <w:p w14:paraId="5430D769">
            <w:pPr>
              <w:pageBreakBefore w:val="0"/>
              <w:overflowPunct/>
              <w:topLinePunct w:val="0"/>
              <w:bidi w:val="0"/>
              <w:adjustRightInd w:val="0"/>
              <w:snapToGrid w:val="0"/>
              <w:spacing w:line="360" w:lineRule="auto"/>
              <w:ind w:left="0" w:leftChars="0" w:firstLine="0" w:firstLineChars="0"/>
              <w:jc w:val="center"/>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rPr>
              <w:t>现场</w:t>
            </w:r>
            <w:r>
              <w:rPr>
                <w:rFonts w:hint="eastAsia" w:asciiTheme="minorEastAsia" w:hAnsiTheme="minorEastAsia" w:eastAsiaTheme="minorEastAsia" w:cstheme="minorEastAsia"/>
                <w:snapToGrid w:val="0"/>
                <w:color w:val="auto"/>
                <w:kern w:val="0"/>
                <w:sz w:val="24"/>
                <w:szCs w:val="24"/>
                <w:highlight w:val="none"/>
                <w:lang w:val="en-US" w:eastAsia="zh-CN"/>
              </w:rPr>
              <w:t>作业人员</w:t>
            </w:r>
          </w:p>
        </w:tc>
      </w:tr>
    </w:tbl>
    <w:p w14:paraId="32BC5E9F">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firstLine="480" w:firstLineChars="200"/>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p>
    <w:p w14:paraId="355E5E19">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p>
    <w:p w14:paraId="7502F7CC">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p>
    <w:p w14:paraId="101E65A4">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p>
    <w:p w14:paraId="1A0B8487">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p>
    <w:p w14:paraId="7A6290BB">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bidi="ar-SA"/>
        </w:rPr>
        <w:t>5.</w:t>
      </w:r>
      <w:r>
        <w:rPr>
          <w:rFonts w:hint="eastAsia" w:asciiTheme="minorEastAsia" w:hAnsiTheme="minorEastAsia" w:eastAsiaTheme="minorEastAsia" w:cstheme="minorEastAsia"/>
          <w:snapToGrid w:val="0"/>
          <w:color w:val="auto"/>
          <w:kern w:val="0"/>
          <w:sz w:val="24"/>
          <w:szCs w:val="24"/>
          <w:highlight w:val="none"/>
          <w:lang w:val="en-US" w:eastAsia="zh-CN"/>
        </w:rPr>
        <w:t>垃圾吊大车轨道</w:t>
      </w:r>
      <w:r>
        <w:rPr>
          <w:rFonts w:hint="eastAsia" w:asciiTheme="minorEastAsia" w:hAnsiTheme="minorEastAsia" w:eastAsiaTheme="minorEastAsia" w:cstheme="minorEastAsia"/>
          <w:snapToGrid w:val="0"/>
          <w:color w:val="auto"/>
          <w:kern w:val="0"/>
          <w:sz w:val="24"/>
          <w:szCs w:val="24"/>
          <w:highlight w:val="none"/>
          <w:lang w:val="en-US" w:eastAsia="zh-CN" w:bidi="ar-SA"/>
        </w:rPr>
        <w:t>及承轨梁</w:t>
      </w:r>
      <w:r>
        <w:rPr>
          <w:rFonts w:hint="eastAsia" w:asciiTheme="minorEastAsia" w:hAnsiTheme="minorEastAsia" w:eastAsiaTheme="minorEastAsia" w:cstheme="minorEastAsia"/>
          <w:snapToGrid w:val="0"/>
          <w:color w:val="auto"/>
          <w:kern w:val="0"/>
          <w:sz w:val="24"/>
          <w:szCs w:val="24"/>
          <w:highlight w:val="none"/>
          <w:lang w:val="en-US" w:eastAsia="zh-CN"/>
        </w:rPr>
        <w:t>大修、验收</w:t>
      </w:r>
    </w:p>
    <w:p w14:paraId="66A52FE0">
      <w:pPr>
        <w:keepNext w:val="0"/>
        <w:keepLines w:val="0"/>
        <w:pageBreakBefore w:val="0"/>
        <w:widowControl/>
        <w:numPr>
          <w:ilvl w:val="-1"/>
          <w:numId w:val="0"/>
        </w:numPr>
        <w:kinsoku/>
        <w:wordWrap/>
        <w:overflowPunct/>
        <w:topLinePunct w:val="0"/>
        <w:autoSpaceDE/>
        <w:autoSpaceDN/>
        <w:bidi w:val="0"/>
        <w:adjustRightInd w:val="0"/>
        <w:snapToGrid w:val="0"/>
        <w:spacing w:after="0" w:afterLines="-2147483648"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垃圾吊大车轨道及承轨梁大修</w:t>
      </w:r>
    </w:p>
    <w:p w14:paraId="60220E8A">
      <w:pPr>
        <w:keepNext w:val="0"/>
        <w:keepLines w:val="0"/>
        <w:pageBreakBefore w:val="0"/>
        <w:widowControl/>
        <w:numPr>
          <w:ilvl w:val="-1"/>
          <w:numId w:val="0"/>
        </w:numPr>
        <w:kinsoku/>
        <w:wordWrap/>
        <w:overflowPunct/>
        <w:topLinePunct w:val="0"/>
        <w:autoSpaceDE/>
        <w:autoSpaceDN/>
        <w:bidi w:val="0"/>
        <w:adjustRightInd w:val="0"/>
        <w:snapToGrid w:val="0"/>
        <w:spacing w:after="0" w:afterLines="-2147483648"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rPr>
        <w:t>①</w:t>
      </w:r>
      <w:r>
        <w:rPr>
          <w:rFonts w:hint="eastAsia" w:asciiTheme="minorEastAsia" w:hAnsiTheme="minorEastAsia" w:eastAsiaTheme="minorEastAsia" w:cstheme="minorEastAsia"/>
          <w:snapToGrid w:val="0"/>
          <w:color w:val="auto"/>
          <w:kern w:val="0"/>
          <w:sz w:val="24"/>
          <w:szCs w:val="24"/>
          <w:highlight w:val="none"/>
          <w:lang w:val="en-US" w:eastAsia="zh-CN" w:bidi="ar-SA"/>
        </w:rPr>
        <w:t>正式开始大修作业前，由专业人员持全站仪对承轨梁、轨道</w:t>
      </w:r>
      <w:r>
        <w:rPr>
          <w:rFonts w:hint="eastAsia" w:asciiTheme="minorEastAsia" w:hAnsiTheme="minorEastAsia" w:eastAsiaTheme="minorEastAsia" w:cstheme="minorEastAsia"/>
          <w:snapToGrid w:val="0"/>
          <w:color w:val="auto"/>
          <w:kern w:val="0"/>
          <w:sz w:val="24"/>
          <w:szCs w:val="24"/>
          <w:highlight w:val="none"/>
          <w:lang w:val="en-US" w:eastAsia="zh-CN"/>
        </w:rPr>
        <w:t>进行三维坐标测量：</w:t>
      </w:r>
    </w:p>
    <w:p w14:paraId="0FFC6CF9">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a使用全站仪、电子水准仪等对整段轨道、承轨梁进行三维坐标测量（轨道平行度、直线度、跨距、标高等数据）；每条轨道、每条承轨梁测点不少于49个，相邻两个测点之间的距离不大于2m）。</w:t>
      </w:r>
    </w:p>
    <w:p w14:paraId="0007F59D">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b大修前后测量点的位置尽可能保持一致。</w:t>
      </w:r>
    </w:p>
    <w:p w14:paraId="3F86B2D7">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c出具相关测量报告，含大修调整前后数据对比。</w:t>
      </w:r>
    </w:p>
    <w:p w14:paraId="27CBB190">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②根据测量数据对承轨钢梁检查、调整：</w:t>
      </w:r>
    </w:p>
    <w:p w14:paraId="572DF944">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a如承轨梁出现下沉或偏移，由承包人提供合理的方案，经确认后进行校正施工。每个垃圾仓内，大车承轨梁共有21个支点。在施工时需要使用吊篮或搭设脚手架到达合适位置，然后对承轨梁进行校正。</w:t>
      </w:r>
    </w:p>
    <w:p w14:paraId="5C73AA13">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b承轨梁校正完成后，承轨梁平行度、直线度、跨距、标高等符合钢结构工程施工质量验收标准GB 50205-2020及垃圾吊设计标准（详见附件——承轨梁公差标准）。</w:t>
      </w:r>
    </w:p>
    <w:p w14:paraId="5F61C74D">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c承轨梁与牛腿连接：终拧扭矩100%检查；摩擦面无油漆、油污，抗滑移系数≥0.45。</w:t>
      </w:r>
    </w:p>
    <w:p w14:paraId="16DF0C4D">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d承轨梁调整完成后要求：</w:t>
      </w:r>
    </w:p>
    <w:tbl>
      <w:tblPr>
        <w:tblStyle w:val="16"/>
        <w:tblW w:w="94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90"/>
        <w:gridCol w:w="4829"/>
      </w:tblGrid>
      <w:tr w14:paraId="47290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4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B8E222">
            <w:pPr>
              <w:keepNext w:val="0"/>
              <w:keepLines w:val="0"/>
              <w:pageBreakBefore w:val="0"/>
              <w:widowControl/>
              <w:suppressLineNumbers w:val="0"/>
              <w:overflowPunct/>
              <w:topLinePunct w:val="0"/>
              <w:bidi w:val="0"/>
              <w:adjustRightInd w:val="0"/>
              <w:snapToGrid w:val="0"/>
              <w:spacing w:line="360" w:lineRule="auto"/>
              <w:ind w:left="0" w:leftChars="0" w:firstLine="0" w:firstLineChars="0"/>
              <w:jc w:val="center"/>
              <w:textAlignment w:val="auto"/>
              <w:rPr>
                <w:rFonts w:hint="eastAsia" w:asciiTheme="minorEastAsia" w:hAnsiTheme="minorEastAsia" w:eastAsiaTheme="minorEastAsia" w:cstheme="minorEastAsia"/>
                <w:b w:val="0"/>
                <w:bCs w:val="0"/>
                <w:i w:val="0"/>
                <w:iCs w:val="0"/>
                <w:snapToGrid w:val="0"/>
                <w:color w:val="auto"/>
                <w:kern w:val="0"/>
                <w:sz w:val="24"/>
                <w:szCs w:val="24"/>
                <w:highlight w:val="none"/>
                <w:u w:val="none"/>
              </w:rPr>
            </w:pPr>
            <w:r>
              <w:rPr>
                <w:rFonts w:hint="eastAsia" w:asciiTheme="minorEastAsia" w:hAnsiTheme="minorEastAsia" w:eastAsiaTheme="minorEastAsia" w:cstheme="minorEastAsia"/>
                <w:b w:val="0"/>
                <w:bCs w:val="0"/>
                <w:i w:val="0"/>
                <w:iCs w:val="0"/>
                <w:snapToGrid w:val="0"/>
                <w:color w:val="auto"/>
                <w:kern w:val="0"/>
                <w:sz w:val="24"/>
                <w:szCs w:val="24"/>
                <w:highlight w:val="none"/>
                <w:u w:val="none"/>
                <w:lang w:val="en-US" w:eastAsia="zh-CN" w:bidi="ar"/>
              </w:rPr>
              <w:t>项目</w:t>
            </w:r>
          </w:p>
        </w:tc>
        <w:tc>
          <w:tcPr>
            <w:tcW w:w="4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E03CAF">
            <w:pPr>
              <w:keepNext w:val="0"/>
              <w:keepLines w:val="0"/>
              <w:pageBreakBefore w:val="0"/>
              <w:widowControl/>
              <w:suppressLineNumbers w:val="0"/>
              <w:overflowPunct/>
              <w:topLinePunct w:val="0"/>
              <w:bidi w:val="0"/>
              <w:adjustRightInd w:val="0"/>
              <w:snapToGrid w:val="0"/>
              <w:spacing w:line="360" w:lineRule="auto"/>
              <w:ind w:left="0" w:leftChars="0" w:firstLine="0" w:firstLineChars="0"/>
              <w:jc w:val="center"/>
              <w:textAlignment w:val="auto"/>
              <w:rPr>
                <w:rFonts w:hint="eastAsia" w:asciiTheme="minorEastAsia" w:hAnsiTheme="minorEastAsia" w:eastAsiaTheme="minorEastAsia" w:cstheme="minorEastAsia"/>
                <w:b w:val="0"/>
                <w:bCs w:val="0"/>
                <w:i w:val="0"/>
                <w:iCs w:val="0"/>
                <w:snapToGrid w:val="0"/>
                <w:color w:val="auto"/>
                <w:kern w:val="0"/>
                <w:sz w:val="24"/>
                <w:szCs w:val="24"/>
                <w:highlight w:val="none"/>
                <w:u w:val="none"/>
              </w:rPr>
            </w:pPr>
            <w:r>
              <w:rPr>
                <w:rFonts w:hint="eastAsia" w:asciiTheme="minorEastAsia" w:hAnsiTheme="minorEastAsia" w:eastAsiaTheme="minorEastAsia" w:cstheme="minorEastAsia"/>
                <w:b w:val="0"/>
                <w:bCs w:val="0"/>
                <w:i w:val="0"/>
                <w:iCs w:val="0"/>
                <w:snapToGrid w:val="0"/>
                <w:color w:val="auto"/>
                <w:kern w:val="0"/>
                <w:sz w:val="24"/>
                <w:szCs w:val="24"/>
                <w:highlight w:val="none"/>
                <w:u w:val="none"/>
                <w:lang w:val="en-US" w:eastAsia="zh-CN" w:bidi="ar"/>
              </w:rPr>
              <w:t>允许偏差</w:t>
            </w:r>
          </w:p>
        </w:tc>
      </w:tr>
      <w:tr w14:paraId="3797C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4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DD116F">
            <w:pPr>
              <w:keepNext w:val="0"/>
              <w:keepLines w:val="0"/>
              <w:pageBreakBefore w:val="0"/>
              <w:widowControl/>
              <w:suppressLineNumbers w:val="0"/>
              <w:overflowPunct/>
              <w:topLinePunct w:val="0"/>
              <w:bidi w:val="0"/>
              <w:adjustRightInd w:val="0"/>
              <w:snapToGrid w:val="0"/>
              <w:spacing w:line="360" w:lineRule="auto"/>
              <w:ind w:left="0" w:leftChars="0" w:firstLine="0" w:firstLineChars="0"/>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梁中心线对定位轴线偏移</w:t>
            </w:r>
          </w:p>
        </w:tc>
        <w:tc>
          <w:tcPr>
            <w:tcW w:w="4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1B6BAB">
            <w:pPr>
              <w:keepNext w:val="0"/>
              <w:keepLines w:val="0"/>
              <w:pageBreakBefore w:val="0"/>
              <w:widowControl/>
              <w:suppressLineNumbers w:val="0"/>
              <w:overflowPunct/>
              <w:topLinePunct w:val="0"/>
              <w:bidi w:val="0"/>
              <w:adjustRightInd w:val="0"/>
              <w:snapToGrid w:val="0"/>
              <w:spacing w:line="360" w:lineRule="auto"/>
              <w:ind w:left="0" w:leftChars="0" w:firstLine="0" w:firstLineChars="0"/>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≤5 mm</w:t>
            </w:r>
          </w:p>
        </w:tc>
      </w:tr>
      <w:tr w14:paraId="6307F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459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3D5B16">
            <w:pPr>
              <w:keepNext w:val="0"/>
              <w:keepLines w:val="0"/>
              <w:pageBreakBefore w:val="0"/>
              <w:widowControl/>
              <w:suppressLineNumbers w:val="0"/>
              <w:overflowPunct/>
              <w:topLinePunct w:val="0"/>
              <w:bidi w:val="0"/>
              <w:adjustRightInd w:val="0"/>
              <w:snapToGrid w:val="0"/>
              <w:spacing w:line="360" w:lineRule="auto"/>
              <w:ind w:left="0" w:leftChars="0" w:firstLine="0" w:firstLineChars="0"/>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梁跨中垂直度（侧向弯曲）</w:t>
            </w:r>
          </w:p>
        </w:tc>
        <w:tc>
          <w:tcPr>
            <w:tcW w:w="4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9DBD9D">
            <w:pPr>
              <w:keepNext w:val="0"/>
              <w:keepLines w:val="0"/>
              <w:pageBreakBefore w:val="0"/>
              <w:widowControl/>
              <w:suppressLineNumbers w:val="0"/>
              <w:overflowPunct/>
              <w:topLinePunct w:val="0"/>
              <w:bidi w:val="0"/>
              <w:adjustRightInd w:val="0"/>
              <w:snapToGrid w:val="0"/>
              <w:spacing w:line="360" w:lineRule="auto"/>
              <w:ind w:left="0" w:leftChars="0" w:firstLine="0" w:firstLineChars="0"/>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≤H/500 且 ≤10 mm</w:t>
            </w:r>
          </w:p>
        </w:tc>
      </w:tr>
      <w:tr w14:paraId="72C12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114CB8">
            <w:pPr>
              <w:pageBreakBefore w:val="0"/>
              <w:overflowPunct/>
              <w:topLinePunct w:val="0"/>
              <w:bidi w:val="0"/>
              <w:adjustRightInd w:val="0"/>
              <w:snapToGrid w:val="0"/>
              <w:spacing w:line="360" w:lineRule="auto"/>
              <w:ind w:left="0" w:leftChars="0" w:firstLine="0" w:firstLineChars="0"/>
              <w:jc w:val="center"/>
              <w:rPr>
                <w:rFonts w:hint="eastAsia" w:asciiTheme="minorEastAsia" w:hAnsiTheme="minorEastAsia" w:eastAsiaTheme="minorEastAsia" w:cstheme="minorEastAsia"/>
                <w:snapToGrid w:val="0"/>
                <w:color w:val="auto"/>
                <w:kern w:val="0"/>
                <w:sz w:val="24"/>
                <w:szCs w:val="24"/>
                <w:highlight w:val="none"/>
                <w:lang w:val="en-US" w:eastAsia="zh-CN" w:bidi="ar-SA"/>
              </w:rPr>
            </w:pPr>
          </w:p>
        </w:tc>
        <w:tc>
          <w:tcPr>
            <w:tcW w:w="4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4FD0AA">
            <w:pPr>
              <w:keepNext w:val="0"/>
              <w:keepLines w:val="0"/>
              <w:pageBreakBefore w:val="0"/>
              <w:widowControl/>
              <w:suppressLineNumbers w:val="0"/>
              <w:overflowPunct/>
              <w:topLinePunct w:val="0"/>
              <w:bidi w:val="0"/>
              <w:adjustRightInd w:val="0"/>
              <w:snapToGrid w:val="0"/>
              <w:spacing w:line="360" w:lineRule="auto"/>
              <w:ind w:left="0" w:leftChars="0" w:firstLine="0" w:firstLineChars="0"/>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（H=梁高）</w:t>
            </w:r>
          </w:p>
        </w:tc>
      </w:tr>
      <w:tr w14:paraId="57C3B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459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3668E1">
            <w:pPr>
              <w:keepNext w:val="0"/>
              <w:keepLines w:val="0"/>
              <w:pageBreakBefore w:val="0"/>
              <w:widowControl/>
              <w:suppressLineNumbers w:val="0"/>
              <w:overflowPunct/>
              <w:topLinePunct w:val="0"/>
              <w:bidi w:val="0"/>
              <w:adjustRightInd w:val="0"/>
              <w:snapToGrid w:val="0"/>
              <w:spacing w:line="360" w:lineRule="auto"/>
              <w:ind w:left="0" w:leftChars="0" w:firstLine="0" w:firstLineChars="0"/>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梁顶面标高</w:t>
            </w:r>
          </w:p>
        </w:tc>
        <w:tc>
          <w:tcPr>
            <w:tcW w:w="4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AD15B7">
            <w:pPr>
              <w:keepNext w:val="0"/>
              <w:keepLines w:val="0"/>
              <w:pageBreakBefore w:val="0"/>
              <w:widowControl/>
              <w:suppressLineNumbers w:val="0"/>
              <w:overflowPunct/>
              <w:topLinePunct w:val="0"/>
              <w:bidi w:val="0"/>
              <w:adjustRightInd w:val="0"/>
              <w:snapToGrid w:val="0"/>
              <w:spacing w:line="360" w:lineRule="auto"/>
              <w:ind w:left="0" w:leftChars="0" w:firstLine="0" w:firstLineChars="0"/>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±3 mm（同一跨两端）</w:t>
            </w:r>
          </w:p>
        </w:tc>
      </w:tr>
      <w:tr w14:paraId="465C1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57A2F8">
            <w:pPr>
              <w:pageBreakBefore w:val="0"/>
              <w:overflowPunct/>
              <w:topLinePunct w:val="0"/>
              <w:bidi w:val="0"/>
              <w:adjustRightInd w:val="0"/>
              <w:snapToGrid w:val="0"/>
              <w:spacing w:line="360" w:lineRule="auto"/>
              <w:ind w:left="0" w:leftChars="0" w:firstLine="0" w:firstLineChars="0"/>
              <w:jc w:val="center"/>
              <w:rPr>
                <w:rFonts w:hint="eastAsia" w:asciiTheme="minorEastAsia" w:hAnsiTheme="minorEastAsia" w:eastAsiaTheme="minorEastAsia" w:cstheme="minorEastAsia"/>
                <w:snapToGrid w:val="0"/>
                <w:color w:val="auto"/>
                <w:kern w:val="0"/>
                <w:sz w:val="24"/>
                <w:szCs w:val="24"/>
                <w:highlight w:val="none"/>
                <w:lang w:val="en-US" w:eastAsia="zh-CN" w:bidi="ar-SA"/>
              </w:rPr>
            </w:pPr>
          </w:p>
        </w:tc>
        <w:tc>
          <w:tcPr>
            <w:tcW w:w="4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015014">
            <w:pPr>
              <w:keepNext w:val="0"/>
              <w:keepLines w:val="0"/>
              <w:pageBreakBefore w:val="0"/>
              <w:widowControl/>
              <w:suppressLineNumbers w:val="0"/>
              <w:overflowPunct/>
              <w:topLinePunct w:val="0"/>
              <w:bidi w:val="0"/>
              <w:adjustRightInd w:val="0"/>
              <w:snapToGrid w:val="0"/>
              <w:spacing w:line="360" w:lineRule="auto"/>
              <w:ind w:left="0" w:leftChars="0" w:firstLine="0" w:firstLineChars="0"/>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相邻梁高差 ≤2 mm</w:t>
            </w:r>
          </w:p>
        </w:tc>
      </w:tr>
      <w:tr w14:paraId="7B35D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4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85C1D2">
            <w:pPr>
              <w:keepNext w:val="0"/>
              <w:keepLines w:val="0"/>
              <w:pageBreakBefore w:val="0"/>
              <w:widowControl/>
              <w:suppressLineNumbers w:val="0"/>
              <w:overflowPunct/>
              <w:topLinePunct w:val="0"/>
              <w:bidi w:val="0"/>
              <w:adjustRightInd w:val="0"/>
              <w:snapToGrid w:val="0"/>
              <w:spacing w:line="360" w:lineRule="auto"/>
              <w:ind w:left="0" w:leftChars="0" w:firstLine="0" w:firstLineChars="0"/>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梁上翼缘平面度（轨道安装面）</w:t>
            </w:r>
          </w:p>
        </w:tc>
        <w:tc>
          <w:tcPr>
            <w:tcW w:w="4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609DAA">
            <w:pPr>
              <w:keepNext w:val="0"/>
              <w:keepLines w:val="0"/>
              <w:pageBreakBefore w:val="0"/>
              <w:widowControl/>
              <w:suppressLineNumbers w:val="0"/>
              <w:overflowPunct/>
              <w:topLinePunct w:val="0"/>
              <w:bidi w:val="0"/>
              <w:adjustRightInd w:val="0"/>
              <w:snapToGrid w:val="0"/>
              <w:spacing w:line="360" w:lineRule="auto"/>
              <w:ind w:left="0" w:leftChars="0" w:firstLine="0" w:firstLineChars="0"/>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≤1 mm/m</w:t>
            </w:r>
          </w:p>
        </w:tc>
      </w:tr>
      <w:tr w14:paraId="455E0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4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120BC6">
            <w:pPr>
              <w:keepNext w:val="0"/>
              <w:keepLines w:val="0"/>
              <w:pageBreakBefore w:val="0"/>
              <w:widowControl/>
              <w:suppressLineNumbers w:val="0"/>
              <w:overflowPunct/>
              <w:topLinePunct w:val="0"/>
              <w:bidi w:val="0"/>
              <w:adjustRightInd w:val="0"/>
              <w:snapToGrid w:val="0"/>
              <w:spacing w:line="360" w:lineRule="auto"/>
              <w:ind w:left="0" w:leftChars="0" w:firstLine="0" w:firstLineChars="0"/>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两承轨梁间距（即轨距基础）</w:t>
            </w:r>
          </w:p>
        </w:tc>
        <w:tc>
          <w:tcPr>
            <w:tcW w:w="48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90C655">
            <w:pPr>
              <w:keepNext w:val="0"/>
              <w:keepLines w:val="0"/>
              <w:pageBreakBefore w:val="0"/>
              <w:widowControl/>
              <w:suppressLineNumbers w:val="0"/>
              <w:overflowPunct/>
              <w:topLinePunct w:val="0"/>
              <w:bidi w:val="0"/>
              <w:adjustRightInd w:val="0"/>
              <w:snapToGrid w:val="0"/>
              <w:spacing w:line="360" w:lineRule="auto"/>
              <w:ind w:left="0" w:leftChars="0" w:firstLine="0" w:firstLineChars="0"/>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±[2 + 0.1(S − 10)] mm</w:t>
            </w:r>
          </w:p>
        </w:tc>
      </w:tr>
    </w:tbl>
    <w:p w14:paraId="2AD8444D">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bCs w:val="0"/>
          <w:snapToGrid w:val="0"/>
          <w:color w:val="auto"/>
          <w:kern w:val="0"/>
          <w:sz w:val="24"/>
          <w:szCs w:val="24"/>
          <w:highlight w:val="none"/>
          <w:lang w:val="en-US" w:eastAsia="zh-CN"/>
        </w:rPr>
      </w:pPr>
    </w:p>
    <w:p w14:paraId="5A3064B1">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③垃圾吊大车轨道共4条，每条长度约97米，标高约34米。根据测量数据对垃圾吊大车轨道检查、调整：</w:t>
      </w:r>
    </w:p>
    <w:p w14:paraId="7FC8D0E7">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a在保证垃圾吊正常投炉的前提下进行垃圾吊大车轨道调整工作；若需要长时间停运设备，应与发包方进行协商，经发包方同意方可进行。</w:t>
      </w:r>
    </w:p>
    <w:p w14:paraId="0F6626D2">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b在垃圾吊大车轨道调整大修过程中根据实际情况进行更换压轨器及螺栓（4条大车轨道，压轨器共约1300套）。</w:t>
      </w:r>
    </w:p>
    <w:p w14:paraId="6B7E3F00">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c在垃圾吊大车轨道调整大修过程中对大车轨道垫板进行全部更换。垫板的宽度应宽于轨道10mm～20mm；同一位置垫板不得超过3层，垫板数量约200块。</w:t>
      </w:r>
    </w:p>
    <w:p w14:paraId="6101AA78">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d大车轨道调整完成后应达到以下要求（附件轨道公差标准）：</w:t>
      </w:r>
    </w:p>
    <w:tbl>
      <w:tblPr>
        <w:tblStyle w:val="16"/>
        <w:tblW w:w="85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2"/>
        <w:gridCol w:w="5577"/>
      </w:tblGrid>
      <w:tr w14:paraId="5C386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30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9828C6">
            <w:pPr>
              <w:keepNext w:val="0"/>
              <w:keepLines w:val="0"/>
              <w:pageBreakBefore w:val="0"/>
              <w:widowControl/>
              <w:suppressLineNumbers w:val="0"/>
              <w:overflowPunct/>
              <w:topLinePunct w:val="0"/>
              <w:bidi w:val="0"/>
              <w:adjustRightInd w:val="0"/>
              <w:snapToGrid w:val="0"/>
              <w:spacing w:line="360" w:lineRule="auto"/>
              <w:ind w:left="0" w:leftChars="0" w:firstLine="0" w:firstLineChars="0"/>
              <w:jc w:val="center"/>
              <w:textAlignment w:val="auto"/>
              <w:rPr>
                <w:rFonts w:hint="eastAsia" w:asciiTheme="minorEastAsia" w:hAnsiTheme="minorEastAsia" w:eastAsiaTheme="minorEastAsia" w:cstheme="minorEastAsia"/>
                <w:bCs w:val="0"/>
                <w:snapToGrid w:val="0"/>
                <w:color w:val="auto"/>
                <w:kern w:val="0"/>
                <w:sz w:val="24"/>
                <w:szCs w:val="24"/>
                <w:highlight w:val="none"/>
                <w:lang w:val="en-US" w:eastAsia="zh-CN" w:bidi="ar-SA"/>
              </w:rPr>
            </w:pPr>
            <w:r>
              <w:rPr>
                <w:rFonts w:hint="eastAsia" w:asciiTheme="minorEastAsia" w:hAnsiTheme="minorEastAsia" w:eastAsiaTheme="minorEastAsia" w:cstheme="minorEastAsia"/>
                <w:bCs w:val="0"/>
                <w:snapToGrid w:val="0"/>
                <w:color w:val="auto"/>
                <w:kern w:val="0"/>
                <w:sz w:val="24"/>
                <w:szCs w:val="24"/>
                <w:highlight w:val="none"/>
                <w:lang w:val="en-US" w:eastAsia="zh-CN" w:bidi="ar-SA"/>
              </w:rPr>
              <w:t>项目</w:t>
            </w:r>
          </w:p>
        </w:tc>
        <w:tc>
          <w:tcPr>
            <w:tcW w:w="55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F46E21">
            <w:pPr>
              <w:keepNext w:val="0"/>
              <w:keepLines w:val="0"/>
              <w:pageBreakBefore w:val="0"/>
              <w:widowControl/>
              <w:suppressLineNumbers w:val="0"/>
              <w:overflowPunct/>
              <w:topLinePunct w:val="0"/>
              <w:bidi w:val="0"/>
              <w:adjustRightInd w:val="0"/>
              <w:snapToGrid w:val="0"/>
              <w:spacing w:line="360" w:lineRule="auto"/>
              <w:ind w:left="0" w:leftChars="0" w:firstLine="0" w:firstLineChars="0"/>
              <w:jc w:val="center"/>
              <w:textAlignment w:val="auto"/>
              <w:rPr>
                <w:rFonts w:hint="eastAsia" w:asciiTheme="minorEastAsia" w:hAnsiTheme="minorEastAsia" w:eastAsiaTheme="minorEastAsia" w:cstheme="minorEastAsia"/>
                <w:bCs w:val="0"/>
                <w:snapToGrid w:val="0"/>
                <w:color w:val="auto"/>
                <w:kern w:val="0"/>
                <w:sz w:val="24"/>
                <w:szCs w:val="24"/>
                <w:highlight w:val="none"/>
                <w:lang w:val="en-US" w:eastAsia="zh-CN" w:bidi="ar-SA"/>
              </w:rPr>
            </w:pPr>
            <w:r>
              <w:rPr>
                <w:rFonts w:hint="eastAsia" w:asciiTheme="minorEastAsia" w:hAnsiTheme="minorEastAsia" w:eastAsiaTheme="minorEastAsia" w:cstheme="minorEastAsia"/>
                <w:bCs w:val="0"/>
                <w:snapToGrid w:val="0"/>
                <w:color w:val="auto"/>
                <w:kern w:val="0"/>
                <w:sz w:val="24"/>
                <w:szCs w:val="24"/>
                <w:highlight w:val="none"/>
                <w:lang w:val="en-US" w:eastAsia="zh-CN" w:bidi="ar-SA"/>
              </w:rPr>
              <w:t>允许偏差</w:t>
            </w:r>
          </w:p>
        </w:tc>
      </w:tr>
      <w:tr w14:paraId="3B07D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30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02ED3A">
            <w:pPr>
              <w:pageBreakBefore w:val="0"/>
              <w:widowControl/>
              <w:overflowPunct/>
              <w:topLinePunct w:val="0"/>
              <w:bidi w:val="0"/>
              <w:adjustRightInd w:val="0"/>
              <w:snapToGrid w:val="0"/>
              <w:spacing w:line="360" w:lineRule="auto"/>
              <w:ind w:left="0" w:leftChars="0" w:firstLine="0" w:firstLineChars="0"/>
              <w:jc w:val="center"/>
              <w:rPr>
                <w:rFonts w:hint="eastAsia" w:asciiTheme="minorEastAsia" w:hAnsiTheme="minorEastAsia" w:eastAsiaTheme="minorEastAsia" w:cstheme="minorEastAsia"/>
                <w:bCs w:val="0"/>
                <w:snapToGrid w:val="0"/>
                <w:color w:val="auto"/>
                <w:kern w:val="0"/>
                <w:sz w:val="24"/>
                <w:szCs w:val="24"/>
                <w:highlight w:val="none"/>
                <w:lang w:val="en-US" w:eastAsia="zh-CN" w:bidi="ar-SA"/>
              </w:rPr>
            </w:pPr>
            <w:r>
              <w:rPr>
                <w:rFonts w:hint="eastAsia" w:asciiTheme="minorEastAsia" w:hAnsiTheme="minorEastAsia" w:eastAsiaTheme="minorEastAsia" w:cstheme="minorEastAsia"/>
                <w:bCs w:val="0"/>
                <w:snapToGrid w:val="0"/>
                <w:color w:val="auto"/>
                <w:kern w:val="0"/>
                <w:sz w:val="24"/>
                <w:szCs w:val="24"/>
                <w:highlight w:val="none"/>
                <w:lang w:val="en-US" w:eastAsia="zh-CN" w:bidi="ar-SA"/>
              </w:rPr>
              <w:t>轨距（S）</w:t>
            </w:r>
          </w:p>
        </w:tc>
        <w:tc>
          <w:tcPr>
            <w:tcW w:w="55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5E7D7C">
            <w:pPr>
              <w:keepNext w:val="0"/>
              <w:keepLines w:val="0"/>
              <w:pageBreakBefore w:val="0"/>
              <w:widowControl/>
              <w:suppressLineNumbers w:val="0"/>
              <w:overflowPunct/>
              <w:topLinePunct w:val="0"/>
              <w:bidi w:val="0"/>
              <w:adjustRightInd w:val="0"/>
              <w:snapToGrid w:val="0"/>
              <w:spacing w:line="360" w:lineRule="auto"/>
              <w:ind w:left="0" w:leftChars="0" w:firstLine="0" w:firstLineChars="0"/>
              <w:jc w:val="center"/>
              <w:textAlignment w:val="auto"/>
              <w:rPr>
                <w:rFonts w:hint="eastAsia" w:asciiTheme="minorEastAsia" w:hAnsiTheme="minorEastAsia" w:eastAsiaTheme="minorEastAsia" w:cstheme="minorEastAsia"/>
                <w:bCs w:val="0"/>
                <w:snapToGrid w:val="0"/>
                <w:color w:val="auto"/>
                <w:kern w:val="0"/>
                <w:sz w:val="24"/>
                <w:szCs w:val="24"/>
                <w:highlight w:val="none"/>
                <w:lang w:val="en-US" w:eastAsia="zh-CN" w:bidi="ar-SA"/>
              </w:rPr>
            </w:pPr>
            <w:r>
              <w:rPr>
                <w:rFonts w:hint="eastAsia" w:asciiTheme="minorEastAsia" w:hAnsiTheme="minorEastAsia" w:eastAsiaTheme="minorEastAsia" w:cstheme="minorEastAsia"/>
                <w:bCs w:val="0"/>
                <w:snapToGrid w:val="0"/>
                <w:color w:val="auto"/>
                <w:kern w:val="0"/>
                <w:sz w:val="24"/>
                <w:szCs w:val="24"/>
                <w:highlight w:val="none"/>
                <w:lang w:val="en-US" w:eastAsia="zh-CN" w:bidi="ar-SA"/>
              </w:rPr>
              <w:t>S &gt; 10m：±[2 + 0.1(S−10)] mm，最大≤±8mm</w:t>
            </w:r>
          </w:p>
        </w:tc>
      </w:tr>
      <w:tr w14:paraId="007A2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30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CA9605">
            <w:pPr>
              <w:keepNext w:val="0"/>
              <w:keepLines w:val="0"/>
              <w:pageBreakBefore w:val="0"/>
              <w:widowControl/>
              <w:suppressLineNumbers w:val="0"/>
              <w:overflowPunct/>
              <w:topLinePunct w:val="0"/>
              <w:bidi w:val="0"/>
              <w:adjustRightInd w:val="0"/>
              <w:snapToGrid w:val="0"/>
              <w:spacing w:line="360" w:lineRule="auto"/>
              <w:ind w:left="0" w:leftChars="0" w:firstLine="0" w:firstLineChars="0"/>
              <w:jc w:val="center"/>
              <w:textAlignment w:val="auto"/>
              <w:rPr>
                <w:rFonts w:hint="eastAsia" w:asciiTheme="minorEastAsia" w:hAnsiTheme="minorEastAsia" w:eastAsiaTheme="minorEastAsia" w:cstheme="minorEastAsia"/>
                <w:bCs w:val="0"/>
                <w:snapToGrid w:val="0"/>
                <w:color w:val="auto"/>
                <w:kern w:val="0"/>
                <w:sz w:val="24"/>
                <w:szCs w:val="24"/>
                <w:highlight w:val="none"/>
                <w:lang w:val="en-US" w:eastAsia="zh-CN" w:bidi="ar-SA"/>
              </w:rPr>
            </w:pPr>
            <w:r>
              <w:rPr>
                <w:rFonts w:hint="eastAsia" w:asciiTheme="minorEastAsia" w:hAnsiTheme="minorEastAsia" w:eastAsiaTheme="minorEastAsia" w:cstheme="minorEastAsia"/>
                <w:bCs w:val="0"/>
                <w:snapToGrid w:val="0"/>
                <w:color w:val="auto"/>
                <w:kern w:val="0"/>
                <w:sz w:val="24"/>
                <w:szCs w:val="24"/>
                <w:highlight w:val="none"/>
                <w:lang w:val="en-US" w:eastAsia="zh-CN" w:bidi="ar-SA"/>
              </w:rPr>
              <w:t>同一截面两轨顶标高差</w:t>
            </w:r>
          </w:p>
        </w:tc>
        <w:tc>
          <w:tcPr>
            <w:tcW w:w="55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C40E7B">
            <w:pPr>
              <w:keepNext w:val="0"/>
              <w:keepLines w:val="0"/>
              <w:pageBreakBefore w:val="0"/>
              <w:widowControl/>
              <w:suppressLineNumbers w:val="0"/>
              <w:overflowPunct/>
              <w:topLinePunct w:val="0"/>
              <w:bidi w:val="0"/>
              <w:adjustRightInd w:val="0"/>
              <w:snapToGrid w:val="0"/>
              <w:spacing w:line="360" w:lineRule="auto"/>
              <w:ind w:left="0" w:leftChars="0" w:firstLine="0" w:firstLineChars="0"/>
              <w:jc w:val="center"/>
              <w:textAlignment w:val="auto"/>
              <w:rPr>
                <w:rFonts w:hint="eastAsia" w:asciiTheme="minorEastAsia" w:hAnsiTheme="minorEastAsia" w:eastAsiaTheme="minorEastAsia" w:cstheme="minorEastAsia"/>
                <w:bCs w:val="0"/>
                <w:snapToGrid w:val="0"/>
                <w:color w:val="auto"/>
                <w:kern w:val="0"/>
                <w:sz w:val="24"/>
                <w:szCs w:val="24"/>
                <w:highlight w:val="none"/>
                <w:lang w:val="en-US" w:eastAsia="zh-CN" w:bidi="ar-SA"/>
              </w:rPr>
            </w:pPr>
            <w:r>
              <w:rPr>
                <w:rFonts w:hint="eastAsia" w:asciiTheme="minorEastAsia" w:hAnsiTheme="minorEastAsia" w:eastAsiaTheme="minorEastAsia" w:cstheme="minorEastAsia"/>
                <w:bCs w:val="0"/>
                <w:snapToGrid w:val="0"/>
                <w:color w:val="auto"/>
                <w:kern w:val="0"/>
                <w:sz w:val="24"/>
                <w:szCs w:val="24"/>
                <w:highlight w:val="none"/>
                <w:lang w:val="en-US" w:eastAsia="zh-CN" w:bidi="ar-SA"/>
              </w:rPr>
              <w:t>≤2mm</w:t>
            </w:r>
          </w:p>
        </w:tc>
      </w:tr>
      <w:tr w14:paraId="75B0F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0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478366">
            <w:pPr>
              <w:keepNext w:val="0"/>
              <w:keepLines w:val="0"/>
              <w:pageBreakBefore w:val="0"/>
              <w:widowControl/>
              <w:suppressLineNumbers w:val="0"/>
              <w:overflowPunct/>
              <w:topLinePunct w:val="0"/>
              <w:bidi w:val="0"/>
              <w:adjustRightInd w:val="0"/>
              <w:snapToGrid w:val="0"/>
              <w:spacing w:line="360" w:lineRule="auto"/>
              <w:ind w:left="0" w:leftChars="0" w:firstLine="0" w:firstLineChars="0"/>
              <w:jc w:val="center"/>
              <w:textAlignment w:val="auto"/>
              <w:rPr>
                <w:rFonts w:hint="eastAsia" w:asciiTheme="minorEastAsia" w:hAnsiTheme="minorEastAsia" w:eastAsiaTheme="minorEastAsia" w:cstheme="minorEastAsia"/>
                <w:bCs w:val="0"/>
                <w:snapToGrid w:val="0"/>
                <w:color w:val="auto"/>
                <w:kern w:val="0"/>
                <w:sz w:val="24"/>
                <w:szCs w:val="24"/>
                <w:highlight w:val="none"/>
                <w:lang w:val="en-US" w:eastAsia="zh-CN" w:bidi="ar-SA"/>
              </w:rPr>
            </w:pPr>
            <w:r>
              <w:rPr>
                <w:rFonts w:hint="eastAsia" w:asciiTheme="minorEastAsia" w:hAnsiTheme="minorEastAsia" w:eastAsiaTheme="minorEastAsia" w:cstheme="minorEastAsia"/>
                <w:bCs w:val="0"/>
                <w:snapToGrid w:val="0"/>
                <w:color w:val="auto"/>
                <w:kern w:val="0"/>
                <w:sz w:val="24"/>
                <w:szCs w:val="24"/>
                <w:highlight w:val="none"/>
                <w:lang w:val="en-US" w:eastAsia="zh-CN" w:bidi="ar-SA"/>
              </w:rPr>
              <w:t>轨道纵向倾斜度</w:t>
            </w:r>
          </w:p>
        </w:tc>
        <w:tc>
          <w:tcPr>
            <w:tcW w:w="55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4F6198">
            <w:pPr>
              <w:keepNext w:val="0"/>
              <w:keepLines w:val="0"/>
              <w:pageBreakBefore w:val="0"/>
              <w:widowControl/>
              <w:suppressLineNumbers w:val="0"/>
              <w:overflowPunct/>
              <w:topLinePunct w:val="0"/>
              <w:bidi w:val="0"/>
              <w:adjustRightInd w:val="0"/>
              <w:snapToGrid w:val="0"/>
              <w:spacing w:line="360" w:lineRule="auto"/>
              <w:ind w:left="0" w:leftChars="0" w:firstLine="0" w:firstLineChars="0"/>
              <w:jc w:val="center"/>
              <w:textAlignment w:val="auto"/>
              <w:rPr>
                <w:rFonts w:hint="eastAsia" w:asciiTheme="minorEastAsia" w:hAnsiTheme="minorEastAsia" w:eastAsiaTheme="minorEastAsia" w:cstheme="minorEastAsia"/>
                <w:bCs w:val="0"/>
                <w:snapToGrid w:val="0"/>
                <w:color w:val="auto"/>
                <w:kern w:val="0"/>
                <w:sz w:val="24"/>
                <w:szCs w:val="24"/>
                <w:highlight w:val="none"/>
                <w:lang w:val="en-US" w:eastAsia="zh-CN" w:bidi="ar-SA"/>
              </w:rPr>
            </w:pPr>
            <w:r>
              <w:rPr>
                <w:rFonts w:hint="eastAsia" w:asciiTheme="minorEastAsia" w:hAnsiTheme="minorEastAsia" w:eastAsiaTheme="minorEastAsia" w:cstheme="minorEastAsia"/>
                <w:bCs w:val="0"/>
                <w:snapToGrid w:val="0"/>
                <w:color w:val="auto"/>
                <w:kern w:val="0"/>
                <w:sz w:val="24"/>
                <w:szCs w:val="24"/>
                <w:highlight w:val="none"/>
                <w:lang w:val="en-US" w:eastAsia="zh-CN" w:bidi="ar-SA"/>
              </w:rPr>
              <w:t>≤1/1000（全行程≤10mm）</w:t>
            </w:r>
          </w:p>
        </w:tc>
      </w:tr>
      <w:tr w14:paraId="7823E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0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35D362">
            <w:pPr>
              <w:keepNext w:val="0"/>
              <w:keepLines w:val="0"/>
              <w:pageBreakBefore w:val="0"/>
              <w:widowControl/>
              <w:suppressLineNumbers w:val="0"/>
              <w:overflowPunct/>
              <w:topLinePunct w:val="0"/>
              <w:bidi w:val="0"/>
              <w:adjustRightInd w:val="0"/>
              <w:snapToGrid w:val="0"/>
              <w:spacing w:line="360" w:lineRule="auto"/>
              <w:ind w:left="0" w:leftChars="0" w:firstLine="0" w:firstLineChars="0"/>
              <w:jc w:val="center"/>
              <w:textAlignment w:val="auto"/>
              <w:rPr>
                <w:rFonts w:hint="eastAsia" w:asciiTheme="minorEastAsia" w:hAnsiTheme="minorEastAsia" w:eastAsiaTheme="minorEastAsia" w:cstheme="minorEastAsia"/>
                <w:bCs w:val="0"/>
                <w:snapToGrid w:val="0"/>
                <w:color w:val="auto"/>
                <w:kern w:val="0"/>
                <w:sz w:val="24"/>
                <w:szCs w:val="24"/>
                <w:highlight w:val="none"/>
                <w:lang w:val="en-US" w:eastAsia="zh-CN" w:bidi="ar-SA"/>
              </w:rPr>
            </w:pPr>
            <w:r>
              <w:rPr>
                <w:rFonts w:hint="eastAsia" w:asciiTheme="minorEastAsia" w:hAnsiTheme="minorEastAsia" w:eastAsiaTheme="minorEastAsia" w:cstheme="minorEastAsia"/>
                <w:bCs w:val="0"/>
                <w:snapToGrid w:val="0"/>
                <w:color w:val="auto"/>
                <w:kern w:val="0"/>
                <w:sz w:val="24"/>
                <w:szCs w:val="24"/>
                <w:highlight w:val="none"/>
                <w:lang w:val="en-US" w:eastAsia="zh-CN" w:bidi="ar-SA"/>
              </w:rPr>
              <w:t>轨道直线度</w:t>
            </w:r>
          </w:p>
        </w:tc>
        <w:tc>
          <w:tcPr>
            <w:tcW w:w="55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D7FB29">
            <w:pPr>
              <w:keepNext w:val="0"/>
              <w:keepLines w:val="0"/>
              <w:pageBreakBefore w:val="0"/>
              <w:widowControl/>
              <w:suppressLineNumbers w:val="0"/>
              <w:overflowPunct/>
              <w:topLinePunct w:val="0"/>
              <w:bidi w:val="0"/>
              <w:adjustRightInd w:val="0"/>
              <w:snapToGrid w:val="0"/>
              <w:spacing w:line="360" w:lineRule="auto"/>
              <w:ind w:left="0" w:leftChars="0" w:firstLine="0" w:firstLineChars="0"/>
              <w:jc w:val="center"/>
              <w:textAlignment w:val="auto"/>
              <w:rPr>
                <w:rFonts w:hint="eastAsia" w:asciiTheme="minorEastAsia" w:hAnsiTheme="minorEastAsia" w:eastAsiaTheme="minorEastAsia" w:cstheme="minorEastAsia"/>
                <w:bCs w:val="0"/>
                <w:snapToGrid w:val="0"/>
                <w:color w:val="auto"/>
                <w:kern w:val="0"/>
                <w:sz w:val="24"/>
                <w:szCs w:val="24"/>
                <w:highlight w:val="none"/>
                <w:lang w:val="en-US" w:eastAsia="zh-CN" w:bidi="ar-SA"/>
              </w:rPr>
            </w:pPr>
            <w:r>
              <w:rPr>
                <w:rFonts w:hint="eastAsia" w:asciiTheme="minorEastAsia" w:hAnsiTheme="minorEastAsia" w:eastAsiaTheme="minorEastAsia" w:cstheme="minorEastAsia"/>
                <w:bCs w:val="0"/>
                <w:snapToGrid w:val="0"/>
                <w:color w:val="auto"/>
                <w:kern w:val="0"/>
                <w:sz w:val="24"/>
                <w:szCs w:val="24"/>
                <w:highlight w:val="none"/>
                <w:lang w:val="en-US" w:eastAsia="zh-CN" w:bidi="ar-SA"/>
              </w:rPr>
              <w:t>≤1mm/2m；全长≤L/15000 且 ≤10mm</w:t>
            </w:r>
          </w:p>
        </w:tc>
      </w:tr>
      <w:tr w14:paraId="3EB34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jc w:val="center"/>
        </w:trPr>
        <w:tc>
          <w:tcPr>
            <w:tcW w:w="30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5B1472">
            <w:pPr>
              <w:keepNext w:val="0"/>
              <w:keepLines w:val="0"/>
              <w:pageBreakBefore w:val="0"/>
              <w:widowControl/>
              <w:suppressLineNumbers w:val="0"/>
              <w:overflowPunct/>
              <w:topLinePunct w:val="0"/>
              <w:bidi w:val="0"/>
              <w:adjustRightInd w:val="0"/>
              <w:snapToGrid w:val="0"/>
              <w:spacing w:line="360" w:lineRule="auto"/>
              <w:ind w:left="0" w:leftChars="0" w:firstLine="0" w:firstLineChars="0"/>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轨道中心与承轨梁中心偏差</w:t>
            </w:r>
          </w:p>
        </w:tc>
        <w:tc>
          <w:tcPr>
            <w:tcW w:w="55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F92710">
            <w:pPr>
              <w:keepNext w:val="0"/>
              <w:keepLines w:val="0"/>
              <w:pageBreakBefore w:val="0"/>
              <w:widowControl/>
              <w:suppressLineNumbers w:val="0"/>
              <w:overflowPunct/>
              <w:topLinePunct w:val="0"/>
              <w:bidi w:val="0"/>
              <w:adjustRightInd w:val="0"/>
              <w:snapToGrid w:val="0"/>
              <w:spacing w:line="360" w:lineRule="auto"/>
              <w:ind w:left="0" w:leftChars="0" w:firstLine="0" w:firstLineChars="0"/>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rPr>
            </w:pPr>
            <w:r>
              <w:rPr>
                <w:rFonts w:hint="eastAsia" w:asciiTheme="minorEastAsia" w:hAnsiTheme="minorEastAsia" w:eastAsiaTheme="minorEastAsia" w:cstheme="minorEastAsia"/>
                <w:bCs w:val="0"/>
                <w:snapToGrid w:val="0"/>
                <w:color w:val="auto"/>
                <w:kern w:val="0"/>
                <w:sz w:val="24"/>
                <w:szCs w:val="24"/>
                <w:highlight w:val="none"/>
                <w:lang w:val="en-US" w:eastAsia="zh-CN" w:bidi="ar-SA"/>
              </w:rPr>
              <w:t>≤10mm</w:t>
            </w:r>
          </w:p>
        </w:tc>
      </w:tr>
      <w:tr w14:paraId="318C2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jc w:val="center"/>
        </w:trPr>
        <w:tc>
          <w:tcPr>
            <w:tcW w:w="30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6CA549">
            <w:pPr>
              <w:keepNext w:val="0"/>
              <w:keepLines w:val="0"/>
              <w:pageBreakBefore w:val="0"/>
              <w:widowControl/>
              <w:suppressLineNumbers w:val="0"/>
              <w:overflowPunct/>
              <w:topLinePunct w:val="0"/>
              <w:bidi w:val="0"/>
              <w:adjustRightInd w:val="0"/>
              <w:snapToGrid w:val="0"/>
              <w:spacing w:line="360" w:lineRule="auto"/>
              <w:ind w:left="0" w:leftChars="0" w:firstLine="0" w:firstLineChars="0"/>
              <w:jc w:val="center"/>
              <w:textAlignment w:val="auto"/>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bCs w:val="0"/>
                <w:snapToGrid w:val="0"/>
                <w:color w:val="auto"/>
                <w:kern w:val="0"/>
                <w:sz w:val="24"/>
                <w:szCs w:val="24"/>
                <w:highlight w:val="none"/>
                <w:lang w:val="en-US" w:eastAsia="zh-CN"/>
              </w:rPr>
              <w:t>轨道</w:t>
            </w:r>
            <w:r>
              <w:rPr>
                <w:rFonts w:hint="eastAsia" w:asciiTheme="minorEastAsia" w:hAnsiTheme="minorEastAsia" w:eastAsiaTheme="minorEastAsia" w:cstheme="minorEastAsia"/>
                <w:i w:val="0"/>
                <w:iCs w:val="0"/>
                <w:caps w:val="0"/>
                <w:snapToGrid w:val="0"/>
                <w:color w:val="auto"/>
                <w:spacing w:val="0"/>
                <w:kern w:val="0"/>
                <w:sz w:val="24"/>
                <w:szCs w:val="24"/>
                <w:highlight w:val="none"/>
                <w:shd w:val="clear" w:color="auto" w:fill="auto"/>
              </w:rPr>
              <w:t>压板</w:t>
            </w:r>
          </w:p>
        </w:tc>
        <w:tc>
          <w:tcPr>
            <w:tcW w:w="55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14E291">
            <w:pPr>
              <w:keepNext w:val="0"/>
              <w:keepLines w:val="0"/>
              <w:pageBreakBefore w:val="0"/>
              <w:widowControl/>
              <w:suppressLineNumbers w:val="0"/>
              <w:overflowPunct/>
              <w:topLinePunct w:val="0"/>
              <w:bidi w:val="0"/>
              <w:adjustRightInd w:val="0"/>
              <w:snapToGrid w:val="0"/>
              <w:spacing w:line="360" w:lineRule="auto"/>
              <w:ind w:left="0" w:leftChars="0" w:firstLine="0" w:firstLineChars="0"/>
              <w:jc w:val="center"/>
              <w:textAlignment w:val="auto"/>
              <w:rPr>
                <w:rFonts w:hint="eastAsia" w:asciiTheme="minorEastAsia" w:hAnsiTheme="minorEastAsia" w:eastAsiaTheme="minorEastAsia" w:cstheme="minorEastAsia"/>
                <w:bCs w:val="0"/>
                <w:snapToGrid w:val="0"/>
                <w:color w:val="auto"/>
                <w:kern w:val="0"/>
                <w:sz w:val="24"/>
                <w:szCs w:val="24"/>
                <w:highlight w:val="none"/>
                <w:lang w:val="en-US" w:eastAsia="zh-CN" w:bidi="ar-SA"/>
              </w:rPr>
            </w:pPr>
            <w:r>
              <w:rPr>
                <w:rFonts w:hint="eastAsia" w:asciiTheme="minorEastAsia" w:hAnsiTheme="minorEastAsia" w:eastAsiaTheme="minorEastAsia" w:cstheme="minorEastAsia"/>
                <w:bCs w:val="0"/>
                <w:snapToGrid w:val="0"/>
                <w:color w:val="auto"/>
                <w:kern w:val="0"/>
                <w:sz w:val="24"/>
                <w:szCs w:val="24"/>
                <w:highlight w:val="none"/>
                <w:lang w:val="en-US" w:eastAsia="zh-CN"/>
              </w:rPr>
              <w:t>大修调整完成后，要求轨道</w:t>
            </w:r>
            <w:r>
              <w:rPr>
                <w:rFonts w:hint="eastAsia" w:asciiTheme="minorEastAsia" w:hAnsiTheme="minorEastAsia" w:eastAsiaTheme="minorEastAsia" w:cstheme="minorEastAsia"/>
                <w:i w:val="0"/>
                <w:iCs w:val="0"/>
                <w:caps w:val="0"/>
                <w:snapToGrid w:val="0"/>
                <w:color w:val="auto"/>
                <w:spacing w:val="0"/>
                <w:kern w:val="0"/>
                <w:sz w:val="24"/>
                <w:szCs w:val="24"/>
                <w:highlight w:val="none"/>
                <w:shd w:val="clear" w:color="auto" w:fill="auto"/>
              </w:rPr>
              <w:t>压板齐全、螺栓紧固到位，垫板贴合</w:t>
            </w:r>
          </w:p>
        </w:tc>
      </w:tr>
      <w:tr w14:paraId="1F15E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30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951E55">
            <w:pPr>
              <w:keepNext w:val="0"/>
              <w:keepLines w:val="0"/>
              <w:pageBreakBefore w:val="0"/>
              <w:widowControl/>
              <w:suppressLineNumbers w:val="0"/>
              <w:overflowPunct/>
              <w:topLinePunct w:val="0"/>
              <w:bidi w:val="0"/>
              <w:adjustRightInd w:val="0"/>
              <w:snapToGrid w:val="0"/>
              <w:spacing w:line="360" w:lineRule="auto"/>
              <w:ind w:left="0" w:leftChars="0" w:firstLine="0" w:firstLineChars="0"/>
              <w:jc w:val="center"/>
              <w:textAlignment w:val="auto"/>
              <w:rPr>
                <w:rFonts w:hint="eastAsia" w:asciiTheme="minorEastAsia" w:hAnsiTheme="minorEastAsia" w:eastAsiaTheme="minorEastAsia" w:cstheme="minorEastAsia"/>
                <w:bCs w:val="0"/>
                <w:snapToGrid w:val="0"/>
                <w:color w:val="auto"/>
                <w:kern w:val="0"/>
                <w:sz w:val="24"/>
                <w:szCs w:val="24"/>
                <w:highlight w:val="none"/>
                <w:lang w:val="en-US" w:eastAsia="zh-CN"/>
              </w:rPr>
            </w:pPr>
            <w:r>
              <w:rPr>
                <w:rFonts w:hint="eastAsia" w:asciiTheme="minorEastAsia" w:hAnsiTheme="minorEastAsia" w:eastAsiaTheme="minorEastAsia" w:cstheme="minorEastAsia"/>
                <w:bCs w:val="0"/>
                <w:snapToGrid w:val="0"/>
                <w:color w:val="auto"/>
                <w:kern w:val="0"/>
                <w:sz w:val="24"/>
                <w:szCs w:val="24"/>
                <w:highlight w:val="none"/>
                <w:lang w:val="en-US" w:eastAsia="zh-CN"/>
              </w:rPr>
              <w:t>试运</w:t>
            </w:r>
          </w:p>
        </w:tc>
        <w:tc>
          <w:tcPr>
            <w:tcW w:w="55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E23042">
            <w:pPr>
              <w:keepNext w:val="0"/>
              <w:keepLines w:val="0"/>
              <w:pageBreakBefore w:val="0"/>
              <w:widowControl/>
              <w:suppressLineNumbers w:val="0"/>
              <w:overflowPunct/>
              <w:topLinePunct w:val="0"/>
              <w:bidi w:val="0"/>
              <w:adjustRightInd w:val="0"/>
              <w:snapToGrid w:val="0"/>
              <w:spacing w:line="360" w:lineRule="auto"/>
              <w:ind w:left="0" w:leftChars="0" w:firstLine="0" w:firstLineChars="0"/>
              <w:jc w:val="center"/>
              <w:textAlignment w:val="auto"/>
              <w:rPr>
                <w:rFonts w:hint="eastAsia" w:asciiTheme="minorEastAsia" w:hAnsiTheme="minorEastAsia" w:eastAsiaTheme="minorEastAsia" w:cstheme="minorEastAsia"/>
                <w:bCs w:val="0"/>
                <w:snapToGrid w:val="0"/>
                <w:color w:val="auto"/>
                <w:kern w:val="0"/>
                <w:sz w:val="24"/>
                <w:szCs w:val="24"/>
                <w:highlight w:val="none"/>
                <w:lang w:val="en-US" w:eastAsia="zh-CN"/>
              </w:rPr>
            </w:pPr>
            <w:r>
              <w:rPr>
                <w:rFonts w:hint="eastAsia" w:asciiTheme="minorEastAsia" w:hAnsiTheme="minorEastAsia" w:eastAsiaTheme="minorEastAsia" w:cstheme="minorEastAsia"/>
                <w:bCs w:val="0"/>
                <w:snapToGrid w:val="0"/>
                <w:color w:val="auto"/>
                <w:kern w:val="0"/>
                <w:sz w:val="24"/>
                <w:szCs w:val="24"/>
                <w:highlight w:val="none"/>
                <w:lang w:val="en-US" w:eastAsia="zh-CN"/>
              </w:rPr>
              <w:t>大车全程运行无卡阻、啃轨、异常噪声，车轮踏面与轨道接触面积 ≥70%，无悬空。</w:t>
            </w:r>
          </w:p>
        </w:tc>
      </w:tr>
    </w:tbl>
    <w:p w14:paraId="0B88C86B">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bCs w:val="0"/>
          <w:snapToGrid w:val="0"/>
          <w:color w:val="auto"/>
          <w:kern w:val="0"/>
          <w:sz w:val="24"/>
          <w:szCs w:val="24"/>
          <w:highlight w:val="none"/>
          <w:lang w:val="en-US" w:eastAsia="zh-CN"/>
        </w:rPr>
      </w:pPr>
    </w:p>
    <w:p w14:paraId="7355FFE6">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6.轨道断口焊接修复：</w:t>
      </w:r>
    </w:p>
    <w:p w14:paraId="3D5700A7">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（1）使用正规铝热焊剂（如德国施密特、法国BREDA、国产合格品牌）进行焊接。</w:t>
      </w:r>
    </w:p>
    <w:p w14:paraId="154C34CB">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（2）焊接完成后，焊缝硬度与母材偏差不超过±30 HB</w:t>
      </w:r>
    </w:p>
    <w:p w14:paraId="7716D999">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（3）进行磁粉检测、超声检测，并出具检测报告。</w:t>
      </w:r>
    </w:p>
    <w:p w14:paraId="61A1E98E">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（4）焊口无裂纹、未熔合现象，气孔/夹渣尺寸和数量符合 TB/T 1632.3 中I级要求，轨顶/侧面错边 ≤0.5mm，打磨平滑。</w:t>
      </w:r>
    </w:p>
    <w:p w14:paraId="414247C1">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（5）焊接前对大车轨道断口进行调整、打磨，并考虑以后轨道的膨胀和收缩问题，以确保后期使用过程中对行车的安全行驶无任何不良影响。在轨道焊接过程中，做好防火措施，防止火花到处飞溅。</w:t>
      </w:r>
    </w:p>
    <w:p w14:paraId="262AE581">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7.垃圾吊行车小车轨道拆除、更换、验收</w:t>
      </w:r>
    </w:p>
    <w:p w14:paraId="6647F16B">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①人员进入仓内开始施工前，与业主运行部门充分沟通，确定准确的施工窗口期。将垃圾吊停靠在指定安全区域，抓斗放置于地面安全位置。</w:t>
      </w:r>
    </w:p>
    <w:p w14:paraId="3C0853A8">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②旧轨道拆除：</w:t>
      </w:r>
    </w:p>
    <w:p w14:paraId="28E13F44">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a采用等离子切割，沿腹板两侧对称切割，避免主梁过热变形。</w:t>
      </w:r>
    </w:p>
    <w:p w14:paraId="42870B9C">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b吊运分段长度≤3m，使用软带吊装，严禁钢丝绳直接勒压</w:t>
      </w:r>
    </w:p>
    <w:p w14:paraId="00F5EF3A">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③主梁翼缘处理：</w:t>
      </w:r>
    </w:p>
    <w:p w14:paraId="75FE718D">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 xml:space="preserve">a清除残留焊瘤、锈蚀、旧涂层  </w:t>
      </w:r>
    </w:p>
    <w:p w14:paraId="22322C7B">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 xml:space="preserve">b打磨至St3级（金属光泽），平整度≤1mm/m  </w:t>
      </w:r>
    </w:p>
    <w:p w14:paraId="5B43924F">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c检查主梁翼缘是否变形、开裂，必要时修复</w:t>
      </w:r>
    </w:p>
    <w:p w14:paraId="1457C2B8">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④新轨道安装与调整</w:t>
      </w:r>
    </w:p>
    <w:tbl>
      <w:tblPr>
        <w:tblStyle w:val="16"/>
        <w:tblW w:w="78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60"/>
        <w:gridCol w:w="6439"/>
      </w:tblGrid>
      <w:tr w14:paraId="7E4D6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0667B6">
            <w:pPr>
              <w:keepNext w:val="0"/>
              <w:keepLines w:val="0"/>
              <w:pageBreakBefore w:val="0"/>
              <w:widowControl/>
              <w:numPr>
                <w:ilvl w:val="-1"/>
                <w:numId w:val="0"/>
              </w:numPr>
              <w:kinsoku/>
              <w:wordWrap/>
              <w:overflowPunct/>
              <w:topLinePunct w:val="0"/>
              <w:autoSpaceDE/>
              <w:autoSpaceDN/>
              <w:bidi w:val="0"/>
              <w:adjustRightInd w:val="0"/>
              <w:snapToGrid w:val="0"/>
              <w:spacing w:after="0" w:afterLines="0" w:line="360" w:lineRule="auto"/>
              <w:ind w:firstLine="0" w:firstLineChars="0"/>
              <w:jc w:val="center"/>
              <w:textAlignment w:val="auto"/>
              <w:rPr>
                <w:rFonts w:hint="eastAsia" w:asciiTheme="minorEastAsia" w:hAnsiTheme="minorEastAsia" w:eastAsiaTheme="minorEastAsia" w:cstheme="minorEastAsia"/>
                <w:i w:val="0"/>
                <w:iCs w:val="0"/>
                <w:caps w:val="0"/>
                <w:snapToGrid w:val="0"/>
                <w:color w:val="auto"/>
                <w:spacing w:val="0"/>
                <w:kern w:val="0"/>
                <w:sz w:val="24"/>
                <w:szCs w:val="24"/>
                <w:highlight w:val="none"/>
                <w:shd w:val="clear" w:color="auto" w:fill="auto"/>
              </w:rPr>
            </w:pPr>
            <w:r>
              <w:rPr>
                <w:rFonts w:hint="eastAsia" w:asciiTheme="minorEastAsia" w:hAnsiTheme="minorEastAsia" w:eastAsiaTheme="minorEastAsia" w:cstheme="minorEastAsia"/>
                <w:i w:val="0"/>
                <w:iCs w:val="0"/>
                <w:caps w:val="0"/>
                <w:snapToGrid w:val="0"/>
                <w:color w:val="auto"/>
                <w:spacing w:val="0"/>
                <w:kern w:val="0"/>
                <w:sz w:val="24"/>
                <w:szCs w:val="24"/>
                <w:highlight w:val="none"/>
                <w:shd w:val="clear" w:color="auto" w:fill="auto"/>
                <w:lang w:val="en-US" w:eastAsia="zh-CN"/>
              </w:rPr>
              <w:t>项目</w:t>
            </w:r>
          </w:p>
        </w:tc>
        <w:tc>
          <w:tcPr>
            <w:tcW w:w="64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EB25D9">
            <w:pPr>
              <w:keepNext w:val="0"/>
              <w:keepLines w:val="0"/>
              <w:pageBreakBefore w:val="0"/>
              <w:widowControl/>
              <w:numPr>
                <w:ilvl w:val="-1"/>
                <w:numId w:val="0"/>
              </w:numPr>
              <w:kinsoku/>
              <w:wordWrap/>
              <w:overflowPunct/>
              <w:topLinePunct w:val="0"/>
              <w:autoSpaceDE/>
              <w:autoSpaceDN/>
              <w:bidi w:val="0"/>
              <w:adjustRightInd w:val="0"/>
              <w:snapToGrid w:val="0"/>
              <w:spacing w:after="0" w:afterLines="0" w:line="360" w:lineRule="auto"/>
              <w:ind w:left="0" w:leftChars="0" w:firstLine="0" w:firstLineChars="0"/>
              <w:jc w:val="center"/>
              <w:textAlignment w:val="auto"/>
              <w:rPr>
                <w:rFonts w:hint="eastAsia" w:asciiTheme="minorEastAsia" w:hAnsiTheme="minorEastAsia" w:eastAsiaTheme="minorEastAsia" w:cstheme="minorEastAsia"/>
                <w:i w:val="0"/>
                <w:iCs w:val="0"/>
                <w:caps w:val="0"/>
                <w:snapToGrid w:val="0"/>
                <w:color w:val="auto"/>
                <w:spacing w:val="0"/>
                <w:kern w:val="0"/>
                <w:sz w:val="24"/>
                <w:szCs w:val="24"/>
                <w:highlight w:val="none"/>
                <w:shd w:val="clear" w:color="auto" w:fill="auto"/>
              </w:rPr>
            </w:pPr>
            <w:r>
              <w:rPr>
                <w:rFonts w:hint="eastAsia" w:asciiTheme="minorEastAsia" w:hAnsiTheme="minorEastAsia" w:eastAsiaTheme="minorEastAsia" w:cstheme="minorEastAsia"/>
                <w:i w:val="0"/>
                <w:iCs w:val="0"/>
                <w:caps w:val="0"/>
                <w:snapToGrid w:val="0"/>
                <w:color w:val="auto"/>
                <w:spacing w:val="0"/>
                <w:kern w:val="0"/>
                <w:sz w:val="24"/>
                <w:szCs w:val="24"/>
                <w:highlight w:val="none"/>
                <w:shd w:val="clear" w:color="auto" w:fill="auto"/>
                <w:lang w:val="en-US" w:eastAsia="zh-CN"/>
              </w:rPr>
              <w:t>技术要求</w:t>
            </w:r>
          </w:p>
        </w:tc>
      </w:tr>
      <w:tr w14:paraId="41DB0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1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D7BBEB">
            <w:pPr>
              <w:keepNext w:val="0"/>
              <w:keepLines w:val="0"/>
              <w:pageBreakBefore w:val="0"/>
              <w:widowControl/>
              <w:numPr>
                <w:ilvl w:val="-1"/>
                <w:numId w:val="0"/>
              </w:numPr>
              <w:kinsoku/>
              <w:wordWrap/>
              <w:overflowPunct/>
              <w:topLinePunct w:val="0"/>
              <w:autoSpaceDE/>
              <w:autoSpaceDN/>
              <w:bidi w:val="0"/>
              <w:adjustRightInd w:val="0"/>
              <w:snapToGrid w:val="0"/>
              <w:spacing w:after="0" w:afterLines="0" w:line="360" w:lineRule="auto"/>
              <w:ind w:firstLine="0" w:firstLineChars="0"/>
              <w:jc w:val="center"/>
              <w:textAlignment w:val="auto"/>
              <w:rPr>
                <w:rFonts w:hint="eastAsia" w:asciiTheme="minorEastAsia" w:hAnsiTheme="minorEastAsia" w:eastAsiaTheme="minorEastAsia" w:cstheme="minorEastAsia"/>
                <w:i w:val="0"/>
                <w:iCs w:val="0"/>
                <w:caps w:val="0"/>
                <w:snapToGrid w:val="0"/>
                <w:color w:val="auto"/>
                <w:spacing w:val="0"/>
                <w:kern w:val="0"/>
                <w:sz w:val="24"/>
                <w:szCs w:val="24"/>
                <w:highlight w:val="none"/>
                <w:shd w:val="clear" w:color="auto" w:fill="auto"/>
              </w:rPr>
            </w:pPr>
            <w:r>
              <w:rPr>
                <w:rFonts w:hint="eastAsia" w:asciiTheme="minorEastAsia" w:hAnsiTheme="minorEastAsia" w:eastAsiaTheme="minorEastAsia" w:cstheme="minorEastAsia"/>
                <w:i w:val="0"/>
                <w:iCs w:val="0"/>
                <w:caps w:val="0"/>
                <w:snapToGrid w:val="0"/>
                <w:color w:val="auto"/>
                <w:spacing w:val="0"/>
                <w:kern w:val="0"/>
                <w:sz w:val="24"/>
                <w:szCs w:val="24"/>
                <w:highlight w:val="none"/>
                <w:shd w:val="clear" w:color="auto" w:fill="auto"/>
                <w:lang w:val="en-US" w:eastAsia="zh-CN"/>
              </w:rPr>
              <w:t>轨道型号</w:t>
            </w:r>
          </w:p>
        </w:tc>
        <w:tc>
          <w:tcPr>
            <w:tcW w:w="64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9F7E39">
            <w:pPr>
              <w:keepNext w:val="0"/>
              <w:keepLines w:val="0"/>
              <w:pageBreakBefore w:val="0"/>
              <w:widowControl/>
              <w:numPr>
                <w:ilvl w:val="-1"/>
                <w:numId w:val="0"/>
              </w:numPr>
              <w:kinsoku/>
              <w:wordWrap/>
              <w:overflowPunct/>
              <w:topLinePunct w:val="0"/>
              <w:autoSpaceDE/>
              <w:autoSpaceDN/>
              <w:bidi w:val="0"/>
              <w:adjustRightInd w:val="0"/>
              <w:snapToGrid w:val="0"/>
              <w:spacing w:after="0" w:afterLines="0" w:line="360" w:lineRule="auto"/>
              <w:ind w:left="0" w:leftChars="0" w:firstLine="0" w:firstLineChars="0"/>
              <w:jc w:val="center"/>
              <w:textAlignment w:val="auto"/>
              <w:rPr>
                <w:rFonts w:hint="eastAsia" w:asciiTheme="minorEastAsia" w:hAnsiTheme="minorEastAsia" w:eastAsiaTheme="minorEastAsia" w:cstheme="minorEastAsia"/>
                <w:i w:val="0"/>
                <w:iCs w:val="0"/>
                <w:caps w:val="0"/>
                <w:snapToGrid w:val="0"/>
                <w:color w:val="auto"/>
                <w:spacing w:val="0"/>
                <w:kern w:val="0"/>
                <w:sz w:val="24"/>
                <w:szCs w:val="24"/>
                <w:highlight w:val="none"/>
                <w:shd w:val="clear" w:color="auto" w:fill="auto"/>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bidi="ar-SA"/>
              </w:rPr>
              <w:t>100*60，材质Q355</w:t>
            </w:r>
          </w:p>
        </w:tc>
      </w:tr>
      <w:tr w14:paraId="7356E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1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2EA20F">
            <w:pPr>
              <w:keepNext w:val="0"/>
              <w:keepLines w:val="0"/>
              <w:pageBreakBefore w:val="0"/>
              <w:widowControl/>
              <w:numPr>
                <w:ilvl w:val="-1"/>
                <w:numId w:val="0"/>
              </w:numPr>
              <w:kinsoku/>
              <w:wordWrap/>
              <w:overflowPunct/>
              <w:topLinePunct w:val="0"/>
              <w:autoSpaceDE/>
              <w:autoSpaceDN/>
              <w:bidi w:val="0"/>
              <w:adjustRightInd w:val="0"/>
              <w:snapToGrid w:val="0"/>
              <w:spacing w:after="0" w:afterLines="0" w:line="360" w:lineRule="auto"/>
              <w:ind w:firstLine="0" w:firstLineChars="0"/>
              <w:jc w:val="center"/>
              <w:textAlignment w:val="auto"/>
              <w:rPr>
                <w:rFonts w:hint="eastAsia" w:asciiTheme="minorEastAsia" w:hAnsiTheme="minorEastAsia" w:eastAsiaTheme="minorEastAsia" w:cstheme="minorEastAsia"/>
                <w:i w:val="0"/>
                <w:iCs w:val="0"/>
                <w:caps w:val="0"/>
                <w:snapToGrid w:val="0"/>
                <w:color w:val="auto"/>
                <w:spacing w:val="0"/>
                <w:kern w:val="0"/>
                <w:sz w:val="24"/>
                <w:szCs w:val="24"/>
                <w:highlight w:val="none"/>
                <w:shd w:val="clear" w:color="auto" w:fill="auto"/>
              </w:rPr>
            </w:pPr>
            <w:r>
              <w:rPr>
                <w:rFonts w:hint="eastAsia" w:asciiTheme="minorEastAsia" w:hAnsiTheme="minorEastAsia" w:eastAsiaTheme="minorEastAsia" w:cstheme="minorEastAsia"/>
                <w:i w:val="0"/>
                <w:iCs w:val="0"/>
                <w:caps w:val="0"/>
                <w:snapToGrid w:val="0"/>
                <w:color w:val="auto"/>
                <w:spacing w:val="0"/>
                <w:kern w:val="0"/>
                <w:sz w:val="24"/>
                <w:szCs w:val="24"/>
                <w:highlight w:val="none"/>
                <w:shd w:val="clear" w:color="auto" w:fill="auto"/>
                <w:lang w:val="en-US" w:eastAsia="zh-CN"/>
              </w:rPr>
              <w:t>接头间隙</w:t>
            </w:r>
          </w:p>
        </w:tc>
        <w:tc>
          <w:tcPr>
            <w:tcW w:w="64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4147AB">
            <w:pPr>
              <w:keepNext w:val="0"/>
              <w:keepLines w:val="0"/>
              <w:pageBreakBefore w:val="0"/>
              <w:widowControl/>
              <w:numPr>
                <w:ilvl w:val="-1"/>
                <w:numId w:val="0"/>
              </w:numPr>
              <w:kinsoku/>
              <w:wordWrap/>
              <w:overflowPunct/>
              <w:topLinePunct w:val="0"/>
              <w:autoSpaceDE/>
              <w:autoSpaceDN/>
              <w:bidi w:val="0"/>
              <w:adjustRightInd w:val="0"/>
              <w:snapToGrid w:val="0"/>
              <w:spacing w:after="0" w:afterLines="0" w:line="360" w:lineRule="auto"/>
              <w:ind w:left="0" w:leftChars="0" w:firstLine="0" w:firstLineChars="0"/>
              <w:jc w:val="center"/>
              <w:textAlignment w:val="auto"/>
              <w:rPr>
                <w:rFonts w:hint="eastAsia" w:asciiTheme="minorEastAsia" w:hAnsiTheme="minorEastAsia" w:eastAsiaTheme="minorEastAsia" w:cstheme="minorEastAsia"/>
                <w:i w:val="0"/>
                <w:iCs w:val="0"/>
                <w:caps w:val="0"/>
                <w:snapToGrid w:val="0"/>
                <w:color w:val="auto"/>
                <w:spacing w:val="0"/>
                <w:kern w:val="0"/>
                <w:sz w:val="24"/>
                <w:szCs w:val="24"/>
                <w:highlight w:val="none"/>
                <w:shd w:val="clear" w:color="auto" w:fill="auto"/>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bidi="ar-SA"/>
              </w:rPr>
              <w:t>0mm（连续焊）</w:t>
            </w:r>
          </w:p>
        </w:tc>
      </w:tr>
      <w:tr w14:paraId="2AE6C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1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26ED96">
            <w:pPr>
              <w:keepNext w:val="0"/>
              <w:keepLines w:val="0"/>
              <w:pageBreakBefore w:val="0"/>
              <w:widowControl/>
              <w:numPr>
                <w:ilvl w:val="-1"/>
                <w:numId w:val="0"/>
              </w:numPr>
              <w:kinsoku/>
              <w:wordWrap/>
              <w:overflowPunct/>
              <w:topLinePunct w:val="0"/>
              <w:autoSpaceDE/>
              <w:autoSpaceDN/>
              <w:bidi w:val="0"/>
              <w:adjustRightInd w:val="0"/>
              <w:snapToGrid w:val="0"/>
              <w:spacing w:after="0" w:afterLines="0" w:line="360" w:lineRule="auto"/>
              <w:ind w:firstLine="0" w:firstLineChars="0"/>
              <w:jc w:val="center"/>
              <w:textAlignment w:val="auto"/>
              <w:rPr>
                <w:rFonts w:hint="eastAsia" w:asciiTheme="minorEastAsia" w:hAnsiTheme="minorEastAsia" w:eastAsiaTheme="minorEastAsia" w:cstheme="minorEastAsia"/>
                <w:i w:val="0"/>
                <w:iCs w:val="0"/>
                <w:caps w:val="0"/>
                <w:snapToGrid w:val="0"/>
                <w:color w:val="auto"/>
                <w:spacing w:val="0"/>
                <w:kern w:val="0"/>
                <w:sz w:val="24"/>
                <w:szCs w:val="24"/>
                <w:highlight w:val="none"/>
                <w:shd w:val="clear" w:color="auto" w:fill="auto"/>
              </w:rPr>
            </w:pPr>
            <w:r>
              <w:rPr>
                <w:rFonts w:hint="eastAsia" w:asciiTheme="minorEastAsia" w:hAnsiTheme="minorEastAsia" w:eastAsiaTheme="minorEastAsia" w:cstheme="minorEastAsia"/>
                <w:i w:val="0"/>
                <w:iCs w:val="0"/>
                <w:caps w:val="0"/>
                <w:snapToGrid w:val="0"/>
                <w:color w:val="auto"/>
                <w:spacing w:val="0"/>
                <w:kern w:val="0"/>
                <w:sz w:val="24"/>
                <w:szCs w:val="24"/>
                <w:highlight w:val="none"/>
                <w:shd w:val="clear" w:color="auto" w:fill="auto"/>
                <w:lang w:val="en-US" w:eastAsia="zh-CN"/>
              </w:rPr>
              <w:t>直线度</w:t>
            </w:r>
          </w:p>
        </w:tc>
        <w:tc>
          <w:tcPr>
            <w:tcW w:w="64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357B19">
            <w:pPr>
              <w:keepNext w:val="0"/>
              <w:keepLines w:val="0"/>
              <w:pageBreakBefore w:val="0"/>
              <w:widowControl/>
              <w:numPr>
                <w:ilvl w:val="-1"/>
                <w:numId w:val="0"/>
              </w:numPr>
              <w:kinsoku/>
              <w:wordWrap/>
              <w:overflowPunct/>
              <w:topLinePunct w:val="0"/>
              <w:autoSpaceDE/>
              <w:autoSpaceDN/>
              <w:bidi w:val="0"/>
              <w:adjustRightInd w:val="0"/>
              <w:snapToGrid w:val="0"/>
              <w:spacing w:after="0" w:afterLines="0" w:line="360" w:lineRule="auto"/>
              <w:ind w:left="0" w:leftChars="0" w:firstLine="0" w:firstLineChars="0"/>
              <w:jc w:val="center"/>
              <w:textAlignment w:val="auto"/>
              <w:rPr>
                <w:rFonts w:hint="eastAsia" w:asciiTheme="minorEastAsia" w:hAnsiTheme="minorEastAsia" w:eastAsiaTheme="minorEastAsia" w:cstheme="minorEastAsia"/>
                <w:i w:val="0"/>
                <w:iCs w:val="0"/>
                <w:caps w:val="0"/>
                <w:snapToGrid w:val="0"/>
                <w:color w:val="auto"/>
                <w:spacing w:val="0"/>
                <w:kern w:val="0"/>
                <w:sz w:val="24"/>
                <w:szCs w:val="24"/>
                <w:highlight w:val="none"/>
                <w:shd w:val="clear" w:color="auto" w:fill="auto"/>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bidi="ar-SA"/>
              </w:rPr>
              <w:t>≤0.5 mm / 2m（内控标准，优于国标1mm）</w:t>
            </w:r>
          </w:p>
        </w:tc>
      </w:tr>
      <w:tr w14:paraId="3696D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B7F0E9">
            <w:pPr>
              <w:keepNext w:val="0"/>
              <w:keepLines w:val="0"/>
              <w:pageBreakBefore w:val="0"/>
              <w:widowControl/>
              <w:numPr>
                <w:ilvl w:val="-1"/>
                <w:numId w:val="0"/>
              </w:numPr>
              <w:kinsoku/>
              <w:wordWrap/>
              <w:overflowPunct/>
              <w:topLinePunct w:val="0"/>
              <w:autoSpaceDE/>
              <w:autoSpaceDN/>
              <w:bidi w:val="0"/>
              <w:adjustRightInd w:val="0"/>
              <w:snapToGrid w:val="0"/>
              <w:spacing w:after="0" w:afterLines="0" w:line="360" w:lineRule="auto"/>
              <w:ind w:firstLine="0" w:firstLineChars="0"/>
              <w:jc w:val="center"/>
              <w:textAlignment w:val="auto"/>
              <w:rPr>
                <w:rFonts w:hint="eastAsia" w:asciiTheme="minorEastAsia" w:hAnsiTheme="minorEastAsia" w:eastAsiaTheme="minorEastAsia" w:cstheme="minorEastAsia"/>
                <w:i w:val="0"/>
                <w:iCs w:val="0"/>
                <w:caps w:val="0"/>
                <w:snapToGrid w:val="0"/>
                <w:color w:val="auto"/>
                <w:spacing w:val="0"/>
                <w:kern w:val="0"/>
                <w:sz w:val="24"/>
                <w:szCs w:val="24"/>
                <w:highlight w:val="none"/>
                <w:shd w:val="clear" w:color="auto" w:fill="auto"/>
              </w:rPr>
            </w:pPr>
            <w:r>
              <w:rPr>
                <w:rFonts w:hint="eastAsia" w:asciiTheme="minorEastAsia" w:hAnsiTheme="minorEastAsia" w:eastAsiaTheme="minorEastAsia" w:cstheme="minorEastAsia"/>
                <w:i w:val="0"/>
                <w:iCs w:val="0"/>
                <w:caps w:val="0"/>
                <w:snapToGrid w:val="0"/>
                <w:color w:val="auto"/>
                <w:spacing w:val="0"/>
                <w:kern w:val="0"/>
                <w:sz w:val="24"/>
                <w:szCs w:val="24"/>
                <w:highlight w:val="none"/>
                <w:shd w:val="clear" w:color="auto" w:fill="auto"/>
                <w:lang w:val="en-US" w:eastAsia="zh-CN"/>
              </w:rPr>
              <w:t>标高一致性</w:t>
            </w:r>
          </w:p>
        </w:tc>
        <w:tc>
          <w:tcPr>
            <w:tcW w:w="64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FEC6C2">
            <w:pPr>
              <w:keepNext w:val="0"/>
              <w:keepLines w:val="0"/>
              <w:pageBreakBefore w:val="0"/>
              <w:widowControl/>
              <w:numPr>
                <w:ilvl w:val="-1"/>
                <w:numId w:val="0"/>
              </w:numPr>
              <w:kinsoku/>
              <w:wordWrap/>
              <w:overflowPunct/>
              <w:topLinePunct w:val="0"/>
              <w:autoSpaceDE/>
              <w:autoSpaceDN/>
              <w:bidi w:val="0"/>
              <w:adjustRightInd w:val="0"/>
              <w:snapToGrid w:val="0"/>
              <w:spacing w:after="0" w:afterLines="0" w:line="360" w:lineRule="auto"/>
              <w:ind w:left="0" w:leftChars="0" w:firstLine="0" w:firstLineChars="0"/>
              <w:jc w:val="center"/>
              <w:textAlignment w:val="auto"/>
              <w:rPr>
                <w:rFonts w:hint="eastAsia" w:asciiTheme="minorEastAsia" w:hAnsiTheme="minorEastAsia" w:eastAsiaTheme="minorEastAsia" w:cstheme="minorEastAsia"/>
                <w:i w:val="0"/>
                <w:iCs w:val="0"/>
                <w:caps w:val="0"/>
                <w:snapToGrid w:val="0"/>
                <w:color w:val="auto"/>
                <w:spacing w:val="0"/>
                <w:kern w:val="0"/>
                <w:sz w:val="24"/>
                <w:szCs w:val="24"/>
                <w:highlight w:val="none"/>
                <w:shd w:val="clear" w:color="auto" w:fill="auto"/>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bidi="ar-SA"/>
              </w:rPr>
              <w:t>两轨道同截面高差 ≤1mm</w:t>
            </w:r>
          </w:p>
        </w:tc>
      </w:tr>
      <w:tr w14:paraId="7F310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1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209033">
            <w:pPr>
              <w:keepNext w:val="0"/>
              <w:keepLines w:val="0"/>
              <w:pageBreakBefore w:val="0"/>
              <w:widowControl/>
              <w:numPr>
                <w:ilvl w:val="-1"/>
                <w:numId w:val="0"/>
              </w:numPr>
              <w:kinsoku/>
              <w:wordWrap/>
              <w:overflowPunct/>
              <w:topLinePunct w:val="0"/>
              <w:autoSpaceDE/>
              <w:autoSpaceDN/>
              <w:bidi w:val="0"/>
              <w:adjustRightInd w:val="0"/>
              <w:snapToGrid w:val="0"/>
              <w:spacing w:after="0" w:afterLines="0" w:line="360" w:lineRule="auto"/>
              <w:ind w:firstLine="0" w:firstLineChars="0"/>
              <w:jc w:val="center"/>
              <w:textAlignment w:val="auto"/>
              <w:rPr>
                <w:rFonts w:hint="eastAsia" w:asciiTheme="minorEastAsia" w:hAnsiTheme="minorEastAsia" w:eastAsiaTheme="minorEastAsia" w:cstheme="minorEastAsia"/>
                <w:i w:val="0"/>
                <w:iCs w:val="0"/>
                <w:caps w:val="0"/>
                <w:snapToGrid w:val="0"/>
                <w:color w:val="auto"/>
                <w:spacing w:val="0"/>
                <w:kern w:val="0"/>
                <w:sz w:val="24"/>
                <w:szCs w:val="24"/>
                <w:highlight w:val="none"/>
                <w:shd w:val="clear" w:color="auto" w:fill="auto"/>
              </w:rPr>
            </w:pPr>
            <w:r>
              <w:rPr>
                <w:rFonts w:hint="eastAsia" w:asciiTheme="minorEastAsia" w:hAnsiTheme="minorEastAsia" w:eastAsiaTheme="minorEastAsia" w:cstheme="minorEastAsia"/>
                <w:i w:val="0"/>
                <w:iCs w:val="0"/>
                <w:caps w:val="0"/>
                <w:snapToGrid w:val="0"/>
                <w:color w:val="auto"/>
                <w:spacing w:val="0"/>
                <w:kern w:val="0"/>
                <w:sz w:val="24"/>
                <w:szCs w:val="24"/>
                <w:highlight w:val="none"/>
                <w:shd w:val="clear" w:color="auto" w:fill="auto"/>
                <w:lang w:val="en-US" w:eastAsia="zh-CN"/>
              </w:rPr>
              <w:t>跨距</w:t>
            </w:r>
          </w:p>
        </w:tc>
        <w:tc>
          <w:tcPr>
            <w:tcW w:w="64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AF2553">
            <w:pPr>
              <w:keepNext w:val="0"/>
              <w:keepLines w:val="0"/>
              <w:pageBreakBefore w:val="0"/>
              <w:widowControl/>
              <w:numPr>
                <w:ilvl w:val="-1"/>
                <w:numId w:val="0"/>
              </w:numPr>
              <w:kinsoku/>
              <w:wordWrap/>
              <w:overflowPunct/>
              <w:topLinePunct w:val="0"/>
              <w:autoSpaceDE/>
              <w:autoSpaceDN/>
              <w:bidi w:val="0"/>
              <w:adjustRightInd w:val="0"/>
              <w:snapToGrid w:val="0"/>
              <w:spacing w:after="0" w:afterLines="0" w:line="360" w:lineRule="auto"/>
              <w:ind w:left="0" w:leftChars="0" w:firstLine="0" w:firstLineChars="0"/>
              <w:jc w:val="center"/>
              <w:textAlignment w:val="auto"/>
              <w:rPr>
                <w:rFonts w:hint="eastAsia" w:asciiTheme="minorEastAsia" w:hAnsiTheme="minorEastAsia" w:eastAsiaTheme="minorEastAsia" w:cstheme="minorEastAsia"/>
                <w:i w:val="0"/>
                <w:iCs w:val="0"/>
                <w:caps w:val="0"/>
                <w:snapToGrid w:val="0"/>
                <w:color w:val="auto"/>
                <w:spacing w:val="0"/>
                <w:kern w:val="0"/>
                <w:sz w:val="24"/>
                <w:szCs w:val="24"/>
                <w:highlight w:val="none"/>
                <w:shd w:val="clear" w:color="auto" w:fill="auto"/>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bidi="ar-SA"/>
              </w:rPr>
              <w:t>小车轨距偏差 ≤±2mm</w:t>
            </w:r>
          </w:p>
        </w:tc>
      </w:tr>
      <w:tr w14:paraId="34277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1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C92C2F">
            <w:pPr>
              <w:keepNext w:val="0"/>
              <w:keepLines w:val="0"/>
              <w:pageBreakBefore w:val="0"/>
              <w:widowControl/>
              <w:numPr>
                <w:ilvl w:val="-1"/>
                <w:numId w:val="0"/>
              </w:numPr>
              <w:kinsoku/>
              <w:wordWrap/>
              <w:overflowPunct/>
              <w:topLinePunct w:val="0"/>
              <w:autoSpaceDE/>
              <w:autoSpaceDN/>
              <w:bidi w:val="0"/>
              <w:adjustRightInd w:val="0"/>
              <w:snapToGrid w:val="0"/>
              <w:spacing w:after="0" w:afterLines="0" w:line="360" w:lineRule="auto"/>
              <w:ind w:firstLine="0" w:firstLineChars="0"/>
              <w:jc w:val="center"/>
              <w:textAlignment w:val="auto"/>
              <w:rPr>
                <w:rFonts w:hint="eastAsia" w:asciiTheme="minorEastAsia" w:hAnsiTheme="minorEastAsia" w:eastAsiaTheme="minorEastAsia" w:cstheme="minorEastAsia"/>
                <w:i w:val="0"/>
                <w:iCs w:val="0"/>
                <w:caps w:val="0"/>
                <w:snapToGrid w:val="0"/>
                <w:color w:val="auto"/>
                <w:spacing w:val="0"/>
                <w:kern w:val="0"/>
                <w:sz w:val="24"/>
                <w:szCs w:val="24"/>
                <w:highlight w:val="none"/>
                <w:shd w:val="clear" w:color="auto" w:fill="auto"/>
                <w:lang w:val="en-US" w:eastAsia="zh-CN"/>
              </w:rPr>
            </w:pPr>
            <w:r>
              <w:rPr>
                <w:rFonts w:hint="eastAsia" w:asciiTheme="minorEastAsia" w:hAnsiTheme="minorEastAsia" w:eastAsiaTheme="minorEastAsia" w:cstheme="minorEastAsia"/>
                <w:i w:val="0"/>
                <w:iCs w:val="0"/>
                <w:caps w:val="0"/>
                <w:snapToGrid w:val="0"/>
                <w:color w:val="auto"/>
                <w:spacing w:val="0"/>
                <w:kern w:val="0"/>
                <w:sz w:val="24"/>
                <w:szCs w:val="24"/>
                <w:highlight w:val="none"/>
                <w:shd w:val="clear" w:color="auto" w:fill="auto"/>
                <w:lang w:val="en-US" w:eastAsia="zh-CN"/>
              </w:rPr>
              <w:t>焊缝</w:t>
            </w:r>
          </w:p>
        </w:tc>
        <w:tc>
          <w:tcPr>
            <w:tcW w:w="64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A6BDEA">
            <w:pPr>
              <w:keepNext w:val="0"/>
              <w:keepLines w:val="0"/>
              <w:pageBreakBefore w:val="0"/>
              <w:widowControl/>
              <w:numPr>
                <w:ilvl w:val="-1"/>
                <w:numId w:val="0"/>
              </w:numPr>
              <w:kinsoku/>
              <w:wordWrap/>
              <w:overflowPunct/>
              <w:topLinePunct w:val="0"/>
              <w:autoSpaceDE/>
              <w:autoSpaceDN/>
              <w:bidi w:val="0"/>
              <w:adjustRightInd w:val="0"/>
              <w:snapToGrid w:val="0"/>
              <w:spacing w:after="0" w:afterLines="0" w:line="360" w:lineRule="auto"/>
              <w:ind w:left="0" w:leftChars="0" w:firstLine="0" w:firstLineChars="0"/>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i w:val="0"/>
                <w:iCs w:val="0"/>
                <w:caps w:val="0"/>
                <w:snapToGrid w:val="0"/>
                <w:color w:val="auto"/>
                <w:spacing w:val="0"/>
                <w:kern w:val="0"/>
                <w:sz w:val="24"/>
                <w:szCs w:val="24"/>
                <w:highlight w:val="none"/>
                <w:shd w:val="clear" w:color="auto" w:fill="auto"/>
                <w:lang w:val="en-US" w:eastAsia="zh-CN"/>
              </w:rPr>
              <w:t>小车轨道焊接角焊缝连续，</w:t>
            </w:r>
            <w:r>
              <w:rPr>
                <w:rFonts w:hint="eastAsia" w:asciiTheme="minorEastAsia" w:hAnsiTheme="minorEastAsia" w:eastAsiaTheme="minorEastAsia" w:cstheme="minorEastAsia"/>
                <w:snapToGrid w:val="0"/>
                <w:color w:val="auto"/>
                <w:kern w:val="0"/>
                <w:sz w:val="24"/>
                <w:szCs w:val="24"/>
                <w:highlight w:val="none"/>
                <w:lang w:val="en-US" w:eastAsia="zh-CN" w:bidi="ar-SA"/>
              </w:rPr>
              <w:t>焊脚≥6mm</w:t>
            </w:r>
            <w:r>
              <w:rPr>
                <w:rFonts w:hint="eastAsia" w:asciiTheme="minorEastAsia" w:hAnsiTheme="minorEastAsia" w:eastAsiaTheme="minorEastAsia" w:cstheme="minorEastAsia"/>
                <w:i w:val="0"/>
                <w:iCs w:val="0"/>
                <w:caps w:val="0"/>
                <w:snapToGrid w:val="0"/>
                <w:color w:val="auto"/>
                <w:spacing w:val="0"/>
                <w:kern w:val="0"/>
                <w:sz w:val="24"/>
                <w:szCs w:val="24"/>
                <w:highlight w:val="none"/>
                <w:shd w:val="clear" w:color="auto" w:fill="auto"/>
                <w:lang w:val="en-US" w:eastAsia="zh-CN"/>
              </w:rPr>
              <w:t>，焊后打磨平滑，</w:t>
            </w:r>
            <w:r>
              <w:rPr>
                <w:rFonts w:hint="eastAsia" w:asciiTheme="minorEastAsia" w:hAnsiTheme="minorEastAsia" w:eastAsiaTheme="minorEastAsia" w:cstheme="minorEastAsia"/>
                <w:snapToGrid w:val="0"/>
                <w:color w:val="auto"/>
                <w:kern w:val="0"/>
                <w:sz w:val="24"/>
                <w:szCs w:val="24"/>
                <w:highlight w:val="none"/>
                <w:lang w:val="en-US" w:eastAsia="zh-CN" w:bidi="ar-SA"/>
              </w:rPr>
              <w:t>余高≤1mm</w:t>
            </w:r>
          </w:p>
        </w:tc>
      </w:tr>
    </w:tbl>
    <w:p w14:paraId="130EDAF6">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⑤焊缝检测：</w:t>
      </w:r>
    </w:p>
    <w:p w14:paraId="43AB1C8D">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100% 磁粉检测（MT），无裂纹、未熔合；</w:t>
      </w:r>
    </w:p>
    <w:p w14:paraId="4886847E">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⑥防腐涂装（C5-I级）</w:t>
      </w:r>
    </w:p>
    <w:p w14:paraId="4C63697A">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a表面处理：St3级</w:t>
      </w:r>
    </w:p>
    <w:p w14:paraId="0806C7D1">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b涂层：</w:t>
      </w:r>
    </w:p>
    <w:tbl>
      <w:tblPr>
        <w:tblStyle w:val="16"/>
        <w:tblW w:w="81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66"/>
        <w:gridCol w:w="4083"/>
        <w:gridCol w:w="2689"/>
      </w:tblGrid>
      <w:tr w14:paraId="35F43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13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3AEA57">
            <w:pPr>
              <w:keepNext w:val="0"/>
              <w:keepLines w:val="0"/>
              <w:pageBreakBefore w:val="0"/>
              <w:widowControl/>
              <w:suppressLineNumbers w:val="0"/>
              <w:overflowPunct/>
              <w:topLinePunct w:val="0"/>
              <w:bidi w:val="0"/>
              <w:adjustRightInd w:val="0"/>
              <w:snapToGrid w:val="0"/>
              <w:spacing w:line="360" w:lineRule="auto"/>
              <w:ind w:left="0" w:leftChars="0" w:firstLine="0" w:firstLineChars="0"/>
              <w:jc w:val="center"/>
              <w:textAlignment w:val="auto"/>
              <w:rPr>
                <w:rFonts w:hint="eastAsia" w:asciiTheme="minorEastAsia" w:hAnsiTheme="minorEastAsia" w:eastAsiaTheme="minorEastAsia" w:cstheme="minorEastAsia"/>
                <w:b w:val="0"/>
                <w:bCs w:val="0"/>
                <w:i w:val="0"/>
                <w:iCs w:val="0"/>
                <w:snapToGrid w:val="0"/>
                <w:color w:val="auto"/>
                <w:kern w:val="0"/>
                <w:sz w:val="24"/>
                <w:szCs w:val="24"/>
                <w:highlight w:val="none"/>
                <w:u w:val="none"/>
              </w:rPr>
            </w:pPr>
            <w:r>
              <w:rPr>
                <w:rFonts w:hint="eastAsia" w:asciiTheme="minorEastAsia" w:hAnsiTheme="minorEastAsia" w:eastAsiaTheme="minorEastAsia" w:cstheme="minorEastAsia"/>
                <w:b w:val="0"/>
                <w:bCs w:val="0"/>
                <w:i w:val="0"/>
                <w:iCs w:val="0"/>
                <w:snapToGrid w:val="0"/>
                <w:color w:val="auto"/>
                <w:kern w:val="0"/>
                <w:sz w:val="24"/>
                <w:szCs w:val="24"/>
                <w:highlight w:val="none"/>
                <w:u w:val="none"/>
                <w:lang w:val="en-US" w:eastAsia="zh-CN" w:bidi="ar"/>
              </w:rPr>
              <w:t>涂层</w:t>
            </w:r>
          </w:p>
        </w:tc>
        <w:tc>
          <w:tcPr>
            <w:tcW w:w="40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5764E6">
            <w:pPr>
              <w:keepNext w:val="0"/>
              <w:keepLines w:val="0"/>
              <w:pageBreakBefore w:val="0"/>
              <w:widowControl/>
              <w:suppressLineNumbers w:val="0"/>
              <w:overflowPunct/>
              <w:topLinePunct w:val="0"/>
              <w:bidi w:val="0"/>
              <w:adjustRightInd w:val="0"/>
              <w:snapToGrid w:val="0"/>
              <w:spacing w:line="360" w:lineRule="auto"/>
              <w:ind w:left="0" w:leftChars="0" w:firstLine="0" w:firstLineChars="0"/>
              <w:jc w:val="center"/>
              <w:textAlignment w:val="auto"/>
              <w:rPr>
                <w:rFonts w:hint="eastAsia" w:asciiTheme="minorEastAsia" w:hAnsiTheme="minorEastAsia" w:eastAsiaTheme="minorEastAsia" w:cstheme="minorEastAsia"/>
                <w:b w:val="0"/>
                <w:bCs w:val="0"/>
                <w:i w:val="0"/>
                <w:iCs w:val="0"/>
                <w:snapToGrid w:val="0"/>
                <w:color w:val="auto"/>
                <w:kern w:val="0"/>
                <w:sz w:val="24"/>
                <w:szCs w:val="24"/>
                <w:highlight w:val="none"/>
                <w:u w:val="none"/>
              </w:rPr>
            </w:pPr>
            <w:r>
              <w:rPr>
                <w:rFonts w:hint="eastAsia" w:asciiTheme="minorEastAsia" w:hAnsiTheme="minorEastAsia" w:eastAsiaTheme="minorEastAsia" w:cstheme="minorEastAsia"/>
                <w:b w:val="0"/>
                <w:bCs w:val="0"/>
                <w:i w:val="0"/>
                <w:iCs w:val="0"/>
                <w:snapToGrid w:val="0"/>
                <w:color w:val="auto"/>
                <w:kern w:val="0"/>
                <w:sz w:val="24"/>
                <w:szCs w:val="24"/>
                <w:highlight w:val="none"/>
                <w:u w:val="none"/>
                <w:lang w:val="en-US" w:eastAsia="zh-CN" w:bidi="ar"/>
              </w:rPr>
              <w:t>涂料类型</w:t>
            </w:r>
          </w:p>
        </w:tc>
        <w:tc>
          <w:tcPr>
            <w:tcW w:w="2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171026">
            <w:pPr>
              <w:keepNext w:val="0"/>
              <w:keepLines w:val="0"/>
              <w:pageBreakBefore w:val="0"/>
              <w:widowControl/>
              <w:suppressLineNumbers w:val="0"/>
              <w:overflowPunct/>
              <w:topLinePunct w:val="0"/>
              <w:bidi w:val="0"/>
              <w:adjustRightInd w:val="0"/>
              <w:snapToGrid w:val="0"/>
              <w:spacing w:line="360" w:lineRule="auto"/>
              <w:ind w:left="0" w:leftChars="0" w:firstLine="0" w:firstLineChars="0"/>
              <w:jc w:val="center"/>
              <w:textAlignment w:val="auto"/>
              <w:rPr>
                <w:rFonts w:hint="eastAsia" w:asciiTheme="minorEastAsia" w:hAnsiTheme="minorEastAsia" w:eastAsiaTheme="minorEastAsia" w:cstheme="minorEastAsia"/>
                <w:b w:val="0"/>
                <w:bCs w:val="0"/>
                <w:i w:val="0"/>
                <w:iCs w:val="0"/>
                <w:snapToGrid w:val="0"/>
                <w:color w:val="auto"/>
                <w:kern w:val="0"/>
                <w:sz w:val="24"/>
                <w:szCs w:val="24"/>
                <w:highlight w:val="none"/>
                <w:u w:val="none"/>
              </w:rPr>
            </w:pPr>
            <w:r>
              <w:rPr>
                <w:rFonts w:hint="eastAsia" w:asciiTheme="minorEastAsia" w:hAnsiTheme="minorEastAsia" w:eastAsiaTheme="minorEastAsia" w:cstheme="minorEastAsia"/>
                <w:b w:val="0"/>
                <w:bCs w:val="0"/>
                <w:i w:val="0"/>
                <w:iCs w:val="0"/>
                <w:snapToGrid w:val="0"/>
                <w:color w:val="auto"/>
                <w:kern w:val="0"/>
                <w:sz w:val="24"/>
                <w:szCs w:val="24"/>
                <w:highlight w:val="none"/>
                <w:u w:val="none"/>
                <w:lang w:val="en-US" w:eastAsia="zh-CN" w:bidi="ar"/>
              </w:rPr>
              <w:t>单道厚度</w:t>
            </w:r>
          </w:p>
        </w:tc>
      </w:tr>
      <w:tr w14:paraId="4EC85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13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D92528">
            <w:pPr>
              <w:keepNext w:val="0"/>
              <w:keepLines w:val="0"/>
              <w:pageBreakBefore w:val="0"/>
              <w:widowControl/>
              <w:suppressLineNumbers w:val="0"/>
              <w:overflowPunct/>
              <w:topLinePunct w:val="0"/>
              <w:bidi w:val="0"/>
              <w:adjustRightInd w:val="0"/>
              <w:snapToGrid w:val="0"/>
              <w:spacing w:line="360" w:lineRule="auto"/>
              <w:ind w:left="0" w:leftChars="0" w:firstLine="0" w:firstLineChars="0"/>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底漆</w:t>
            </w:r>
          </w:p>
        </w:tc>
        <w:tc>
          <w:tcPr>
            <w:tcW w:w="40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920128">
            <w:pPr>
              <w:keepNext w:val="0"/>
              <w:keepLines w:val="0"/>
              <w:pageBreakBefore w:val="0"/>
              <w:widowControl/>
              <w:suppressLineNumbers w:val="0"/>
              <w:overflowPunct/>
              <w:topLinePunct w:val="0"/>
              <w:bidi w:val="0"/>
              <w:adjustRightInd w:val="0"/>
              <w:snapToGrid w:val="0"/>
              <w:spacing w:line="360" w:lineRule="auto"/>
              <w:ind w:left="0" w:leftChars="0" w:firstLine="0" w:firstLineChars="0"/>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无机环氧富锌</w:t>
            </w:r>
          </w:p>
        </w:tc>
        <w:tc>
          <w:tcPr>
            <w:tcW w:w="2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E1658D">
            <w:pPr>
              <w:keepNext w:val="0"/>
              <w:keepLines w:val="0"/>
              <w:pageBreakBefore w:val="0"/>
              <w:widowControl/>
              <w:suppressLineNumbers w:val="0"/>
              <w:overflowPunct/>
              <w:topLinePunct w:val="0"/>
              <w:bidi w:val="0"/>
              <w:adjustRightInd w:val="0"/>
              <w:snapToGrid w:val="0"/>
              <w:spacing w:line="360" w:lineRule="auto"/>
              <w:ind w:left="0" w:leftChars="0" w:firstLine="0" w:firstLineChars="0"/>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70 μm</w:t>
            </w:r>
          </w:p>
        </w:tc>
      </w:tr>
      <w:tr w14:paraId="02055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13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670080">
            <w:pPr>
              <w:keepNext w:val="0"/>
              <w:keepLines w:val="0"/>
              <w:pageBreakBefore w:val="0"/>
              <w:widowControl/>
              <w:suppressLineNumbers w:val="0"/>
              <w:overflowPunct/>
              <w:topLinePunct w:val="0"/>
              <w:bidi w:val="0"/>
              <w:adjustRightInd w:val="0"/>
              <w:snapToGrid w:val="0"/>
              <w:spacing w:line="360" w:lineRule="auto"/>
              <w:ind w:left="0" w:leftChars="0" w:firstLine="0" w:firstLineChars="0"/>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中间漆</w:t>
            </w:r>
          </w:p>
        </w:tc>
        <w:tc>
          <w:tcPr>
            <w:tcW w:w="40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08750B">
            <w:pPr>
              <w:keepNext w:val="0"/>
              <w:keepLines w:val="0"/>
              <w:pageBreakBefore w:val="0"/>
              <w:widowControl/>
              <w:suppressLineNumbers w:val="0"/>
              <w:overflowPunct/>
              <w:topLinePunct w:val="0"/>
              <w:bidi w:val="0"/>
              <w:adjustRightInd w:val="0"/>
              <w:snapToGrid w:val="0"/>
              <w:spacing w:line="360" w:lineRule="auto"/>
              <w:ind w:left="0" w:leftChars="0" w:firstLine="0" w:firstLineChars="0"/>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环氧云铁中间漆</w:t>
            </w:r>
          </w:p>
        </w:tc>
        <w:tc>
          <w:tcPr>
            <w:tcW w:w="2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8D941D">
            <w:pPr>
              <w:keepNext w:val="0"/>
              <w:keepLines w:val="0"/>
              <w:pageBreakBefore w:val="0"/>
              <w:widowControl/>
              <w:suppressLineNumbers w:val="0"/>
              <w:overflowPunct/>
              <w:topLinePunct w:val="0"/>
              <w:bidi w:val="0"/>
              <w:adjustRightInd w:val="0"/>
              <w:snapToGrid w:val="0"/>
              <w:spacing w:line="360" w:lineRule="auto"/>
              <w:ind w:left="0" w:leftChars="0" w:firstLine="0" w:firstLineChars="0"/>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100 μm</w:t>
            </w:r>
          </w:p>
        </w:tc>
      </w:tr>
      <w:tr w14:paraId="532FB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13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20DDC5">
            <w:pPr>
              <w:keepNext w:val="0"/>
              <w:keepLines w:val="0"/>
              <w:pageBreakBefore w:val="0"/>
              <w:widowControl/>
              <w:suppressLineNumbers w:val="0"/>
              <w:overflowPunct/>
              <w:topLinePunct w:val="0"/>
              <w:bidi w:val="0"/>
              <w:adjustRightInd w:val="0"/>
              <w:snapToGrid w:val="0"/>
              <w:spacing w:line="360" w:lineRule="auto"/>
              <w:ind w:left="0" w:leftChars="0" w:firstLine="0" w:firstLineChars="0"/>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面漆</w:t>
            </w:r>
          </w:p>
        </w:tc>
        <w:tc>
          <w:tcPr>
            <w:tcW w:w="40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C32A1A">
            <w:pPr>
              <w:keepNext w:val="0"/>
              <w:keepLines w:val="0"/>
              <w:pageBreakBefore w:val="0"/>
              <w:widowControl/>
              <w:suppressLineNumbers w:val="0"/>
              <w:overflowPunct/>
              <w:topLinePunct w:val="0"/>
              <w:bidi w:val="0"/>
              <w:adjustRightInd w:val="0"/>
              <w:snapToGrid w:val="0"/>
              <w:spacing w:line="360" w:lineRule="auto"/>
              <w:ind w:left="0" w:leftChars="0" w:firstLine="0" w:firstLineChars="0"/>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脂肪族聚氨酯</w:t>
            </w:r>
          </w:p>
        </w:tc>
        <w:tc>
          <w:tcPr>
            <w:tcW w:w="2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CD0D5C">
            <w:pPr>
              <w:keepNext w:val="0"/>
              <w:keepLines w:val="0"/>
              <w:pageBreakBefore w:val="0"/>
              <w:widowControl/>
              <w:suppressLineNumbers w:val="0"/>
              <w:overflowPunct/>
              <w:topLinePunct w:val="0"/>
              <w:bidi w:val="0"/>
              <w:adjustRightInd w:val="0"/>
              <w:snapToGrid w:val="0"/>
              <w:spacing w:line="360" w:lineRule="auto"/>
              <w:ind w:left="0" w:leftChars="0" w:firstLine="0" w:firstLineChars="0"/>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60 μm</w:t>
            </w:r>
          </w:p>
        </w:tc>
      </w:tr>
    </w:tbl>
    <w:p w14:paraId="3B264F04">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7.验收标准</w:t>
      </w:r>
    </w:p>
    <w:p w14:paraId="238B5F53">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（1）大修完成后，对垃圾吊车轮进行调整，并试运行。垃圾吊大车承轨梁、大车轨道、小车轨道（轨距、水平度、标高、车轮与轨道间隙、防腐涂层厚度等）测量数据等符合要求；</w:t>
      </w:r>
    </w:p>
    <w:p w14:paraId="6DAEAA29">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（2）</w:t>
      </w:r>
      <w:r>
        <w:rPr>
          <w:rFonts w:hint="eastAsia" w:asciiTheme="minorEastAsia" w:hAnsiTheme="minorEastAsia" w:eastAsiaTheme="minorEastAsia" w:cstheme="minorEastAsia"/>
          <w:snapToGrid w:val="0"/>
          <w:color w:val="auto"/>
          <w:kern w:val="0"/>
          <w:sz w:val="24"/>
          <w:szCs w:val="24"/>
          <w:highlight w:val="none"/>
          <w:lang w:val="en-AU" w:eastAsia="zh-CN" w:bidi="ar-SA"/>
        </w:rPr>
        <w:t>设备大修后试</w:t>
      </w:r>
      <w:r>
        <w:rPr>
          <w:rFonts w:hint="eastAsia" w:asciiTheme="minorEastAsia" w:hAnsiTheme="minorEastAsia" w:eastAsiaTheme="minorEastAsia" w:cstheme="minorEastAsia"/>
          <w:snapToGrid w:val="0"/>
          <w:color w:val="auto"/>
          <w:kern w:val="0"/>
          <w:sz w:val="24"/>
          <w:szCs w:val="24"/>
          <w:highlight w:val="none"/>
          <w:lang w:val="en-US" w:eastAsia="zh-CN" w:bidi="ar-SA"/>
        </w:rPr>
        <w:t>运行</w:t>
      </w:r>
      <w:r>
        <w:rPr>
          <w:rFonts w:hint="eastAsia" w:asciiTheme="minorEastAsia" w:hAnsiTheme="minorEastAsia" w:eastAsiaTheme="minorEastAsia" w:cstheme="minorEastAsia"/>
          <w:snapToGrid w:val="0"/>
          <w:color w:val="auto"/>
          <w:kern w:val="0"/>
          <w:sz w:val="24"/>
          <w:szCs w:val="24"/>
          <w:highlight w:val="none"/>
          <w:lang w:val="en-AU" w:eastAsia="zh-CN" w:bidi="ar-SA"/>
        </w:rPr>
        <w:t>，空载试验应运行平稳，无</w:t>
      </w:r>
      <w:r>
        <w:rPr>
          <w:rFonts w:hint="eastAsia" w:asciiTheme="minorEastAsia" w:hAnsiTheme="minorEastAsia" w:eastAsiaTheme="minorEastAsia" w:cstheme="minorEastAsia"/>
          <w:snapToGrid w:val="0"/>
          <w:color w:val="auto"/>
          <w:kern w:val="0"/>
          <w:sz w:val="24"/>
          <w:szCs w:val="24"/>
          <w:highlight w:val="none"/>
          <w:lang w:val="en-US" w:eastAsia="zh-CN" w:bidi="ar-SA"/>
        </w:rPr>
        <w:t>异音，无</w:t>
      </w:r>
      <w:r>
        <w:rPr>
          <w:rFonts w:hint="eastAsia" w:asciiTheme="minorEastAsia" w:hAnsiTheme="minorEastAsia" w:eastAsiaTheme="minorEastAsia" w:cstheme="minorEastAsia"/>
          <w:snapToGrid w:val="0"/>
          <w:color w:val="auto"/>
          <w:kern w:val="0"/>
          <w:sz w:val="24"/>
          <w:szCs w:val="24"/>
          <w:highlight w:val="none"/>
          <w:lang w:val="en-AU" w:eastAsia="zh-CN" w:bidi="ar-SA"/>
        </w:rPr>
        <w:t>卡碰、撞击，</w:t>
      </w:r>
      <w:r>
        <w:rPr>
          <w:rFonts w:hint="eastAsia" w:asciiTheme="minorEastAsia" w:hAnsiTheme="minorEastAsia" w:eastAsiaTheme="minorEastAsia" w:cstheme="minorEastAsia"/>
          <w:snapToGrid w:val="0"/>
          <w:color w:val="auto"/>
          <w:kern w:val="0"/>
          <w:sz w:val="24"/>
          <w:szCs w:val="24"/>
          <w:highlight w:val="none"/>
          <w:lang w:val="en-US" w:eastAsia="zh-CN" w:bidi="ar-SA"/>
        </w:rPr>
        <w:t>无摩擦</w:t>
      </w:r>
      <w:r>
        <w:rPr>
          <w:rFonts w:hint="eastAsia" w:asciiTheme="minorEastAsia" w:hAnsiTheme="minorEastAsia" w:eastAsiaTheme="minorEastAsia" w:cstheme="minorEastAsia"/>
          <w:snapToGrid w:val="0"/>
          <w:color w:val="auto"/>
          <w:kern w:val="0"/>
          <w:sz w:val="24"/>
          <w:szCs w:val="24"/>
          <w:highlight w:val="none"/>
          <w:lang w:val="en-AU" w:eastAsia="zh-CN" w:bidi="ar-SA"/>
        </w:rPr>
        <w:t>，紧固件无松动现象（</w:t>
      </w:r>
      <w:r>
        <w:rPr>
          <w:rFonts w:hint="eastAsia" w:asciiTheme="minorEastAsia" w:hAnsiTheme="minorEastAsia" w:eastAsiaTheme="minorEastAsia" w:cstheme="minorEastAsia"/>
          <w:snapToGrid w:val="0"/>
          <w:color w:val="auto"/>
          <w:kern w:val="0"/>
          <w:sz w:val="24"/>
          <w:szCs w:val="24"/>
          <w:highlight w:val="none"/>
          <w:lang w:val="en-US" w:eastAsia="zh-CN" w:bidi="ar-SA"/>
        </w:rPr>
        <w:t>行车在不同速度的情况下试运行</w:t>
      </w:r>
      <w:r>
        <w:rPr>
          <w:rFonts w:hint="eastAsia" w:asciiTheme="minorEastAsia" w:hAnsiTheme="minorEastAsia" w:eastAsiaTheme="minorEastAsia" w:cstheme="minorEastAsia"/>
          <w:snapToGrid w:val="0"/>
          <w:color w:val="auto"/>
          <w:kern w:val="0"/>
          <w:sz w:val="24"/>
          <w:szCs w:val="24"/>
          <w:highlight w:val="none"/>
          <w:lang w:val="en-AU" w:eastAsia="zh-CN" w:bidi="ar-SA"/>
        </w:rPr>
        <w:t>）；</w:t>
      </w:r>
    </w:p>
    <w:p w14:paraId="235BF901">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（3）</w:t>
      </w:r>
      <w:r>
        <w:rPr>
          <w:rFonts w:hint="eastAsia" w:asciiTheme="minorEastAsia" w:hAnsiTheme="minorEastAsia" w:eastAsiaTheme="minorEastAsia" w:cstheme="minorEastAsia"/>
          <w:snapToGrid w:val="0"/>
          <w:color w:val="auto"/>
          <w:kern w:val="0"/>
          <w:sz w:val="24"/>
          <w:szCs w:val="24"/>
          <w:highlight w:val="none"/>
          <w:lang w:val="en-AU" w:eastAsia="zh-CN" w:bidi="ar-SA"/>
        </w:rPr>
        <w:t>设备大修后试</w:t>
      </w:r>
      <w:r>
        <w:rPr>
          <w:rFonts w:hint="eastAsia" w:asciiTheme="minorEastAsia" w:hAnsiTheme="minorEastAsia" w:eastAsiaTheme="minorEastAsia" w:cstheme="minorEastAsia"/>
          <w:snapToGrid w:val="0"/>
          <w:color w:val="auto"/>
          <w:kern w:val="0"/>
          <w:sz w:val="24"/>
          <w:szCs w:val="24"/>
          <w:highlight w:val="none"/>
          <w:lang w:val="en-US" w:eastAsia="zh-CN" w:bidi="ar-SA"/>
        </w:rPr>
        <w:t>运行</w:t>
      </w:r>
      <w:r>
        <w:rPr>
          <w:rFonts w:hint="eastAsia" w:asciiTheme="minorEastAsia" w:hAnsiTheme="minorEastAsia" w:eastAsiaTheme="minorEastAsia" w:cstheme="minorEastAsia"/>
          <w:snapToGrid w:val="0"/>
          <w:color w:val="auto"/>
          <w:kern w:val="0"/>
          <w:sz w:val="24"/>
          <w:szCs w:val="24"/>
          <w:highlight w:val="none"/>
          <w:lang w:val="en-AU" w:eastAsia="zh-CN" w:bidi="ar-SA"/>
        </w:rPr>
        <w:t>，</w:t>
      </w:r>
      <w:r>
        <w:rPr>
          <w:rFonts w:hint="eastAsia" w:asciiTheme="minorEastAsia" w:hAnsiTheme="minorEastAsia" w:eastAsiaTheme="minorEastAsia" w:cstheme="minorEastAsia"/>
          <w:snapToGrid w:val="0"/>
          <w:color w:val="auto"/>
          <w:kern w:val="0"/>
          <w:sz w:val="24"/>
          <w:szCs w:val="24"/>
          <w:highlight w:val="none"/>
          <w:lang w:val="en-US" w:eastAsia="zh-CN" w:bidi="ar-SA"/>
        </w:rPr>
        <w:t>满</w:t>
      </w:r>
      <w:r>
        <w:rPr>
          <w:rFonts w:hint="eastAsia" w:asciiTheme="minorEastAsia" w:hAnsiTheme="minorEastAsia" w:eastAsiaTheme="minorEastAsia" w:cstheme="minorEastAsia"/>
          <w:snapToGrid w:val="0"/>
          <w:color w:val="auto"/>
          <w:kern w:val="0"/>
          <w:sz w:val="24"/>
          <w:szCs w:val="24"/>
          <w:highlight w:val="none"/>
          <w:lang w:val="en-AU" w:eastAsia="zh-CN" w:bidi="ar-SA"/>
        </w:rPr>
        <w:t>载试验应运行平稳，无</w:t>
      </w:r>
      <w:r>
        <w:rPr>
          <w:rFonts w:hint="eastAsia" w:asciiTheme="minorEastAsia" w:hAnsiTheme="minorEastAsia" w:eastAsiaTheme="minorEastAsia" w:cstheme="minorEastAsia"/>
          <w:snapToGrid w:val="0"/>
          <w:color w:val="auto"/>
          <w:kern w:val="0"/>
          <w:sz w:val="24"/>
          <w:szCs w:val="24"/>
          <w:highlight w:val="none"/>
          <w:lang w:val="en-US" w:eastAsia="zh-CN" w:bidi="ar-SA"/>
        </w:rPr>
        <w:t>异音，无</w:t>
      </w:r>
      <w:r>
        <w:rPr>
          <w:rFonts w:hint="eastAsia" w:asciiTheme="minorEastAsia" w:hAnsiTheme="minorEastAsia" w:eastAsiaTheme="minorEastAsia" w:cstheme="minorEastAsia"/>
          <w:snapToGrid w:val="0"/>
          <w:color w:val="auto"/>
          <w:kern w:val="0"/>
          <w:sz w:val="24"/>
          <w:szCs w:val="24"/>
          <w:highlight w:val="none"/>
          <w:lang w:val="en-AU" w:eastAsia="zh-CN" w:bidi="ar-SA"/>
        </w:rPr>
        <w:t>卡碰、撞击，</w:t>
      </w:r>
      <w:r>
        <w:rPr>
          <w:rFonts w:hint="eastAsia" w:asciiTheme="minorEastAsia" w:hAnsiTheme="minorEastAsia" w:eastAsiaTheme="minorEastAsia" w:cstheme="minorEastAsia"/>
          <w:snapToGrid w:val="0"/>
          <w:color w:val="auto"/>
          <w:kern w:val="0"/>
          <w:sz w:val="24"/>
          <w:szCs w:val="24"/>
          <w:highlight w:val="none"/>
          <w:lang w:val="en-US" w:eastAsia="zh-CN" w:bidi="ar-SA"/>
        </w:rPr>
        <w:t>无摩擦</w:t>
      </w:r>
      <w:r>
        <w:rPr>
          <w:rFonts w:hint="eastAsia" w:asciiTheme="minorEastAsia" w:hAnsiTheme="minorEastAsia" w:eastAsiaTheme="minorEastAsia" w:cstheme="minorEastAsia"/>
          <w:snapToGrid w:val="0"/>
          <w:color w:val="auto"/>
          <w:kern w:val="0"/>
          <w:sz w:val="24"/>
          <w:szCs w:val="24"/>
          <w:highlight w:val="none"/>
          <w:lang w:val="en-AU" w:eastAsia="zh-CN" w:bidi="ar-SA"/>
        </w:rPr>
        <w:t>，紧固件无松动现象（</w:t>
      </w:r>
      <w:r>
        <w:rPr>
          <w:rFonts w:hint="eastAsia" w:asciiTheme="minorEastAsia" w:hAnsiTheme="minorEastAsia" w:eastAsiaTheme="minorEastAsia" w:cstheme="minorEastAsia"/>
          <w:snapToGrid w:val="0"/>
          <w:color w:val="auto"/>
          <w:kern w:val="0"/>
          <w:sz w:val="24"/>
          <w:szCs w:val="24"/>
          <w:highlight w:val="none"/>
          <w:lang w:val="en-US" w:eastAsia="zh-CN" w:bidi="ar-SA"/>
        </w:rPr>
        <w:t>行车在不同速度的情况下试运行</w:t>
      </w:r>
      <w:r>
        <w:rPr>
          <w:rFonts w:hint="eastAsia" w:asciiTheme="minorEastAsia" w:hAnsiTheme="minorEastAsia" w:eastAsiaTheme="minorEastAsia" w:cstheme="minorEastAsia"/>
          <w:snapToGrid w:val="0"/>
          <w:color w:val="auto"/>
          <w:kern w:val="0"/>
          <w:sz w:val="24"/>
          <w:szCs w:val="24"/>
          <w:highlight w:val="none"/>
          <w:lang w:val="en-AU" w:eastAsia="zh-CN" w:bidi="ar-SA"/>
        </w:rPr>
        <w:t>）；</w:t>
      </w:r>
    </w:p>
    <w:p w14:paraId="4C762839">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（4）承包人在大修完成后提供完整的大修报告。</w:t>
      </w:r>
    </w:p>
    <w:p w14:paraId="09B4154B">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Theme="minorEastAsia" w:hAnsiTheme="minorEastAsia" w:eastAsiaTheme="minorEastAsia" w:cstheme="minorEastAsia"/>
          <w:b/>
          <w:bCs/>
          <w:snapToGrid w:val="0"/>
          <w:color w:val="auto"/>
          <w:kern w:val="0"/>
          <w:sz w:val="24"/>
          <w:szCs w:val="24"/>
          <w:highlight w:val="none"/>
          <w:lang w:val="en-US" w:eastAsia="zh-CN" w:bidi="ar-SA"/>
        </w:rPr>
      </w:pPr>
      <w:r>
        <w:rPr>
          <w:rFonts w:hint="eastAsia" w:asciiTheme="minorEastAsia" w:hAnsiTheme="minorEastAsia" w:eastAsiaTheme="minorEastAsia" w:cstheme="minorEastAsia"/>
          <w:b/>
          <w:bCs/>
          <w:snapToGrid w:val="0"/>
          <w:color w:val="auto"/>
          <w:kern w:val="0"/>
          <w:sz w:val="24"/>
          <w:szCs w:val="24"/>
          <w:highlight w:val="none"/>
          <w:lang w:val="en-US" w:eastAsia="zh-CN" w:bidi="ar-SA"/>
        </w:rPr>
        <w:t>六、现场作业风险点告知</w:t>
      </w:r>
    </w:p>
    <w:p w14:paraId="52AB140A">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承包人需根据发包人现场生产需求进行垃圾吊轨道大修施工，承包人需充分考虑有限空间、有毒有害气体、空气恶臭、高空作业等施工风险，编制对应施工方案；若施工过程中项目有参观接待，需暂停施工，需充分考虑人员及工期安排。</w:t>
      </w:r>
    </w:p>
    <w:p w14:paraId="253D6767">
      <w:pPr>
        <w:rPr>
          <w:rFonts w:ascii="Times New Roman" w:hAnsi="Times New Roman" w:cs="Times New Roman"/>
          <w:b w:val="0"/>
          <w:bCs w:val="0"/>
          <w:color w:val="auto"/>
          <w:spacing w:val="-3"/>
          <w14:textOutline w14:w="8712" w14:cap="flat" w14:cmpd="sng" w14:algn="ctr">
            <w14:solidFill>
              <w14:srgbClr w14:val="000000"/>
            </w14:solidFill>
            <w14:prstDash w14:val="solid"/>
            <w14:miter w14:val="0"/>
          </w14:textOutline>
        </w:rPr>
      </w:pPr>
      <w:r>
        <w:rPr>
          <w:rFonts w:ascii="Times New Roman" w:hAnsi="Times New Roman" w:cs="Times New Roman"/>
          <w:b w:val="0"/>
          <w:bCs w:val="0"/>
          <w:color w:val="auto"/>
          <w:spacing w:val="-3"/>
          <w14:textOutline w14:w="8712" w14:cap="flat" w14:cmpd="sng" w14:algn="ctr">
            <w14:solidFill>
              <w14:srgbClr w14:val="000000"/>
            </w14:solidFill>
            <w14:prstDash w14:val="solid"/>
            <w14:miter w14:val="0"/>
          </w14:textOutline>
        </w:rPr>
        <w:br w:type="page"/>
      </w:r>
    </w:p>
    <w:p w14:paraId="4BF99418">
      <w:pPr>
        <w:pStyle w:val="2"/>
        <w:kinsoku/>
        <w:topLinePunct/>
        <w:rPr>
          <w:rFonts w:ascii="Times New Roman" w:hAnsi="Times New Roman" w:cs="Times New Roman"/>
          <w:b w:val="0"/>
          <w:bCs w:val="0"/>
          <w:color w:val="auto"/>
        </w:rPr>
      </w:pPr>
      <w:r>
        <w:rPr>
          <w:rFonts w:ascii="Times New Roman" w:hAnsi="Times New Roman" w:cs="Times New Roman"/>
          <w:b w:val="0"/>
          <w:bCs w:val="0"/>
          <w:color w:val="auto"/>
          <w:spacing w:val="-3"/>
          <w14:textOutline w14:w="8712" w14:cap="flat" w14:cmpd="sng" w14:algn="ctr">
            <w14:solidFill>
              <w14:srgbClr w14:val="000000"/>
            </w14:solidFill>
            <w14:prstDash w14:val="solid"/>
            <w14:miter w14:val="0"/>
          </w14:textOutline>
        </w:rPr>
        <w:t>第八章 响应文件格式</w:t>
      </w:r>
    </w:p>
    <w:p w14:paraId="486B186B">
      <w:pPr>
        <w:kinsoku/>
        <w:wordWrap w:val="0"/>
        <w:topLinePunct/>
        <w:autoSpaceDE/>
        <w:autoSpaceDN/>
        <w:adjustRightInd/>
        <w:snapToGrid/>
        <w:ind w:firstLine="420" w:firstLineChars="200"/>
        <w:rPr>
          <w:rFonts w:ascii="Times New Roman" w:hAnsi="Times New Roman" w:cs="Times New Roman"/>
          <w:color w:val="auto"/>
          <w:sz w:val="21"/>
        </w:rPr>
      </w:pPr>
    </w:p>
    <w:p w14:paraId="7A348C30">
      <w:pPr>
        <w:kinsoku/>
        <w:topLinePunct/>
        <w:rPr>
          <w:rFonts w:ascii="Times New Roman" w:hAnsi="Times New Roman" w:cs="Times New Roman"/>
          <w:color w:val="auto"/>
        </w:rPr>
      </w:pPr>
    </w:p>
    <w:p w14:paraId="7D1A5754">
      <w:pPr>
        <w:widowControl w:val="0"/>
        <w:spacing w:line="360" w:lineRule="auto"/>
        <w:ind w:firstLine="482" w:firstLineChars="150"/>
        <w:rPr>
          <w:rFonts w:ascii="Times New Roman" w:hAnsi="Times New Roman" w:eastAsia="仿宋_GB2312" w:cs="Times New Roman"/>
          <w:b/>
          <w:bCs/>
          <w:color w:val="auto"/>
          <w:sz w:val="32"/>
          <w:szCs w:val="32"/>
        </w:rPr>
      </w:pPr>
      <w:r>
        <w:rPr>
          <w:rFonts w:ascii="Times New Roman" w:hAnsi="Times New Roman" w:eastAsia="仿宋_GB2312" w:cs="Times New Roman"/>
          <w:b/>
          <w:bCs/>
          <w:color w:val="auto"/>
          <w:sz w:val="32"/>
          <w:szCs w:val="32"/>
        </w:rPr>
        <w:t>1.资信标及资格审查格式</w:t>
      </w:r>
    </w:p>
    <w:p w14:paraId="266CE4A5">
      <w:pPr>
        <w:widowControl w:val="0"/>
        <w:spacing w:line="360" w:lineRule="auto"/>
        <w:ind w:firstLine="482" w:firstLineChars="150"/>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2</w:t>
      </w:r>
      <w:r>
        <w:rPr>
          <w:rFonts w:ascii="Times New Roman" w:hAnsi="Times New Roman" w:eastAsia="仿宋_GB2312" w:cs="Times New Roman"/>
          <w:color w:val="auto"/>
          <w:sz w:val="32"/>
          <w:szCs w:val="32"/>
        </w:rPr>
        <w:t>.</w:t>
      </w:r>
      <w:r>
        <w:rPr>
          <w:rFonts w:ascii="Times New Roman" w:hAnsi="Times New Roman" w:eastAsia="仿宋_GB2312" w:cs="Times New Roman"/>
          <w:b/>
          <w:bCs/>
          <w:color w:val="auto"/>
          <w:sz w:val="32"/>
          <w:szCs w:val="32"/>
        </w:rPr>
        <w:t>技术标格式</w:t>
      </w:r>
    </w:p>
    <w:p w14:paraId="7E2FFD52">
      <w:pPr>
        <w:widowControl w:val="0"/>
        <w:spacing w:line="360" w:lineRule="auto"/>
        <w:ind w:firstLine="482" w:firstLineChars="150"/>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3.商务标格式</w:t>
      </w:r>
    </w:p>
    <w:p w14:paraId="402C4B3D">
      <w:pPr>
        <w:kinsoku/>
        <w:topLinePunct/>
        <w:adjustRightInd/>
        <w:rPr>
          <w:rFonts w:ascii="Times New Roman" w:hAnsi="Times New Roman" w:eastAsia="仿宋" w:cs="Times New Roman"/>
          <w:color w:val="auto"/>
          <w:spacing w:val="4"/>
          <w:sz w:val="30"/>
          <w:szCs w:val="30"/>
        </w:rPr>
      </w:pPr>
    </w:p>
    <w:p w14:paraId="2B3687FB">
      <w:pPr>
        <w:kinsoku/>
        <w:topLinePunct/>
        <w:rPr>
          <w:rFonts w:ascii="Times New Roman" w:hAnsi="Times New Roman" w:cs="Times New Roman"/>
          <w:color w:val="auto"/>
        </w:rPr>
      </w:pPr>
    </w:p>
    <w:p w14:paraId="65D199BF">
      <w:pPr>
        <w:kinsoku/>
        <w:wordWrap w:val="0"/>
        <w:topLinePunct/>
        <w:autoSpaceDE/>
        <w:autoSpaceDN/>
        <w:adjustRightInd/>
        <w:snapToGrid/>
        <w:ind w:firstLine="616" w:firstLineChars="200"/>
        <w:rPr>
          <w:rFonts w:ascii="Times New Roman" w:hAnsi="Times New Roman" w:eastAsia="仿宋" w:cs="Times New Roman"/>
          <w:color w:val="auto"/>
          <w:spacing w:val="4"/>
          <w:sz w:val="30"/>
          <w:szCs w:val="30"/>
        </w:rPr>
      </w:pPr>
    </w:p>
    <w:p w14:paraId="2B6EC321">
      <w:pPr>
        <w:kinsoku/>
        <w:wordWrap w:val="0"/>
        <w:topLinePunct/>
        <w:autoSpaceDE/>
        <w:autoSpaceDN/>
        <w:adjustRightInd/>
        <w:snapToGrid/>
        <w:ind w:firstLine="616" w:firstLineChars="200"/>
        <w:rPr>
          <w:rFonts w:ascii="Times New Roman" w:hAnsi="Times New Roman" w:eastAsia="仿宋" w:cs="Times New Roman"/>
          <w:color w:val="auto"/>
          <w:spacing w:val="4"/>
          <w:sz w:val="30"/>
          <w:szCs w:val="30"/>
        </w:rPr>
      </w:pPr>
    </w:p>
    <w:p w14:paraId="4B599C3D">
      <w:pPr>
        <w:kinsoku/>
        <w:wordWrap w:val="0"/>
        <w:topLinePunct/>
        <w:autoSpaceDE/>
        <w:autoSpaceDN/>
        <w:adjustRightInd/>
        <w:snapToGrid/>
        <w:ind w:firstLine="616" w:firstLineChars="200"/>
        <w:rPr>
          <w:rFonts w:ascii="Times New Roman" w:hAnsi="Times New Roman" w:eastAsia="仿宋" w:cs="Times New Roman"/>
          <w:color w:val="auto"/>
          <w:spacing w:val="4"/>
          <w:sz w:val="30"/>
          <w:szCs w:val="30"/>
        </w:rPr>
      </w:pPr>
    </w:p>
    <w:p w14:paraId="5B44ADF5">
      <w:pPr>
        <w:kinsoku/>
        <w:wordWrap w:val="0"/>
        <w:topLinePunct/>
        <w:autoSpaceDE/>
        <w:autoSpaceDN/>
        <w:adjustRightInd/>
        <w:snapToGrid/>
        <w:ind w:firstLine="616" w:firstLineChars="200"/>
        <w:rPr>
          <w:rFonts w:ascii="Times New Roman" w:hAnsi="Times New Roman" w:eastAsia="仿宋" w:cs="Times New Roman"/>
          <w:color w:val="auto"/>
          <w:spacing w:val="4"/>
          <w:sz w:val="30"/>
          <w:szCs w:val="30"/>
        </w:rPr>
      </w:pPr>
    </w:p>
    <w:p w14:paraId="25D51FC4">
      <w:pPr>
        <w:kinsoku/>
        <w:wordWrap w:val="0"/>
        <w:topLinePunct/>
        <w:autoSpaceDE/>
        <w:autoSpaceDN/>
        <w:adjustRightInd/>
        <w:snapToGrid/>
        <w:ind w:firstLine="616" w:firstLineChars="200"/>
        <w:rPr>
          <w:rFonts w:ascii="Times New Roman" w:hAnsi="Times New Roman" w:eastAsia="仿宋" w:cs="Times New Roman"/>
          <w:color w:val="auto"/>
          <w:spacing w:val="4"/>
          <w:sz w:val="30"/>
          <w:szCs w:val="30"/>
        </w:rPr>
      </w:pPr>
    </w:p>
    <w:p w14:paraId="72270FD5">
      <w:pPr>
        <w:kinsoku/>
        <w:wordWrap w:val="0"/>
        <w:topLinePunct/>
        <w:autoSpaceDE/>
        <w:autoSpaceDN/>
        <w:adjustRightInd/>
        <w:snapToGrid/>
        <w:ind w:firstLine="616" w:firstLineChars="200"/>
        <w:rPr>
          <w:rFonts w:ascii="Times New Roman" w:hAnsi="Times New Roman" w:eastAsia="仿宋" w:cs="Times New Roman"/>
          <w:color w:val="auto"/>
          <w:spacing w:val="4"/>
          <w:sz w:val="30"/>
          <w:szCs w:val="30"/>
        </w:rPr>
      </w:pPr>
    </w:p>
    <w:p w14:paraId="73DD2F6F">
      <w:pPr>
        <w:kinsoku/>
        <w:topLinePunct/>
        <w:spacing w:line="360" w:lineRule="auto"/>
        <w:jc w:val="distribute"/>
        <w:rPr>
          <w:rFonts w:ascii="Times New Roman" w:hAnsi="Times New Roman" w:cs="Times New Roman"/>
          <w:color w:val="auto"/>
        </w:rPr>
      </w:pPr>
    </w:p>
    <w:p w14:paraId="1B8F0B9B">
      <w:pPr>
        <w:kinsoku/>
        <w:topLinePunct/>
        <w:adjustRightInd/>
        <w:ind w:firstLine="596" w:firstLineChars="200"/>
        <w:rPr>
          <w:rFonts w:ascii="Times New Roman" w:hAnsi="Times New Roman" w:eastAsia="仿宋" w:cs="Times New Roman"/>
          <w:color w:val="auto"/>
          <w:spacing w:val="-1"/>
          <w:sz w:val="30"/>
          <w:szCs w:val="30"/>
          <w14:textOutline w14:w="5448" w14:cap="flat" w14:cmpd="sng" w14:algn="ctr">
            <w14:solidFill>
              <w14:srgbClr w14:val="000000"/>
            </w14:solidFill>
            <w14:prstDash w14:val="solid"/>
            <w14:miter w14:val="0"/>
          </w14:textOutline>
        </w:rPr>
      </w:pPr>
    </w:p>
    <w:p w14:paraId="2BCE4029">
      <w:pPr>
        <w:kinsoku/>
        <w:topLinePunct/>
        <w:jc w:val="both"/>
        <w:rPr>
          <w:rFonts w:ascii="Times New Roman" w:hAnsi="Times New Roman" w:cs="Times New Roman"/>
          <w:b/>
          <w:bCs/>
          <w:color w:val="auto"/>
          <w:sz w:val="32"/>
          <w:szCs w:val="32"/>
          <w:lang w:val="zh-CN"/>
        </w:rPr>
      </w:pPr>
    </w:p>
    <w:p w14:paraId="15B36A26">
      <w:pPr>
        <w:kinsoku/>
        <w:topLinePunct/>
        <w:adjustRightInd/>
        <w:spacing w:before="1" w:line="218" w:lineRule="auto"/>
        <w:jc w:val="center"/>
        <w:rPr>
          <w:rFonts w:ascii="Times New Roman" w:hAnsi="Times New Roman" w:eastAsia="宋体" w:cs="Times New Roman"/>
          <w:color w:val="auto"/>
          <w:spacing w:val="-1"/>
          <w:sz w:val="44"/>
          <w:szCs w:val="44"/>
          <w14:textOutline w14:w="5448" w14:cap="flat" w14:cmpd="sng" w14:algn="ctr">
            <w14:solidFill>
              <w14:srgbClr w14:val="000000"/>
            </w14:solidFill>
            <w14:prstDash w14:val="solid"/>
            <w14:miter w14:val="0"/>
          </w14:textOutline>
        </w:rPr>
      </w:pPr>
    </w:p>
    <w:p w14:paraId="3F35F75D">
      <w:pPr>
        <w:kinsoku/>
        <w:topLinePunct/>
        <w:adjustRightInd/>
        <w:spacing w:before="1" w:line="218" w:lineRule="auto"/>
        <w:jc w:val="center"/>
        <w:rPr>
          <w:rFonts w:ascii="Times New Roman" w:hAnsi="Times New Roman" w:eastAsia="宋体" w:cs="Times New Roman"/>
          <w:color w:val="auto"/>
          <w:spacing w:val="-1"/>
          <w:sz w:val="44"/>
          <w:szCs w:val="44"/>
          <w14:textOutline w14:w="5448" w14:cap="flat" w14:cmpd="sng" w14:algn="ctr">
            <w14:solidFill>
              <w14:srgbClr w14:val="000000"/>
            </w14:solidFill>
            <w14:prstDash w14:val="solid"/>
            <w14:miter w14:val="0"/>
          </w14:textOutline>
        </w:rPr>
        <w:sectPr>
          <w:pgSz w:w="11906" w:h="16838"/>
          <w:pgMar w:top="1440" w:right="1083" w:bottom="1440" w:left="1083" w:header="850" w:footer="850" w:gutter="0"/>
          <w:cols w:space="0" w:num="1"/>
        </w:sectPr>
      </w:pPr>
    </w:p>
    <w:p w14:paraId="006DCDE9">
      <w:pPr>
        <w:kinsoku/>
        <w:wordWrap w:val="0"/>
        <w:topLinePunct/>
        <w:autoSpaceDE/>
        <w:autoSpaceDN/>
        <w:adjustRightInd/>
        <w:snapToGrid/>
        <w:jc w:val="center"/>
        <w:rPr>
          <w:rFonts w:ascii="Times New Roman" w:hAnsi="Times New Roman" w:eastAsia="黑体" w:cs="Times New Roman"/>
          <w:color w:val="auto"/>
          <w:spacing w:val="-4"/>
          <w:sz w:val="52"/>
          <w:szCs w:val="52"/>
          <w14:textOutline w14:w="8712" w14:cap="flat" w14:cmpd="sng" w14:algn="ctr">
            <w14:solidFill>
              <w14:srgbClr w14:val="000000"/>
            </w14:solidFill>
            <w14:prstDash w14:val="solid"/>
            <w14:miter w14:val="0"/>
          </w14:textOutline>
        </w:rPr>
      </w:pPr>
    </w:p>
    <w:p w14:paraId="107C2BE6">
      <w:pPr>
        <w:kinsoku/>
        <w:wordWrap w:val="0"/>
        <w:topLinePunct/>
        <w:autoSpaceDE/>
        <w:autoSpaceDN/>
        <w:adjustRightInd/>
        <w:snapToGrid/>
        <w:jc w:val="center"/>
        <w:rPr>
          <w:rFonts w:ascii="Times New Roman" w:hAnsi="Times New Roman" w:eastAsia="黑体" w:cs="Times New Roman"/>
          <w:color w:val="auto"/>
          <w:sz w:val="52"/>
          <w:szCs w:val="52"/>
        </w:rPr>
      </w:pPr>
      <w:r>
        <w:rPr>
          <w:rFonts w:ascii="Times New Roman" w:hAnsi="Times New Roman" w:eastAsia="黑体" w:cs="Times New Roman"/>
          <w:color w:val="auto"/>
          <w:spacing w:val="-4"/>
          <w:sz w:val="52"/>
          <w:szCs w:val="52"/>
          <w14:textOutline w14:w="8712" w14:cap="flat" w14:cmpd="sng" w14:algn="ctr">
            <w14:solidFill>
              <w14:srgbClr w14:val="000000"/>
            </w14:solidFill>
            <w14:prstDash w14:val="solid"/>
            <w14:miter w14:val="0"/>
          </w14:textOutline>
        </w:rPr>
        <w:t>小额项目工程施工响应文件</w:t>
      </w:r>
    </w:p>
    <w:p w14:paraId="37D76286">
      <w:pPr>
        <w:kinsoku/>
        <w:topLinePunct/>
        <w:jc w:val="center"/>
        <w:rPr>
          <w:rFonts w:ascii="Times New Roman" w:hAnsi="Times New Roman" w:cs="Times New Roman"/>
          <w:color w:val="auto"/>
        </w:rPr>
      </w:pPr>
    </w:p>
    <w:p w14:paraId="1BD8E500">
      <w:pPr>
        <w:kinsoku/>
        <w:topLinePunct/>
        <w:jc w:val="center"/>
        <w:rPr>
          <w:rFonts w:ascii="Times New Roman" w:hAnsi="Times New Roman" w:cs="Times New Roman"/>
          <w:color w:val="auto"/>
        </w:rPr>
      </w:pPr>
    </w:p>
    <w:p w14:paraId="10906247">
      <w:pPr>
        <w:pStyle w:val="3"/>
        <w:rPr>
          <w:rFonts w:ascii="Times New Roman" w:hAnsi="Times New Roman" w:cs="Times New Roman"/>
          <w:color w:val="auto"/>
        </w:rPr>
      </w:pPr>
      <w:r>
        <w:rPr>
          <w:rFonts w:ascii="Times New Roman" w:hAnsi="Times New Roman" w:cs="Times New Roman"/>
          <w:color w:val="auto"/>
        </w:rPr>
        <w:t>(封面)</w:t>
      </w:r>
    </w:p>
    <w:p w14:paraId="486483F3">
      <w:pPr>
        <w:kinsoku/>
        <w:topLinePunct/>
        <w:rPr>
          <w:rFonts w:ascii="Times New Roman" w:hAnsi="Times New Roman" w:cs="Times New Roman"/>
          <w:color w:val="auto"/>
        </w:rPr>
      </w:pPr>
    </w:p>
    <w:p w14:paraId="57F24AB6">
      <w:pPr>
        <w:kinsoku/>
        <w:wordWrap w:val="0"/>
        <w:topLinePunct/>
        <w:autoSpaceDE/>
        <w:autoSpaceDN/>
        <w:adjustRightInd/>
        <w:snapToGrid/>
        <w:rPr>
          <w:rFonts w:ascii="Times New Roman" w:hAnsi="Times New Roman" w:cs="Times New Roman"/>
          <w:color w:val="auto"/>
          <w:sz w:val="21"/>
        </w:rPr>
      </w:pPr>
    </w:p>
    <w:p w14:paraId="71329144">
      <w:pPr>
        <w:kinsoku/>
        <w:wordWrap w:val="0"/>
        <w:topLinePunct/>
        <w:autoSpaceDE/>
        <w:autoSpaceDN/>
        <w:adjustRightInd/>
        <w:snapToGrid/>
        <w:rPr>
          <w:rFonts w:ascii="Times New Roman" w:hAnsi="Times New Roman" w:cs="Times New Roman"/>
          <w:color w:val="auto"/>
          <w:sz w:val="21"/>
        </w:rPr>
      </w:pPr>
    </w:p>
    <w:p w14:paraId="721E8A06">
      <w:pPr>
        <w:kinsoku/>
        <w:wordWrap w:val="0"/>
        <w:topLinePunct/>
        <w:autoSpaceDE/>
        <w:autoSpaceDN/>
        <w:adjustRightInd/>
        <w:snapToGrid/>
        <w:spacing w:line="580" w:lineRule="exact"/>
        <w:rPr>
          <w:rFonts w:ascii="Times New Roman" w:hAnsi="Times New Roman" w:cs="Times New Roman"/>
          <w:color w:val="auto"/>
          <w:sz w:val="21"/>
        </w:rPr>
      </w:pPr>
    </w:p>
    <w:p w14:paraId="4AAA5544">
      <w:pPr>
        <w:kinsoku/>
        <w:wordWrap w:val="0"/>
        <w:topLinePunct/>
        <w:autoSpaceDE/>
        <w:autoSpaceDN/>
        <w:adjustRightInd/>
        <w:snapToGrid/>
        <w:spacing w:before="240" w:beforeLines="100" w:after="240" w:afterLines="100" w:line="580" w:lineRule="exact"/>
        <w:ind w:firstLine="1160" w:firstLineChars="400"/>
        <w:rPr>
          <w:rFonts w:ascii="Times New Roman" w:hAnsi="Times New Roman" w:eastAsia="仿宋" w:cs="Times New Roman"/>
          <w:color w:val="auto"/>
        </w:rPr>
      </w:pPr>
      <w:r>
        <w:rPr>
          <w:rFonts w:ascii="Times New Roman" w:hAnsi="Times New Roman" w:eastAsia="仿宋" w:cs="Times New Roman"/>
          <w:color w:val="auto"/>
          <w:spacing w:val="-5"/>
          <w:sz w:val="30"/>
          <w:szCs w:val="30"/>
        </w:rPr>
        <w:t>项目名称：</w:t>
      </w:r>
      <w:r>
        <w:rPr>
          <w:rFonts w:ascii="Times New Roman" w:hAnsi="Times New Roman" w:eastAsia="仿宋" w:cs="Times New Roman"/>
          <w:color w:val="auto"/>
          <w:sz w:val="30"/>
          <w:szCs w:val="30"/>
          <w:u w:val="single"/>
        </w:rPr>
        <w:t xml:space="preserve">                                        </w:t>
      </w:r>
    </w:p>
    <w:p w14:paraId="4D35037C">
      <w:pPr>
        <w:kinsoku/>
        <w:wordWrap w:val="0"/>
        <w:topLinePunct/>
        <w:autoSpaceDE/>
        <w:autoSpaceDN/>
        <w:adjustRightInd/>
        <w:snapToGrid/>
        <w:spacing w:before="240" w:beforeLines="100" w:after="240" w:afterLines="100" w:line="580" w:lineRule="exact"/>
        <w:ind w:firstLine="1184" w:firstLineChars="400"/>
        <w:rPr>
          <w:rFonts w:ascii="Times New Roman" w:hAnsi="Times New Roman" w:eastAsia="仿宋" w:cs="Times New Roman"/>
          <w:color w:val="auto"/>
          <w:spacing w:val="-2"/>
          <w:sz w:val="30"/>
          <w:szCs w:val="30"/>
          <w:u w:val="single"/>
        </w:rPr>
      </w:pPr>
      <w:r>
        <w:rPr>
          <w:rFonts w:ascii="Times New Roman" w:hAnsi="Times New Roman" w:eastAsia="仿宋" w:cs="Times New Roman"/>
          <w:color w:val="auto"/>
          <w:spacing w:val="-2"/>
          <w:sz w:val="30"/>
          <w:szCs w:val="30"/>
        </w:rPr>
        <w:t>文件内容：</w:t>
      </w:r>
      <w:r>
        <w:rPr>
          <w:rFonts w:ascii="Times New Roman" w:hAnsi="Times New Roman" w:eastAsia="仿宋" w:cs="Times New Roman"/>
          <w:color w:val="auto"/>
          <w:spacing w:val="-2"/>
          <w:sz w:val="30"/>
          <w:szCs w:val="30"/>
          <w:u w:val="single"/>
        </w:rPr>
        <w:t>　　　　资信标及资格审查文件　　　　　　　　　</w:t>
      </w:r>
    </w:p>
    <w:p w14:paraId="70A28915">
      <w:pPr>
        <w:kinsoku/>
        <w:wordWrap w:val="0"/>
        <w:topLinePunct/>
        <w:autoSpaceDE/>
        <w:autoSpaceDN/>
        <w:adjustRightInd/>
        <w:snapToGrid/>
        <w:spacing w:before="240" w:beforeLines="100" w:after="240" w:afterLines="100" w:line="580" w:lineRule="exact"/>
        <w:ind w:firstLine="1184" w:firstLineChars="400"/>
        <w:rPr>
          <w:rFonts w:ascii="Times New Roman" w:hAnsi="Times New Roman" w:cs="Times New Roman"/>
          <w:color w:val="auto"/>
          <w:sz w:val="21"/>
        </w:rPr>
      </w:pPr>
      <w:r>
        <w:rPr>
          <w:rFonts w:ascii="Times New Roman" w:hAnsi="Times New Roman" w:eastAsia="仿宋" w:cs="Times New Roman"/>
          <w:color w:val="auto"/>
          <w:spacing w:val="-2"/>
          <w:sz w:val="30"/>
          <w:szCs w:val="30"/>
        </w:rPr>
        <w:t>潜在承包人：</w:t>
      </w:r>
      <w:r>
        <w:rPr>
          <w:rFonts w:ascii="Times New Roman" w:hAnsi="Times New Roman" w:eastAsia="仿宋" w:cs="Times New Roman"/>
          <w:color w:val="auto"/>
          <w:spacing w:val="-2"/>
          <w:sz w:val="30"/>
          <w:szCs w:val="30"/>
          <w:u w:val="single"/>
        </w:rPr>
        <w:t xml:space="preserve">              </w:t>
      </w:r>
      <w:r>
        <w:rPr>
          <w:rFonts w:ascii="Times New Roman" w:hAnsi="Times New Roman" w:eastAsia="仿宋" w:cs="Times New Roman"/>
          <w:color w:val="auto"/>
          <w:spacing w:val="-1"/>
          <w:sz w:val="30"/>
          <w:szCs w:val="30"/>
          <w:u w:val="single"/>
        </w:rPr>
        <w:t xml:space="preserve">             (电子签名)</w:t>
      </w:r>
      <w:r>
        <w:rPr>
          <w:rFonts w:ascii="Times New Roman" w:hAnsi="Times New Roman" w:eastAsia="仿宋" w:cs="Times New Roman"/>
          <w:color w:val="auto"/>
          <w:sz w:val="30"/>
          <w:szCs w:val="30"/>
          <w:u w:val="single"/>
        </w:rPr>
        <w:t xml:space="preserve"> </w:t>
      </w:r>
    </w:p>
    <w:p w14:paraId="23ABF5E0">
      <w:pPr>
        <w:kinsoku/>
        <w:wordWrap w:val="0"/>
        <w:topLinePunct/>
        <w:autoSpaceDE/>
        <w:autoSpaceDN/>
        <w:adjustRightInd/>
        <w:snapToGrid/>
        <w:spacing w:before="240" w:beforeLines="100" w:after="240" w:afterLines="100" w:line="580" w:lineRule="exact"/>
        <w:ind w:firstLine="1168" w:firstLineChars="400"/>
        <w:rPr>
          <w:rFonts w:ascii="Times New Roman" w:hAnsi="Times New Roman" w:eastAsia="仿宋" w:cs="Times New Roman"/>
          <w:color w:val="auto"/>
          <w:sz w:val="30"/>
          <w:szCs w:val="30"/>
        </w:rPr>
      </w:pPr>
      <w:r>
        <w:rPr>
          <w:rFonts w:ascii="Times New Roman" w:hAnsi="Times New Roman" w:eastAsia="仿宋" w:cs="Times New Roman"/>
          <w:color w:val="auto"/>
          <w:spacing w:val="-4"/>
          <w:sz w:val="30"/>
          <w:szCs w:val="30"/>
        </w:rPr>
        <w:t>法定代</w:t>
      </w:r>
      <w:r>
        <w:rPr>
          <w:rFonts w:ascii="Times New Roman" w:hAnsi="Times New Roman" w:eastAsia="仿宋" w:cs="Times New Roman"/>
          <w:color w:val="auto"/>
          <w:spacing w:val="-3"/>
          <w:sz w:val="30"/>
          <w:szCs w:val="30"/>
        </w:rPr>
        <w:t>表</w:t>
      </w:r>
      <w:r>
        <w:rPr>
          <w:rFonts w:ascii="Times New Roman" w:hAnsi="Times New Roman" w:eastAsia="仿宋" w:cs="Times New Roman"/>
          <w:color w:val="auto"/>
          <w:spacing w:val="-2"/>
          <w:sz w:val="30"/>
          <w:szCs w:val="30"/>
        </w:rPr>
        <w:t>人或其委托代理人：</w:t>
      </w:r>
      <w:r>
        <w:rPr>
          <w:rFonts w:ascii="Times New Roman" w:hAnsi="Times New Roman" w:eastAsia="仿宋" w:cs="Times New Roman"/>
          <w:color w:val="auto"/>
          <w:spacing w:val="-2"/>
          <w:sz w:val="30"/>
          <w:szCs w:val="30"/>
          <w:u w:val="single"/>
        </w:rPr>
        <w:t xml:space="preserve">           　(</w:t>
      </w:r>
      <w:r>
        <w:rPr>
          <w:rFonts w:ascii="Times New Roman" w:hAnsi="Times New Roman" w:eastAsia="仿宋" w:cs="Times New Roman"/>
          <w:color w:val="auto"/>
          <w:spacing w:val="-1"/>
          <w:sz w:val="30"/>
          <w:szCs w:val="30"/>
          <w:u w:val="single"/>
        </w:rPr>
        <w:t>电子签名</w:t>
      </w:r>
      <w:r>
        <w:rPr>
          <w:rFonts w:ascii="Times New Roman" w:hAnsi="Times New Roman" w:eastAsia="仿宋" w:cs="Times New Roman"/>
          <w:color w:val="auto"/>
          <w:spacing w:val="-2"/>
          <w:sz w:val="30"/>
          <w:szCs w:val="30"/>
          <w:u w:val="single"/>
        </w:rPr>
        <w:t>)</w:t>
      </w:r>
      <w:r>
        <w:rPr>
          <w:rFonts w:ascii="Times New Roman" w:hAnsi="Times New Roman" w:eastAsia="仿宋" w:cs="Times New Roman"/>
          <w:color w:val="auto"/>
          <w:sz w:val="30"/>
          <w:szCs w:val="30"/>
          <w:u w:val="single"/>
        </w:rPr>
        <w:t xml:space="preserve"> </w:t>
      </w:r>
    </w:p>
    <w:p w14:paraId="647CF9CC">
      <w:pPr>
        <w:kinsoku/>
        <w:wordWrap w:val="0"/>
        <w:topLinePunct/>
        <w:autoSpaceDE/>
        <w:autoSpaceDN/>
        <w:adjustRightInd/>
        <w:snapToGrid/>
        <w:ind w:firstLine="420" w:firstLineChars="200"/>
        <w:rPr>
          <w:rFonts w:ascii="Times New Roman" w:hAnsi="Times New Roman" w:cs="Times New Roman"/>
          <w:color w:val="auto"/>
          <w:sz w:val="21"/>
        </w:rPr>
      </w:pPr>
    </w:p>
    <w:p w14:paraId="0E18098F">
      <w:pPr>
        <w:kinsoku/>
        <w:wordWrap w:val="0"/>
        <w:topLinePunct/>
        <w:autoSpaceDE/>
        <w:autoSpaceDN/>
        <w:adjustRightInd/>
        <w:snapToGrid/>
        <w:ind w:firstLine="420" w:firstLineChars="200"/>
        <w:rPr>
          <w:rFonts w:ascii="Times New Roman" w:hAnsi="Times New Roman" w:cs="Times New Roman"/>
          <w:color w:val="auto"/>
          <w:sz w:val="21"/>
        </w:rPr>
      </w:pPr>
    </w:p>
    <w:p w14:paraId="1DD385F2">
      <w:pPr>
        <w:kinsoku/>
        <w:wordWrap w:val="0"/>
        <w:topLinePunct/>
        <w:autoSpaceDE/>
        <w:autoSpaceDN/>
        <w:adjustRightInd/>
        <w:snapToGrid/>
        <w:ind w:firstLine="420" w:firstLineChars="200"/>
        <w:rPr>
          <w:rFonts w:ascii="Times New Roman" w:hAnsi="Times New Roman" w:cs="Times New Roman"/>
          <w:color w:val="auto"/>
          <w:sz w:val="21"/>
        </w:rPr>
      </w:pPr>
    </w:p>
    <w:p w14:paraId="5B1D1D4B">
      <w:pPr>
        <w:kinsoku/>
        <w:wordWrap w:val="0"/>
        <w:topLinePunct/>
        <w:autoSpaceDE/>
        <w:autoSpaceDN/>
        <w:adjustRightInd/>
        <w:snapToGrid/>
        <w:ind w:firstLine="420" w:firstLineChars="200"/>
        <w:rPr>
          <w:rFonts w:ascii="Times New Roman" w:hAnsi="Times New Roman" w:cs="Times New Roman"/>
          <w:color w:val="auto"/>
          <w:sz w:val="21"/>
        </w:rPr>
      </w:pPr>
    </w:p>
    <w:p w14:paraId="521EEC94">
      <w:pPr>
        <w:kinsoku/>
        <w:wordWrap w:val="0"/>
        <w:topLinePunct/>
        <w:autoSpaceDE/>
        <w:autoSpaceDN/>
        <w:adjustRightInd/>
        <w:snapToGrid/>
        <w:ind w:firstLine="420" w:firstLineChars="200"/>
        <w:rPr>
          <w:rFonts w:ascii="Times New Roman" w:hAnsi="Times New Roman" w:cs="Times New Roman"/>
          <w:color w:val="auto"/>
          <w:sz w:val="21"/>
        </w:rPr>
      </w:pPr>
    </w:p>
    <w:p w14:paraId="3E2363C5">
      <w:pPr>
        <w:kinsoku/>
        <w:wordWrap w:val="0"/>
        <w:topLinePunct/>
        <w:autoSpaceDE/>
        <w:autoSpaceDN/>
        <w:adjustRightInd/>
        <w:snapToGrid/>
        <w:ind w:firstLine="420" w:firstLineChars="200"/>
        <w:rPr>
          <w:rFonts w:ascii="Times New Roman" w:hAnsi="Times New Roman" w:cs="Times New Roman"/>
          <w:color w:val="auto"/>
          <w:sz w:val="21"/>
        </w:rPr>
      </w:pPr>
    </w:p>
    <w:p w14:paraId="01BFEFF8">
      <w:pPr>
        <w:kinsoku/>
        <w:wordWrap w:val="0"/>
        <w:topLinePunct/>
        <w:autoSpaceDE/>
        <w:autoSpaceDN/>
        <w:adjustRightInd/>
        <w:snapToGrid/>
        <w:ind w:firstLine="420" w:firstLineChars="200"/>
        <w:rPr>
          <w:rFonts w:ascii="Times New Roman" w:hAnsi="Times New Roman" w:cs="Times New Roman"/>
          <w:color w:val="auto"/>
          <w:sz w:val="21"/>
        </w:rPr>
      </w:pPr>
    </w:p>
    <w:p w14:paraId="32EB4546">
      <w:pPr>
        <w:kinsoku/>
        <w:wordWrap w:val="0"/>
        <w:topLinePunct/>
        <w:autoSpaceDE/>
        <w:autoSpaceDN/>
        <w:adjustRightInd/>
        <w:snapToGrid/>
        <w:ind w:firstLine="572" w:firstLineChars="200"/>
        <w:jc w:val="center"/>
        <w:rPr>
          <w:rFonts w:ascii="Times New Roman" w:hAnsi="Times New Roman" w:eastAsia="仿宋" w:cs="Times New Roman"/>
          <w:color w:val="auto"/>
          <w:sz w:val="30"/>
          <w:szCs w:val="30"/>
        </w:rPr>
      </w:pPr>
      <w:r>
        <w:rPr>
          <w:rFonts w:ascii="Times New Roman" w:hAnsi="Times New Roman" w:eastAsia="仿宋" w:cs="Times New Roman"/>
          <w:color w:val="auto"/>
          <w:spacing w:val="-7"/>
          <w:sz w:val="30"/>
          <w:szCs w:val="30"/>
        </w:rPr>
        <w:t xml:space="preserve">日期：      年     月     </w:t>
      </w:r>
      <w:r>
        <w:rPr>
          <w:rFonts w:ascii="Times New Roman" w:hAnsi="Times New Roman" w:eastAsia="仿宋" w:cs="Times New Roman"/>
          <w:color w:val="auto"/>
          <w:spacing w:val="-5"/>
          <w:sz w:val="30"/>
          <w:szCs w:val="30"/>
        </w:rPr>
        <w:t>日</w:t>
      </w:r>
    </w:p>
    <w:p w14:paraId="2576E6E4">
      <w:pPr>
        <w:kinsoku/>
        <w:topLinePunct/>
        <w:adjustRightInd/>
        <w:spacing w:before="1" w:line="218" w:lineRule="auto"/>
        <w:jc w:val="center"/>
        <w:rPr>
          <w:rFonts w:ascii="Times New Roman" w:hAnsi="Times New Roman" w:eastAsia="宋体" w:cs="Times New Roman"/>
          <w:color w:val="auto"/>
          <w:spacing w:val="-1"/>
          <w:sz w:val="44"/>
          <w:szCs w:val="44"/>
          <w14:textOutline w14:w="5448" w14:cap="flat" w14:cmpd="sng" w14:algn="ctr">
            <w14:solidFill>
              <w14:srgbClr w14:val="000000"/>
            </w14:solidFill>
            <w14:prstDash w14:val="solid"/>
            <w14:miter w14:val="0"/>
          </w14:textOutline>
        </w:rPr>
        <w:sectPr>
          <w:pgSz w:w="11906" w:h="16838"/>
          <w:pgMar w:top="1440" w:right="1083" w:bottom="1440" w:left="1083" w:header="850" w:footer="850" w:gutter="0"/>
          <w:cols w:space="0" w:num="1"/>
        </w:sectPr>
      </w:pPr>
    </w:p>
    <w:p w14:paraId="33AAC0F2">
      <w:pPr>
        <w:pStyle w:val="3"/>
        <w:kinsoku/>
        <w:topLinePunct/>
        <w:rPr>
          <w:rFonts w:ascii="Times New Roman" w:hAnsi="Times New Roman" w:cs="Times New Roman"/>
          <w:b w:val="0"/>
          <w:bCs w:val="0"/>
          <w:color w:val="auto"/>
          <w:spacing w:val="-1"/>
          <w:sz w:val="44"/>
          <w:szCs w:val="44"/>
          <w14:textOutline w14:w="5448" w14:cap="flat" w14:cmpd="sng" w14:algn="ctr">
            <w14:solidFill>
              <w14:srgbClr w14:val="000000"/>
            </w14:solidFill>
            <w14:prstDash w14:val="solid"/>
            <w14:miter w14:val="0"/>
          </w14:textOutline>
        </w:rPr>
      </w:pPr>
      <w:r>
        <w:rPr>
          <w:rFonts w:ascii="Times New Roman" w:hAnsi="Times New Roman" w:cs="Times New Roman"/>
          <w:b w:val="0"/>
          <w:bCs w:val="0"/>
          <w:color w:val="auto"/>
          <w:spacing w:val="-1"/>
          <w:sz w:val="44"/>
          <w:szCs w:val="44"/>
          <w14:textOutline w14:w="5448" w14:cap="flat" w14:cmpd="sng" w14:algn="ctr">
            <w14:solidFill>
              <w14:srgbClr w14:val="000000"/>
            </w14:solidFill>
            <w14:prstDash w14:val="solid"/>
            <w14:miter w14:val="0"/>
          </w14:textOutline>
        </w:rPr>
        <w:t>目   录</w:t>
      </w:r>
    </w:p>
    <w:p w14:paraId="72AA2D9C">
      <w:pPr>
        <w:widowControl w:val="0"/>
        <w:ind w:firstLine="422" w:firstLineChars="150"/>
        <w:rPr>
          <w:rFonts w:ascii="Times New Roman" w:hAnsi="Times New Roman" w:eastAsia="仿宋_GB2312" w:cs="Times New Roman"/>
          <w:b/>
          <w:bCs/>
          <w:color w:val="auto"/>
          <w:sz w:val="28"/>
          <w:szCs w:val="28"/>
        </w:rPr>
      </w:pPr>
    </w:p>
    <w:p w14:paraId="4FA6301B">
      <w:pPr>
        <w:widowControl w:val="0"/>
        <w:spacing w:line="360" w:lineRule="auto"/>
        <w:ind w:firstLine="360" w:firstLineChars="150"/>
        <w:jc w:val="distribute"/>
        <w:rPr>
          <w:rFonts w:ascii="Times New Roman" w:hAnsi="Times New Roman" w:eastAsia="宋体" w:cs="Times New Roman"/>
          <w:color w:val="auto"/>
        </w:rPr>
      </w:pPr>
      <w:r>
        <w:rPr>
          <w:rFonts w:ascii="Times New Roman" w:hAnsi="Times New Roman" w:eastAsia="宋体" w:cs="Times New Roman"/>
          <w:color w:val="auto"/>
        </w:rPr>
        <w:t>1.诚信</w:t>
      </w:r>
      <w:r>
        <w:rPr>
          <w:rFonts w:ascii="Times New Roman" w:hAnsi="Times New Roman" w:eastAsia="宋体" w:cs="Times New Roman"/>
          <w:color w:val="auto"/>
          <w:lang w:val="zh-CN"/>
        </w:rPr>
        <w:t>承诺书</w:t>
      </w:r>
      <w:r>
        <w:rPr>
          <w:rFonts w:ascii="Times New Roman" w:hAnsi="Times New Roman" w:eastAsia="宋体" w:cs="Times New Roman"/>
          <w:color w:val="auto"/>
        </w:rPr>
        <w:t>…………………………………………………………………………(页码)</w:t>
      </w:r>
    </w:p>
    <w:p w14:paraId="65DE2047">
      <w:pPr>
        <w:widowControl w:val="0"/>
        <w:spacing w:line="360" w:lineRule="auto"/>
        <w:ind w:firstLine="360" w:firstLineChars="150"/>
        <w:jc w:val="distribute"/>
        <w:rPr>
          <w:rFonts w:ascii="Times New Roman" w:hAnsi="Times New Roman" w:eastAsia="宋体" w:cs="Times New Roman"/>
          <w:color w:val="auto"/>
        </w:rPr>
      </w:pPr>
      <w:r>
        <w:rPr>
          <w:rFonts w:ascii="Times New Roman" w:hAnsi="Times New Roman" w:eastAsia="宋体" w:cs="Times New Roman"/>
          <w:color w:val="auto"/>
        </w:rPr>
        <w:t>2.法定代表人身份证明书……………………………………………………………(页码)</w:t>
      </w:r>
    </w:p>
    <w:p w14:paraId="6E4C0FF9">
      <w:pPr>
        <w:widowControl w:val="0"/>
        <w:spacing w:line="360" w:lineRule="auto"/>
        <w:ind w:firstLine="360" w:firstLineChars="150"/>
        <w:jc w:val="distribute"/>
        <w:rPr>
          <w:rFonts w:ascii="Times New Roman" w:hAnsi="Times New Roman" w:eastAsia="宋体" w:cs="Times New Roman"/>
          <w:color w:val="auto"/>
        </w:rPr>
      </w:pPr>
      <w:r>
        <w:rPr>
          <w:rFonts w:ascii="Times New Roman" w:hAnsi="Times New Roman" w:eastAsia="宋体" w:cs="Times New Roman"/>
          <w:color w:val="auto"/>
        </w:rPr>
        <w:t>3.授权委托书…………………………………………………………………………(页码)</w:t>
      </w:r>
    </w:p>
    <w:p w14:paraId="5232C405">
      <w:pPr>
        <w:widowControl w:val="0"/>
        <w:spacing w:line="360" w:lineRule="auto"/>
        <w:ind w:firstLine="360" w:firstLineChars="150"/>
        <w:jc w:val="distribute"/>
        <w:rPr>
          <w:rFonts w:ascii="Times New Roman" w:hAnsi="Times New Roman" w:eastAsia="宋体" w:cs="Times New Roman"/>
          <w:color w:val="auto"/>
        </w:rPr>
      </w:pPr>
      <w:r>
        <w:rPr>
          <w:rFonts w:ascii="Times New Roman" w:hAnsi="Times New Roman" w:eastAsia="宋体" w:cs="Times New Roman"/>
          <w:color w:val="auto"/>
        </w:rPr>
        <w:t>4.企业基本情况表(附企业证明材料)……………………………………………(页码)</w:t>
      </w:r>
    </w:p>
    <w:p w14:paraId="1B8F4A0E">
      <w:pPr>
        <w:widowControl w:val="0"/>
        <w:spacing w:line="360" w:lineRule="auto"/>
        <w:ind w:firstLine="360" w:firstLineChars="150"/>
        <w:jc w:val="distribute"/>
        <w:rPr>
          <w:rFonts w:ascii="Times New Roman" w:hAnsi="Times New Roman" w:eastAsia="宋体" w:cs="Times New Roman"/>
          <w:color w:val="auto"/>
        </w:rPr>
      </w:pPr>
      <w:r>
        <w:rPr>
          <w:rFonts w:ascii="Times New Roman" w:hAnsi="Times New Roman" w:eastAsia="宋体" w:cs="Times New Roman"/>
          <w:color w:val="auto"/>
        </w:rPr>
        <w:t>5.项目管理班子配备情况(附相关证明材料)………………………………………(页码)</w:t>
      </w:r>
    </w:p>
    <w:p w14:paraId="2121E81A">
      <w:pPr>
        <w:widowControl w:val="0"/>
        <w:spacing w:line="360" w:lineRule="auto"/>
        <w:ind w:firstLine="360" w:firstLineChars="150"/>
        <w:jc w:val="distribute"/>
        <w:rPr>
          <w:rFonts w:ascii="Times New Roman" w:hAnsi="Times New Roman" w:eastAsia="宋体" w:cs="Times New Roman"/>
          <w:color w:val="auto"/>
        </w:rPr>
      </w:pPr>
      <w:r>
        <w:rPr>
          <w:rFonts w:ascii="Times New Roman" w:hAnsi="Times New Roman" w:eastAsia="宋体" w:cs="Times New Roman"/>
          <w:color w:val="auto"/>
        </w:rPr>
        <w:t>6.业绩公示汇总表(附相关业绩的证明材料)…………………………………………(页码)</w:t>
      </w:r>
    </w:p>
    <w:p w14:paraId="34ED501F">
      <w:pPr>
        <w:widowControl w:val="0"/>
        <w:spacing w:line="360" w:lineRule="auto"/>
        <w:ind w:firstLine="360" w:firstLineChars="150"/>
        <w:jc w:val="distribute"/>
        <w:rPr>
          <w:rFonts w:ascii="Times New Roman" w:hAnsi="Times New Roman" w:eastAsia="宋体" w:cs="Times New Roman"/>
          <w:color w:val="auto"/>
        </w:rPr>
      </w:pPr>
      <w:r>
        <w:rPr>
          <w:rFonts w:ascii="Times New Roman" w:hAnsi="Times New Roman" w:eastAsia="宋体" w:cs="Times New Roman"/>
          <w:color w:val="auto"/>
        </w:rPr>
        <w:t>7.符合性审查资料汇总表……………………………………………………………(页码)</w:t>
      </w:r>
    </w:p>
    <w:p w14:paraId="5FF9B70E">
      <w:pPr>
        <w:widowControl w:val="0"/>
        <w:spacing w:line="360" w:lineRule="auto"/>
        <w:ind w:firstLine="360" w:firstLineChars="150"/>
        <w:jc w:val="distribute"/>
        <w:rPr>
          <w:rFonts w:ascii="Times New Roman" w:hAnsi="Times New Roman" w:eastAsia="宋体" w:cs="Times New Roman"/>
          <w:color w:val="auto"/>
        </w:rPr>
      </w:pPr>
      <w:r>
        <w:rPr>
          <w:rFonts w:ascii="Times New Roman" w:hAnsi="Times New Roman" w:eastAsia="宋体" w:cs="Times New Roman"/>
          <w:color w:val="auto"/>
        </w:rPr>
        <w:t>8.资格要求、评审标准相应的资信资料……………………………………………(页码)</w:t>
      </w:r>
    </w:p>
    <w:p w14:paraId="329732DB">
      <w:pPr>
        <w:widowControl w:val="0"/>
        <w:spacing w:line="360" w:lineRule="auto"/>
        <w:ind w:firstLine="360" w:firstLineChars="150"/>
        <w:jc w:val="distribute"/>
        <w:rPr>
          <w:rFonts w:ascii="Times New Roman" w:hAnsi="Times New Roman" w:eastAsia="宋体" w:cs="Times New Roman"/>
          <w:color w:val="auto"/>
        </w:rPr>
      </w:pPr>
    </w:p>
    <w:p w14:paraId="37FB460D">
      <w:pPr>
        <w:kinsoku/>
        <w:rPr>
          <w:rFonts w:ascii="Times New Roman" w:hAnsi="Times New Roman" w:eastAsia="宋体" w:cs="Times New Roman"/>
          <w:b/>
          <w:bCs/>
          <w:color w:val="auto"/>
        </w:rPr>
      </w:pPr>
    </w:p>
    <w:p w14:paraId="6F1C1EA0">
      <w:pPr>
        <w:kinsoku/>
        <w:rPr>
          <w:rFonts w:ascii="Times New Roman" w:hAnsi="Times New Roman" w:eastAsia="宋体" w:cs="Times New Roman"/>
          <w:b/>
          <w:color w:val="auto"/>
          <w:sz w:val="32"/>
          <w:szCs w:val="32"/>
        </w:rPr>
      </w:pPr>
      <w:r>
        <w:rPr>
          <w:rFonts w:ascii="Times New Roman" w:hAnsi="Times New Roman" w:eastAsia="宋体" w:cs="Times New Roman"/>
          <w:b/>
          <w:bCs/>
          <w:color w:val="auto"/>
        </w:rPr>
        <w:t>注：以上目录是编制潜在承包人响应文件的基本格式要求，各潜在承包人可根据自身情况进一步细化。各潜在承包人请务必在投标工具中对应评审标准关联相应文件。</w:t>
      </w:r>
    </w:p>
    <w:p w14:paraId="31EABCA4">
      <w:pPr>
        <w:widowControl w:val="0"/>
        <w:ind w:firstLine="360" w:firstLineChars="150"/>
        <w:rPr>
          <w:rFonts w:ascii="Times New Roman" w:hAnsi="Times New Roman" w:eastAsia="宋体" w:cs="Times New Roman"/>
          <w:color w:val="auto"/>
        </w:rPr>
      </w:pPr>
    </w:p>
    <w:p w14:paraId="1DB76066">
      <w:pPr>
        <w:widowControl w:val="0"/>
        <w:ind w:firstLine="360" w:firstLineChars="150"/>
        <w:rPr>
          <w:rFonts w:ascii="Times New Roman" w:hAnsi="Times New Roman" w:eastAsia="宋体" w:cs="Times New Roman"/>
          <w:color w:val="auto"/>
        </w:rPr>
      </w:pPr>
    </w:p>
    <w:p w14:paraId="359939B8">
      <w:pPr>
        <w:kinsoku/>
        <w:topLinePunct/>
        <w:rPr>
          <w:rFonts w:ascii="Times New Roman" w:hAnsi="Times New Roman" w:eastAsia="黑体" w:cs="Times New Roman"/>
          <w:color w:val="auto"/>
          <w:spacing w:val="1"/>
          <w:sz w:val="44"/>
          <w:szCs w:val="44"/>
          <w14:textOutline w14:w="6540" w14:cap="flat" w14:cmpd="sng" w14:algn="ctr">
            <w14:solidFill>
              <w14:srgbClr w14:val="000000"/>
            </w14:solidFill>
            <w14:prstDash w14:val="solid"/>
            <w14:miter w14:val="0"/>
          </w14:textOutline>
        </w:rPr>
      </w:pPr>
    </w:p>
    <w:p w14:paraId="4C61A1B6">
      <w:pPr>
        <w:kinsoku/>
        <w:topLinePunct/>
        <w:jc w:val="center"/>
        <w:rPr>
          <w:rFonts w:ascii="Times New Roman" w:hAnsi="Times New Roman" w:cs="Times New Roman"/>
          <w:b/>
          <w:bCs/>
          <w:color w:val="auto"/>
          <w:sz w:val="32"/>
          <w:szCs w:val="32"/>
        </w:rPr>
      </w:pPr>
    </w:p>
    <w:p w14:paraId="056D9971">
      <w:pPr>
        <w:pStyle w:val="3"/>
        <w:kinsoku/>
        <w:topLinePunct/>
        <w:rPr>
          <w:rFonts w:ascii="Times New Roman" w:hAnsi="Times New Roman" w:eastAsia="宋体" w:cs="Times New Roman"/>
          <w:b w:val="0"/>
          <w:bCs w:val="0"/>
          <w:color w:val="auto"/>
          <w:spacing w:val="-1"/>
          <w:sz w:val="44"/>
          <w:szCs w:val="44"/>
          <w14:textOutline w14:w="5448" w14:cap="flat" w14:cmpd="sng" w14:algn="ctr">
            <w14:solidFill>
              <w14:srgbClr w14:val="000000"/>
            </w14:solidFill>
            <w14:prstDash w14:val="solid"/>
            <w14:miter w14:val="0"/>
          </w14:textOutline>
        </w:rPr>
        <w:sectPr>
          <w:footerReference r:id="rId22" w:type="first"/>
          <w:footerReference r:id="rId21" w:type="default"/>
          <w:pgSz w:w="11906" w:h="16838"/>
          <w:pgMar w:top="1440" w:right="1080" w:bottom="1440" w:left="1080" w:header="850" w:footer="992" w:gutter="0"/>
          <w:cols w:space="0" w:num="1"/>
          <w:titlePg/>
          <w:docGrid w:linePitch="312" w:charSpace="0"/>
        </w:sectPr>
      </w:pPr>
    </w:p>
    <w:p w14:paraId="6B330F3D">
      <w:pPr>
        <w:pStyle w:val="3"/>
        <w:kinsoku/>
        <w:topLinePunct/>
        <w:rPr>
          <w:rFonts w:ascii="Times New Roman" w:hAnsi="Times New Roman" w:eastAsia="宋体" w:cs="Times New Roman"/>
          <w:b w:val="0"/>
          <w:bCs w:val="0"/>
          <w:color w:val="auto"/>
          <w:spacing w:val="-1"/>
          <w:sz w:val="44"/>
          <w:szCs w:val="44"/>
          <w14:textOutline w14:w="5448" w14:cap="flat" w14:cmpd="sng" w14:algn="ctr">
            <w14:solidFill>
              <w14:srgbClr w14:val="000000"/>
            </w14:solidFill>
            <w14:prstDash w14:val="solid"/>
            <w14:miter w14:val="0"/>
          </w14:textOutline>
        </w:rPr>
      </w:pPr>
      <w:r>
        <w:rPr>
          <w:rFonts w:ascii="Times New Roman" w:hAnsi="Times New Roman" w:eastAsia="宋体" w:cs="Times New Roman"/>
          <w:b w:val="0"/>
          <w:bCs w:val="0"/>
          <w:color w:val="auto"/>
          <w:spacing w:val="-1"/>
          <w:sz w:val="44"/>
          <w:szCs w:val="44"/>
          <w14:textOutline w14:w="5448" w14:cap="flat" w14:cmpd="sng" w14:algn="ctr">
            <w14:solidFill>
              <w14:srgbClr w14:val="000000"/>
            </w14:solidFill>
            <w14:prstDash w14:val="solid"/>
            <w14:miter w14:val="0"/>
          </w14:textOutline>
        </w:rPr>
        <w:t>诚信承诺书</w:t>
      </w:r>
    </w:p>
    <w:p w14:paraId="36A8156A">
      <w:pPr>
        <w:kinsoku/>
        <w:topLinePunct/>
        <w:snapToGrid/>
        <w:spacing w:line="360" w:lineRule="auto"/>
        <w:rPr>
          <w:rFonts w:ascii="Times New Roman" w:hAnsi="Times New Roman" w:eastAsia="宋体" w:cs="Times New Roman"/>
          <w:color w:val="auto"/>
          <w:szCs w:val="24"/>
        </w:rPr>
      </w:pPr>
      <w:r>
        <w:rPr>
          <w:rFonts w:ascii="Times New Roman" w:hAnsi="Times New Roman" w:eastAsia="宋体" w:cs="Times New Roman"/>
          <w:color w:val="auto"/>
          <w:szCs w:val="24"/>
        </w:rPr>
        <w:t>(发包人)：</w:t>
      </w:r>
    </w:p>
    <w:p w14:paraId="0C897DAC">
      <w:pPr>
        <w:kinsoku/>
        <w:wordWrap w:val="0"/>
        <w:topLinePunct/>
        <w:autoSpaceDE/>
        <w:autoSpaceDN/>
        <w:adjustRightInd/>
        <w:snapToGrid/>
        <w:spacing w:line="400" w:lineRule="exac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我单位已详细阅读</w:t>
      </w:r>
      <w:r>
        <w:rPr>
          <w:rFonts w:ascii="Times New Roman" w:hAnsi="Times New Roman" w:eastAsia="宋体" w:cs="Times New Roman"/>
          <w:color w:val="auto"/>
          <w:szCs w:val="24"/>
          <w:u w:val="single"/>
        </w:rPr>
        <w:t xml:space="preserve">    (项目名称)      </w:t>
      </w:r>
      <w:r>
        <w:rPr>
          <w:rFonts w:ascii="Times New Roman" w:hAnsi="Times New Roman" w:eastAsia="宋体" w:cs="Times New Roman"/>
          <w:color w:val="auto"/>
          <w:szCs w:val="24"/>
        </w:rPr>
        <w:t>交易文件，自觉遵守中华人民共和国、浙江省及当地有关法律法规规定，自觉维护建筑市场正常秩序，现自愿就参与该项目交易活动有关事项郑重承诺如下：</w:t>
      </w:r>
    </w:p>
    <w:p w14:paraId="6C91D085">
      <w:pPr>
        <w:kinsoku/>
        <w:topLinePunct/>
        <w:snapToGrid/>
        <w:spacing w:line="400" w:lineRule="exac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(一)基本能力方面</w:t>
      </w:r>
    </w:p>
    <w:p w14:paraId="4D3722A1">
      <w:pPr>
        <w:kinsoku/>
        <w:topLinePunct/>
        <w:snapToGrid/>
        <w:spacing w:line="400" w:lineRule="exac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1.具有独立承担民事责任的能力；</w:t>
      </w:r>
    </w:p>
    <w:p w14:paraId="26838DC6">
      <w:pPr>
        <w:kinsoku/>
        <w:topLinePunct/>
        <w:snapToGrid/>
        <w:spacing w:line="400" w:lineRule="exac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 xml:space="preserve">2.具有良好的商业信誉和健全的财务会计制度； </w:t>
      </w:r>
    </w:p>
    <w:p w14:paraId="75732634">
      <w:pPr>
        <w:kinsoku/>
        <w:topLinePunct/>
        <w:snapToGrid/>
        <w:spacing w:line="400" w:lineRule="exac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3.具有履行合同所必需的设备和专业技术能力；</w:t>
      </w:r>
    </w:p>
    <w:p w14:paraId="48D339A8">
      <w:pPr>
        <w:kinsoku/>
        <w:topLinePunct/>
        <w:snapToGrid/>
        <w:spacing w:line="400" w:lineRule="exac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4.有依法缴纳税收和社会保障资金的良好记录；</w:t>
      </w:r>
    </w:p>
    <w:p w14:paraId="729D1742">
      <w:pPr>
        <w:kinsoku/>
        <w:topLinePunct/>
        <w:snapToGrid/>
        <w:spacing w:line="400" w:lineRule="exac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5.参加活动前三年内，在经营活动中没有重大违法记录；</w:t>
      </w:r>
    </w:p>
    <w:p w14:paraId="4972B8F8">
      <w:pPr>
        <w:kinsoku/>
        <w:topLinePunct/>
        <w:snapToGrid/>
        <w:spacing w:line="400" w:lineRule="exact"/>
        <w:ind w:firstLine="480" w:firstLineChars="200"/>
        <w:rPr>
          <w:rFonts w:ascii="Times New Roman" w:hAnsi="Times New Roman" w:eastAsia="宋体" w:cs="Times New Roman"/>
          <w:color w:val="auto"/>
          <w:szCs w:val="24"/>
          <w:lang w:val="zh-CN"/>
        </w:rPr>
      </w:pPr>
      <w:r>
        <w:rPr>
          <w:rFonts w:ascii="Times New Roman" w:hAnsi="Times New Roman" w:eastAsia="宋体" w:cs="Times New Roman"/>
          <w:color w:val="auto"/>
          <w:szCs w:val="24"/>
        </w:rPr>
        <w:t>6.具有法律、行政法规规定的其他条件。</w:t>
      </w:r>
      <w:r>
        <w:rPr>
          <w:rFonts w:ascii="Times New Roman" w:hAnsi="Times New Roman" w:eastAsia="宋体" w:cs="Times New Roman"/>
          <w:color w:val="auto"/>
          <w:szCs w:val="24"/>
          <w:lang w:val="zh-CN"/>
        </w:rPr>
        <w:t xml:space="preserve"> </w:t>
      </w:r>
    </w:p>
    <w:p w14:paraId="33479FE3">
      <w:pPr>
        <w:kinsoku/>
        <w:topLinePunct/>
        <w:snapToGrid/>
        <w:spacing w:line="400" w:lineRule="exact"/>
        <w:ind w:left="2" w:leftChars="1"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lang w:val="zh-CN"/>
        </w:rPr>
        <w:t>(二)信誉方面</w:t>
      </w:r>
    </w:p>
    <w:p w14:paraId="2C042C1E">
      <w:pPr>
        <w:kinsoku/>
        <w:wordWrap w:val="0"/>
        <w:topLinePunct/>
        <w:autoSpaceDE/>
        <w:autoSpaceDN/>
        <w:adjustRightInd/>
        <w:snapToGrid/>
        <w:spacing w:line="400" w:lineRule="exac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1.承诺响应文件无虚假、伪造的内容。若响应文件中存在虚假、伪造的内容，同意作无效标处理，交易保证金不予退还；若成交之后被查实弄虚作假，同意取消成交资格，履约保证金不予退还；</w:t>
      </w:r>
    </w:p>
    <w:p w14:paraId="6C924A2B">
      <w:pPr>
        <w:kinsoku/>
        <w:wordWrap w:val="0"/>
        <w:topLinePunct/>
        <w:autoSpaceDE/>
        <w:autoSpaceDN/>
        <w:adjustRightInd/>
        <w:snapToGrid/>
        <w:spacing w:line="400" w:lineRule="exac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2.承诺无串通行为，若存在与其他潜在承包人、发包人、代理机构等存在交易文件规定的串通行为的，同意作无效标处理，并接受有关部门的调查和处罚；</w:t>
      </w:r>
    </w:p>
    <w:p w14:paraId="316EBB96">
      <w:pPr>
        <w:kinsoku/>
        <w:wordWrap w:val="0"/>
        <w:topLinePunct/>
        <w:autoSpaceDE/>
        <w:autoSpaceDN/>
        <w:adjustRightInd/>
        <w:snapToGrid/>
        <w:spacing w:line="400" w:lineRule="exac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3.承诺无恶意报价行为，若被认定存在严重哄抬报价或影响合同履行的异常低价竞争行为，同意作无效标处理，并接受有关部门的调查和处罚；</w:t>
      </w:r>
    </w:p>
    <w:p w14:paraId="26F93E51">
      <w:pPr>
        <w:kinsoku/>
        <w:wordWrap w:val="0"/>
        <w:topLinePunct/>
        <w:autoSpaceDE/>
        <w:autoSpaceDN/>
        <w:adjustRightInd/>
        <w:snapToGrid/>
        <w:spacing w:line="400" w:lineRule="exac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4承诺本项目拟派项目负责人没有被暂停执业，在响应截止日无在其他任何在建合同工程上担任项目负责人 (包括工程总承包项目中的施工负责人、总负责人) 的情形；</w:t>
      </w:r>
    </w:p>
    <w:p w14:paraId="2D08A898">
      <w:pPr>
        <w:kinsoku/>
        <w:wordWrap w:val="0"/>
        <w:topLinePunct/>
        <w:autoSpaceDE/>
        <w:autoSpaceDN/>
        <w:adjustRightInd/>
        <w:snapToGrid/>
        <w:spacing w:line="400" w:lineRule="exac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5.承诺本单位及拟派项目负责人未被信用中国(www.creditchina.gov.cn)列入失信被执行人、重大税收违法案件当事人名单；</w:t>
      </w:r>
    </w:p>
    <w:p w14:paraId="527208C5">
      <w:pPr>
        <w:kinsoku/>
        <w:wordWrap w:val="0"/>
        <w:topLinePunct/>
        <w:autoSpaceDE/>
        <w:autoSpaceDN/>
        <w:adjustRightInd/>
        <w:snapToGrid/>
        <w:spacing w:line="400" w:lineRule="exac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6.承诺本单位及拟派项目负责人未被信用杭州(http://credit.hangzhou.gov.cn)列入严重失信黑名单；</w:t>
      </w:r>
    </w:p>
    <w:p w14:paraId="196A829C">
      <w:pPr>
        <w:kinsoku/>
        <w:wordWrap w:val="0"/>
        <w:topLinePunct/>
        <w:autoSpaceDE/>
        <w:autoSpaceDN/>
        <w:adjustRightInd/>
        <w:snapToGrid/>
        <w:spacing w:line="400" w:lineRule="exac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7.承诺未被限制参加城投集团系统小额工程交易活动。</w:t>
      </w:r>
    </w:p>
    <w:p w14:paraId="765576DA">
      <w:pPr>
        <w:kinsoku/>
        <w:topLinePunct/>
        <w:snapToGrid/>
        <w:spacing w:line="400" w:lineRule="exac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(三)廉洁自律方面</w:t>
      </w:r>
    </w:p>
    <w:p w14:paraId="74C65458">
      <w:pPr>
        <w:kinsoku/>
        <w:topLinePunct/>
        <w:snapToGrid/>
        <w:spacing w:line="400" w:lineRule="exact"/>
        <w:ind w:left="2" w:leftChars="1" w:firstLine="480" w:firstLineChars="200"/>
        <w:rPr>
          <w:rFonts w:ascii="Times New Roman" w:hAnsi="Times New Roman" w:eastAsia="宋体" w:cs="Times New Roman"/>
          <w:color w:val="auto"/>
          <w:szCs w:val="24"/>
          <w:lang w:val="zh-CN"/>
        </w:rPr>
      </w:pPr>
      <w:r>
        <w:rPr>
          <w:rFonts w:ascii="Times New Roman" w:hAnsi="Times New Roman" w:eastAsia="宋体" w:cs="Times New Roman"/>
          <w:color w:val="auto"/>
          <w:szCs w:val="24"/>
        </w:rPr>
        <w:t>1.</w:t>
      </w:r>
      <w:r>
        <w:rPr>
          <w:rFonts w:ascii="Times New Roman" w:hAnsi="Times New Roman" w:eastAsia="宋体" w:cs="Times New Roman"/>
          <w:color w:val="auto"/>
          <w:szCs w:val="24"/>
          <w:lang w:val="zh-CN"/>
        </w:rPr>
        <w:t xml:space="preserve">不向项目有关人员及部门赠送礼金礼物、有价证券、回扣以及中介费、介绍费、咨询费等好处费； </w:t>
      </w:r>
    </w:p>
    <w:p w14:paraId="51EE0C2E">
      <w:pPr>
        <w:kinsoku/>
        <w:topLinePunct/>
        <w:snapToGrid/>
        <w:spacing w:line="400" w:lineRule="exact"/>
        <w:ind w:left="2" w:leftChars="1" w:firstLine="480" w:firstLineChars="200"/>
        <w:rPr>
          <w:rFonts w:ascii="Times New Roman" w:hAnsi="Times New Roman" w:eastAsia="宋体" w:cs="Times New Roman"/>
          <w:color w:val="auto"/>
          <w:szCs w:val="24"/>
          <w:lang w:val="zh-CN"/>
        </w:rPr>
      </w:pPr>
      <w:r>
        <w:rPr>
          <w:rFonts w:ascii="Times New Roman" w:hAnsi="Times New Roman" w:eastAsia="宋体" w:cs="Times New Roman"/>
          <w:color w:val="auto"/>
          <w:szCs w:val="24"/>
        </w:rPr>
        <w:t>2.</w:t>
      </w:r>
      <w:r>
        <w:rPr>
          <w:rFonts w:ascii="Times New Roman" w:hAnsi="Times New Roman" w:eastAsia="宋体" w:cs="Times New Roman"/>
          <w:color w:val="auto"/>
          <w:szCs w:val="24"/>
          <w:lang w:val="zh-CN"/>
        </w:rPr>
        <w:t xml:space="preserve">不为项目有关人员及部门报销应由你方单位或个人支付的费用； </w:t>
      </w:r>
    </w:p>
    <w:p w14:paraId="069B4688">
      <w:pPr>
        <w:kinsoku/>
        <w:topLinePunct/>
        <w:snapToGrid/>
        <w:spacing w:line="400" w:lineRule="exact"/>
        <w:ind w:left="2" w:leftChars="1" w:firstLine="480" w:firstLineChars="200"/>
        <w:rPr>
          <w:rFonts w:ascii="Times New Roman" w:hAnsi="Times New Roman" w:eastAsia="宋体" w:cs="Times New Roman"/>
          <w:color w:val="auto"/>
          <w:szCs w:val="24"/>
          <w:lang w:val="zh-CN"/>
        </w:rPr>
      </w:pPr>
      <w:r>
        <w:rPr>
          <w:rFonts w:ascii="Times New Roman" w:hAnsi="Times New Roman" w:eastAsia="宋体" w:cs="Times New Roman"/>
          <w:color w:val="auto"/>
          <w:szCs w:val="24"/>
        </w:rPr>
        <w:t>3.</w:t>
      </w:r>
      <w:r>
        <w:rPr>
          <w:rFonts w:ascii="Times New Roman" w:hAnsi="Times New Roman" w:eastAsia="宋体" w:cs="Times New Roman"/>
          <w:color w:val="auto"/>
          <w:szCs w:val="24"/>
          <w:lang w:val="zh-CN"/>
        </w:rPr>
        <w:t xml:space="preserve">不向项目有关人员及部门提供有可能影响公正的宴请和健身娱乐等活动； </w:t>
      </w:r>
    </w:p>
    <w:p w14:paraId="1A8E3A74">
      <w:pPr>
        <w:kinsoku/>
        <w:topLinePunct/>
        <w:snapToGrid/>
        <w:spacing w:line="400" w:lineRule="exact"/>
        <w:ind w:left="2" w:leftChars="1" w:firstLine="480" w:firstLineChars="200"/>
        <w:rPr>
          <w:rFonts w:ascii="Times New Roman" w:hAnsi="Times New Roman" w:eastAsia="宋体" w:cs="Times New Roman"/>
          <w:color w:val="auto"/>
          <w:szCs w:val="24"/>
          <w:lang w:val="zh-CN"/>
        </w:rPr>
      </w:pPr>
      <w:r>
        <w:rPr>
          <w:rFonts w:ascii="Times New Roman" w:hAnsi="Times New Roman" w:eastAsia="宋体" w:cs="Times New Roman"/>
          <w:color w:val="auto"/>
          <w:szCs w:val="24"/>
        </w:rPr>
        <w:t>4.</w:t>
      </w:r>
      <w:r>
        <w:rPr>
          <w:rFonts w:ascii="Times New Roman" w:hAnsi="Times New Roman" w:eastAsia="宋体" w:cs="Times New Roman"/>
          <w:color w:val="auto"/>
          <w:szCs w:val="24"/>
          <w:lang w:val="zh-CN"/>
        </w:rPr>
        <w:t>不为项目有关人员及部门出国(境)、旅游等提供方便；</w:t>
      </w:r>
    </w:p>
    <w:p w14:paraId="41FD98CF">
      <w:pPr>
        <w:kinsoku/>
        <w:topLinePunct/>
        <w:snapToGrid/>
        <w:spacing w:line="400" w:lineRule="exact"/>
        <w:ind w:left="2" w:leftChars="1" w:firstLine="480" w:firstLineChars="200"/>
        <w:rPr>
          <w:rFonts w:ascii="Times New Roman" w:hAnsi="Times New Roman" w:eastAsia="宋体" w:cs="Times New Roman"/>
          <w:color w:val="auto"/>
          <w:szCs w:val="24"/>
          <w:lang w:val="zh-CN"/>
        </w:rPr>
      </w:pPr>
      <w:r>
        <w:rPr>
          <w:rFonts w:ascii="Times New Roman" w:hAnsi="Times New Roman" w:eastAsia="宋体" w:cs="Times New Roman"/>
          <w:color w:val="auto"/>
          <w:szCs w:val="24"/>
        </w:rPr>
        <w:t>5.</w:t>
      </w:r>
      <w:r>
        <w:rPr>
          <w:rFonts w:ascii="Times New Roman" w:hAnsi="Times New Roman" w:eastAsia="宋体" w:cs="Times New Roman"/>
          <w:color w:val="auto"/>
          <w:szCs w:val="24"/>
          <w:lang w:val="zh-CN"/>
        </w:rPr>
        <w:t>不为项目有关人员个人装修住房、婚丧嫁娶、配偶子女工作安排等提供好处；</w:t>
      </w:r>
    </w:p>
    <w:p w14:paraId="6761DC7C">
      <w:pPr>
        <w:kinsoku/>
        <w:topLinePunct/>
        <w:snapToGrid/>
        <w:spacing w:line="400" w:lineRule="exact"/>
        <w:ind w:firstLine="480" w:firstLineChars="200"/>
        <w:rPr>
          <w:rFonts w:ascii="Times New Roman" w:hAnsi="Times New Roman" w:eastAsia="宋体" w:cs="Times New Roman"/>
          <w:color w:val="auto"/>
          <w:szCs w:val="24"/>
          <w:lang w:val="zh-CN"/>
        </w:rPr>
      </w:pPr>
      <w:r>
        <w:rPr>
          <w:rFonts w:ascii="Times New Roman" w:hAnsi="Times New Roman" w:eastAsia="宋体" w:cs="Times New Roman"/>
          <w:color w:val="auto"/>
          <w:szCs w:val="24"/>
        </w:rPr>
        <w:t>6.</w:t>
      </w:r>
      <w:r>
        <w:rPr>
          <w:rFonts w:ascii="Times New Roman" w:hAnsi="Times New Roman" w:eastAsia="宋体" w:cs="Times New Roman"/>
          <w:color w:val="auto"/>
          <w:szCs w:val="24"/>
          <w:lang w:val="zh-CN"/>
        </w:rPr>
        <w:t>严格遵守法律法规，诚实守信，合法经营，坚决抵制各种违法违纪行为</w:t>
      </w:r>
      <w:r>
        <w:rPr>
          <w:rFonts w:ascii="Times New Roman" w:hAnsi="Times New Roman" w:eastAsia="宋体" w:cs="Times New Roman"/>
          <w:color w:val="auto"/>
          <w:szCs w:val="24"/>
        </w:rPr>
        <w:t>。</w:t>
      </w:r>
    </w:p>
    <w:p w14:paraId="2E1DE7D3">
      <w:pPr>
        <w:kinsoku/>
        <w:topLinePunct/>
        <w:snapToGrid/>
        <w:spacing w:line="400" w:lineRule="exact"/>
        <w:ind w:left="2" w:leftChars="1" w:firstLine="480" w:firstLineChars="200"/>
        <w:rPr>
          <w:rFonts w:ascii="Times New Roman" w:hAnsi="Times New Roman" w:eastAsia="宋体" w:cs="Times New Roman"/>
          <w:color w:val="auto"/>
          <w:szCs w:val="24"/>
          <w:lang w:val="zh-CN"/>
        </w:rPr>
      </w:pPr>
    </w:p>
    <w:p w14:paraId="628E3627">
      <w:pPr>
        <w:kinsoku/>
        <w:topLinePunct/>
        <w:snapToGrid/>
        <w:spacing w:line="400" w:lineRule="exact"/>
        <w:ind w:left="2" w:leftChars="1" w:firstLine="480" w:firstLineChars="200"/>
        <w:rPr>
          <w:rFonts w:ascii="Times New Roman" w:hAnsi="Times New Roman" w:eastAsia="宋体" w:cs="Times New Roman"/>
          <w:color w:val="auto"/>
          <w:szCs w:val="24"/>
          <w:lang w:val="zh-CN"/>
        </w:rPr>
      </w:pPr>
      <w:r>
        <w:rPr>
          <w:rFonts w:ascii="Times New Roman" w:hAnsi="Times New Roman" w:eastAsia="宋体" w:cs="Times New Roman"/>
          <w:color w:val="auto"/>
          <w:szCs w:val="24"/>
          <w:lang w:val="zh-CN"/>
        </w:rPr>
        <w:t>如违反上述承诺，同意你单位有权立即否决我单位响应文件，</w:t>
      </w:r>
      <w:r>
        <w:rPr>
          <w:rFonts w:ascii="Times New Roman" w:hAnsi="Times New Roman" w:eastAsia="宋体" w:cs="Times New Roman"/>
          <w:color w:val="auto"/>
          <w:szCs w:val="24"/>
        </w:rPr>
        <w:t>如已成交的，同意</w:t>
      </w:r>
      <w:r>
        <w:rPr>
          <w:rFonts w:ascii="Times New Roman" w:hAnsi="Times New Roman" w:eastAsia="宋体" w:cs="Times New Roman"/>
          <w:color w:val="auto"/>
          <w:szCs w:val="24"/>
          <w:lang w:val="zh-CN"/>
        </w:rPr>
        <w:t>你单位</w:t>
      </w:r>
      <w:r>
        <w:rPr>
          <w:rFonts w:ascii="Times New Roman" w:hAnsi="Times New Roman" w:eastAsia="宋体" w:cs="Times New Roman"/>
          <w:color w:val="auto"/>
          <w:szCs w:val="24"/>
        </w:rPr>
        <w:t>取消我单位成交资格的处理。</w:t>
      </w:r>
      <w:r>
        <w:rPr>
          <w:rFonts w:ascii="Times New Roman" w:hAnsi="Times New Roman" w:eastAsia="宋体" w:cs="Times New Roman"/>
          <w:color w:val="auto"/>
          <w:szCs w:val="24"/>
          <w:lang w:val="zh-CN"/>
        </w:rPr>
        <w:t>有权拒绝我单位在一定时期内进入你单位进行项目建设或其他经营活动，并接受因失信行为限制参加</w:t>
      </w:r>
      <w:r>
        <w:rPr>
          <w:rFonts w:ascii="Times New Roman" w:hAnsi="Times New Roman" w:eastAsia="宋体" w:cs="Times New Roman"/>
          <w:color w:val="auto"/>
          <w:szCs w:val="24"/>
        </w:rPr>
        <w:t>城投集团小额工程</w:t>
      </w:r>
      <w:r>
        <w:rPr>
          <w:rFonts w:ascii="Times New Roman" w:hAnsi="Times New Roman" w:eastAsia="宋体" w:cs="Times New Roman"/>
          <w:color w:val="auto"/>
          <w:szCs w:val="24"/>
          <w:lang w:val="zh-CN"/>
        </w:rPr>
        <w:t>交易活动。由此引起的相应损失均由我单位承担。</w:t>
      </w:r>
    </w:p>
    <w:p w14:paraId="2E21D855">
      <w:pPr>
        <w:kinsoku/>
        <w:topLinePunct/>
        <w:rPr>
          <w:rFonts w:ascii="Times New Roman" w:hAnsi="Times New Roman" w:cs="Times New Roman"/>
          <w:color w:val="auto"/>
        </w:rPr>
      </w:pPr>
    </w:p>
    <w:p w14:paraId="5A56FDC7">
      <w:pPr>
        <w:kinsoku/>
        <w:wordWrap w:val="0"/>
        <w:topLinePunct/>
        <w:autoSpaceDE/>
        <w:autoSpaceDN/>
        <w:adjustRightInd/>
        <w:snapToGrid/>
        <w:spacing w:line="360" w:lineRule="auto"/>
        <w:ind w:firstLine="480" w:firstLineChars="200"/>
        <w:rPr>
          <w:rFonts w:ascii="Times New Roman" w:hAnsi="Times New Roman" w:eastAsia="宋体" w:cs="Times New Roman"/>
          <w:color w:val="auto"/>
          <w:szCs w:val="24"/>
        </w:rPr>
      </w:pPr>
    </w:p>
    <w:p w14:paraId="418F83F6">
      <w:pPr>
        <w:kinsoku/>
        <w:wordWrap w:val="0"/>
        <w:topLinePunct/>
        <w:autoSpaceDE/>
        <w:autoSpaceDN/>
        <w:adjustRightInd/>
        <w:snapToGrid/>
        <w:spacing w:line="360" w:lineRule="auto"/>
        <w:ind w:firstLine="480" w:firstLineChars="200"/>
        <w:rPr>
          <w:rFonts w:ascii="Times New Roman" w:hAnsi="Times New Roman" w:eastAsia="宋体" w:cs="Times New Roman"/>
          <w:color w:val="auto"/>
          <w:szCs w:val="24"/>
        </w:rPr>
      </w:pPr>
    </w:p>
    <w:p w14:paraId="12A14957">
      <w:pPr>
        <w:kinsoku/>
        <w:wordWrap w:val="0"/>
        <w:topLinePunct/>
        <w:autoSpaceDE/>
        <w:autoSpaceDN/>
        <w:adjustRightInd/>
        <w:snapToGrid/>
        <w:spacing w:line="360" w:lineRule="auto"/>
        <w:ind w:firstLine="448" w:firstLineChars="200"/>
        <w:rPr>
          <w:rFonts w:ascii="Times New Roman" w:hAnsi="Times New Roman" w:eastAsia="宋体" w:cs="Times New Roman"/>
          <w:color w:val="auto"/>
          <w:spacing w:val="-8"/>
          <w:szCs w:val="24"/>
        </w:rPr>
      </w:pPr>
    </w:p>
    <w:p w14:paraId="0C335633">
      <w:pPr>
        <w:kinsoku/>
        <w:wordWrap w:val="0"/>
        <w:topLinePunct/>
        <w:autoSpaceDE/>
        <w:autoSpaceDN/>
        <w:adjustRightInd/>
        <w:snapToGrid/>
        <w:spacing w:line="360" w:lineRule="auto"/>
        <w:ind w:firstLine="448" w:firstLineChars="200"/>
        <w:jc w:val="center"/>
        <w:rPr>
          <w:rFonts w:ascii="Times New Roman" w:hAnsi="Times New Roman" w:eastAsia="宋体" w:cs="Times New Roman"/>
          <w:color w:val="auto"/>
          <w:spacing w:val="-12"/>
          <w:szCs w:val="24"/>
        </w:rPr>
      </w:pPr>
      <w:r>
        <w:rPr>
          <w:rFonts w:ascii="Times New Roman" w:hAnsi="Times New Roman" w:eastAsia="宋体" w:cs="Times New Roman"/>
          <w:color w:val="auto"/>
          <w:spacing w:val="-8"/>
          <w:szCs w:val="24"/>
        </w:rPr>
        <w:t xml:space="preserve">                             </w:t>
      </w:r>
    </w:p>
    <w:p w14:paraId="5176B305">
      <w:pPr>
        <w:kinsoku/>
        <w:wordWrap w:val="0"/>
        <w:topLinePunct/>
        <w:autoSpaceDE/>
        <w:autoSpaceDN/>
        <w:adjustRightInd/>
        <w:snapToGrid/>
        <w:spacing w:line="360" w:lineRule="auto"/>
        <w:ind w:firstLine="432" w:firstLineChars="200"/>
        <w:jc w:val="center"/>
        <w:rPr>
          <w:rFonts w:ascii="Times New Roman" w:hAnsi="Times New Roman" w:eastAsia="宋体" w:cs="Times New Roman"/>
          <w:color w:val="auto"/>
          <w:spacing w:val="-10"/>
          <w:szCs w:val="24"/>
        </w:rPr>
      </w:pPr>
      <w:r>
        <w:rPr>
          <w:rFonts w:ascii="Times New Roman" w:hAnsi="Times New Roman" w:eastAsia="宋体" w:cs="Times New Roman"/>
          <w:color w:val="auto"/>
          <w:spacing w:val="-12"/>
          <w:szCs w:val="24"/>
        </w:rPr>
        <w:t xml:space="preserve">                　　</w:t>
      </w:r>
      <w:r>
        <w:rPr>
          <w:rFonts w:ascii="Times New Roman" w:hAnsi="Times New Roman" w:eastAsia="宋体" w:cs="Times New Roman"/>
          <w:color w:val="auto"/>
          <w:szCs w:val="24"/>
        </w:rPr>
        <w:t>潜在承包人</w:t>
      </w:r>
      <w:r>
        <w:rPr>
          <w:rFonts w:ascii="Times New Roman" w:hAnsi="Times New Roman" w:cs="Times New Roman"/>
          <w:color w:val="auto"/>
        </w:rPr>
        <w:t>名称(电子签名)</w:t>
      </w:r>
      <w:r>
        <w:rPr>
          <w:rFonts w:ascii="Times New Roman" w:hAnsi="Times New Roman" w:eastAsia="宋体" w:cs="Times New Roman"/>
          <w:color w:val="auto"/>
          <w:spacing w:val="-12"/>
          <w:szCs w:val="24"/>
        </w:rPr>
        <w:t>：</w:t>
      </w:r>
      <w:r>
        <w:rPr>
          <w:rFonts w:ascii="Times New Roman" w:hAnsi="Times New Roman" w:eastAsia="宋体" w:cs="Times New Roman"/>
          <w:color w:val="auto"/>
          <w:spacing w:val="-10"/>
          <w:szCs w:val="24"/>
        </w:rPr>
        <w:t xml:space="preserve"> </w:t>
      </w:r>
    </w:p>
    <w:p w14:paraId="353093E8">
      <w:pPr>
        <w:kinsoku/>
        <w:wordWrap w:val="0"/>
        <w:topLinePunct/>
        <w:autoSpaceDE/>
        <w:autoSpaceDN/>
        <w:adjustRightInd/>
        <w:snapToGrid/>
        <w:spacing w:line="360" w:lineRule="auto"/>
        <w:ind w:firstLine="440" w:firstLineChars="200"/>
        <w:jc w:val="center"/>
        <w:rPr>
          <w:rFonts w:ascii="Times New Roman" w:hAnsi="Times New Roman" w:cs="Times New Roman"/>
          <w:color w:val="auto"/>
          <w:u w:val="single"/>
        </w:rPr>
      </w:pPr>
      <w:r>
        <w:rPr>
          <w:rFonts w:ascii="Times New Roman" w:hAnsi="Times New Roman" w:eastAsia="宋体" w:cs="Times New Roman"/>
          <w:color w:val="auto"/>
          <w:spacing w:val="-10"/>
          <w:szCs w:val="24"/>
        </w:rPr>
        <w:t>　　　　　　</w:t>
      </w:r>
      <w:r>
        <w:rPr>
          <w:rFonts w:ascii="Times New Roman" w:hAnsi="Times New Roman" w:cs="Times New Roman"/>
          <w:color w:val="auto"/>
        </w:rPr>
        <w:t>日期：  年   月   日</w:t>
      </w:r>
    </w:p>
    <w:p w14:paraId="2B206EC6">
      <w:pPr>
        <w:kinsoku/>
        <w:wordWrap w:val="0"/>
        <w:topLinePunct/>
        <w:autoSpaceDE/>
        <w:autoSpaceDN/>
        <w:adjustRightInd/>
        <w:snapToGrid/>
        <w:spacing w:before="36" w:beforeLines="15" w:line="308" w:lineRule="auto"/>
        <w:ind w:firstLine="480" w:firstLineChars="200"/>
        <w:jc w:val="right"/>
        <w:rPr>
          <w:rFonts w:ascii="Times New Roman" w:hAnsi="Times New Roman" w:eastAsia="宋体" w:cs="Times New Roman"/>
          <w:color w:val="auto"/>
          <w:szCs w:val="24"/>
        </w:rPr>
      </w:pPr>
    </w:p>
    <w:p w14:paraId="11C2EBC4">
      <w:pPr>
        <w:kinsoku/>
        <w:topLinePunct/>
        <w:jc w:val="both"/>
        <w:rPr>
          <w:rFonts w:ascii="Times New Roman" w:hAnsi="Times New Roman" w:cs="Times New Roman"/>
          <w:b/>
          <w:bCs/>
          <w:color w:val="auto"/>
          <w:sz w:val="32"/>
          <w:szCs w:val="32"/>
        </w:rPr>
        <w:sectPr>
          <w:pgSz w:w="11906" w:h="16838"/>
          <w:pgMar w:top="1440" w:right="1083" w:bottom="1440" w:left="1083" w:header="850" w:footer="850" w:gutter="0"/>
          <w:cols w:space="0" w:num="1"/>
        </w:sectPr>
      </w:pPr>
    </w:p>
    <w:p w14:paraId="691C38B8">
      <w:pPr>
        <w:kinsoku/>
        <w:topLinePunct/>
        <w:rPr>
          <w:rFonts w:ascii="Times New Roman" w:hAnsi="Times New Roman" w:eastAsia="仿宋_GB2312" w:cs="Times New Roman"/>
          <w:color w:val="auto"/>
          <w:sz w:val="32"/>
          <w:szCs w:val="32"/>
        </w:rPr>
      </w:pPr>
    </w:p>
    <w:p w14:paraId="2C616D97">
      <w:pPr>
        <w:kinsoku/>
        <w:topLinePunct/>
        <w:adjustRightInd/>
        <w:spacing w:before="1" w:line="218" w:lineRule="auto"/>
        <w:jc w:val="center"/>
        <w:rPr>
          <w:rFonts w:ascii="Times New Roman" w:hAnsi="Times New Roman" w:eastAsia="宋体" w:cs="Times New Roman"/>
          <w:color w:val="auto"/>
          <w:spacing w:val="-1"/>
          <w:sz w:val="44"/>
          <w:szCs w:val="44"/>
          <w14:textOutline w14:w="5448" w14:cap="flat" w14:cmpd="sng" w14:algn="ctr">
            <w14:solidFill>
              <w14:srgbClr w14:val="000000"/>
            </w14:solidFill>
            <w14:prstDash w14:val="solid"/>
            <w14:miter w14:val="0"/>
          </w14:textOutline>
        </w:rPr>
      </w:pPr>
    </w:p>
    <w:p w14:paraId="6C6984D3">
      <w:pPr>
        <w:pStyle w:val="3"/>
        <w:kinsoku/>
        <w:topLinePunct/>
        <w:rPr>
          <w:rFonts w:ascii="Times New Roman" w:hAnsi="Times New Roman" w:eastAsia="宋体" w:cs="Times New Roman"/>
          <w:b w:val="0"/>
          <w:bCs w:val="0"/>
          <w:color w:val="auto"/>
          <w:sz w:val="44"/>
          <w:szCs w:val="44"/>
        </w:rPr>
      </w:pPr>
      <w:r>
        <w:rPr>
          <w:rFonts w:ascii="Times New Roman" w:hAnsi="Times New Roman" w:eastAsia="宋体" w:cs="Times New Roman"/>
          <w:b w:val="0"/>
          <w:bCs w:val="0"/>
          <w:color w:val="auto"/>
          <w:spacing w:val="-1"/>
          <w:sz w:val="44"/>
          <w:szCs w:val="44"/>
          <w14:textOutline w14:w="5448" w14:cap="flat" w14:cmpd="sng" w14:algn="ctr">
            <w14:solidFill>
              <w14:srgbClr w14:val="000000"/>
            </w14:solidFill>
            <w14:prstDash w14:val="solid"/>
            <w14:miter w14:val="0"/>
          </w14:textOutline>
        </w:rPr>
        <w:t>法定代</w:t>
      </w:r>
      <w:r>
        <w:rPr>
          <w:rFonts w:ascii="Times New Roman" w:hAnsi="Times New Roman" w:eastAsia="宋体" w:cs="Times New Roman"/>
          <w:b w:val="0"/>
          <w:bCs w:val="0"/>
          <w:color w:val="auto"/>
          <w:sz w:val="44"/>
          <w:szCs w:val="44"/>
          <w14:textOutline w14:w="5448" w14:cap="flat" w14:cmpd="sng" w14:algn="ctr">
            <w14:solidFill>
              <w14:srgbClr w14:val="000000"/>
            </w14:solidFill>
            <w14:prstDash w14:val="solid"/>
            <w14:miter w14:val="0"/>
          </w14:textOutline>
        </w:rPr>
        <w:t>表人身份证明书</w:t>
      </w:r>
    </w:p>
    <w:p w14:paraId="48B6A172">
      <w:pPr>
        <w:kinsoku/>
        <w:topLinePunct/>
        <w:adjustRightInd/>
        <w:spacing w:before="212" w:line="500" w:lineRule="exact"/>
        <w:ind w:firstLine="432" w:firstLineChars="200"/>
        <w:rPr>
          <w:rFonts w:ascii="Times New Roman" w:hAnsi="Times New Roman" w:eastAsia="宋体" w:cs="Times New Roman"/>
          <w:color w:val="auto"/>
          <w:spacing w:val="-12"/>
          <w:position w:val="19"/>
          <w:szCs w:val="24"/>
        </w:rPr>
      </w:pPr>
    </w:p>
    <w:p w14:paraId="79DBE74A">
      <w:pPr>
        <w:kinsoku/>
        <w:topLinePunct/>
        <w:spacing w:before="78" w:line="220" w:lineRule="auto"/>
        <w:ind w:left="1"/>
        <w:rPr>
          <w:rFonts w:ascii="Times New Roman" w:hAnsi="Times New Roman" w:eastAsia="宋体" w:cs="Times New Roman"/>
          <w:color w:val="auto"/>
          <w:szCs w:val="24"/>
        </w:rPr>
      </w:pPr>
      <w:r>
        <w:rPr>
          <w:rFonts w:ascii="Times New Roman" w:hAnsi="Times New Roman" w:eastAsia="宋体" w:cs="Times New Roman"/>
          <w:color w:val="auto"/>
          <w:spacing w:val="-32"/>
          <w:szCs w:val="24"/>
        </w:rPr>
        <w:t>单</w:t>
      </w:r>
      <w:r>
        <w:rPr>
          <w:rFonts w:ascii="Times New Roman" w:hAnsi="Times New Roman" w:eastAsia="宋体" w:cs="Times New Roman"/>
          <w:color w:val="auto"/>
          <w:spacing w:val="-29"/>
          <w:szCs w:val="24"/>
        </w:rPr>
        <w:t>位名称：</w:t>
      </w:r>
      <w:r>
        <w:rPr>
          <w:rFonts w:ascii="Times New Roman" w:hAnsi="Times New Roman" w:eastAsia="宋体" w:cs="Times New Roman"/>
          <w:color w:val="auto"/>
          <w:szCs w:val="24"/>
          <w:u w:val="single"/>
        </w:rPr>
        <w:t xml:space="preserve">                                     </w:t>
      </w:r>
    </w:p>
    <w:p w14:paraId="3C4F3762">
      <w:pPr>
        <w:kinsoku/>
        <w:topLinePunct/>
        <w:spacing w:line="249" w:lineRule="auto"/>
        <w:rPr>
          <w:rFonts w:ascii="Times New Roman" w:hAnsi="Times New Roman" w:cs="Times New Roman"/>
          <w:color w:val="auto"/>
          <w:sz w:val="21"/>
        </w:rPr>
      </w:pPr>
    </w:p>
    <w:p w14:paraId="10884D83">
      <w:pPr>
        <w:kinsoku/>
        <w:topLinePunct/>
        <w:spacing w:before="78" w:line="229" w:lineRule="auto"/>
        <w:rPr>
          <w:rFonts w:ascii="Times New Roman" w:hAnsi="Times New Roman" w:eastAsia="宋体" w:cs="Times New Roman"/>
          <w:color w:val="auto"/>
          <w:szCs w:val="24"/>
        </w:rPr>
      </w:pPr>
      <w:r>
        <w:rPr>
          <w:rFonts w:ascii="Times New Roman" w:hAnsi="Times New Roman" w:eastAsia="宋体" w:cs="Times New Roman"/>
          <w:color w:val="auto"/>
          <w:spacing w:val="-13"/>
          <w:szCs w:val="24"/>
        </w:rPr>
        <w:t>地</w:t>
      </w:r>
      <w:r>
        <w:rPr>
          <w:rFonts w:ascii="Times New Roman" w:hAnsi="Times New Roman" w:eastAsia="宋体" w:cs="Times New Roman"/>
          <w:color w:val="auto"/>
          <w:spacing w:val="-7"/>
          <w:szCs w:val="24"/>
        </w:rPr>
        <w:t xml:space="preserve">   址：</w:t>
      </w:r>
      <w:r>
        <w:rPr>
          <w:rFonts w:ascii="Times New Roman" w:hAnsi="Times New Roman" w:eastAsia="宋体" w:cs="Times New Roman"/>
          <w:color w:val="auto"/>
          <w:szCs w:val="24"/>
          <w:u w:val="single"/>
        </w:rPr>
        <w:t xml:space="preserve">                                      </w:t>
      </w:r>
    </w:p>
    <w:p w14:paraId="6BDEC831">
      <w:pPr>
        <w:kinsoku/>
        <w:topLinePunct/>
        <w:spacing w:line="253" w:lineRule="auto"/>
        <w:rPr>
          <w:rFonts w:ascii="Times New Roman" w:hAnsi="Times New Roman" w:cs="Times New Roman"/>
          <w:color w:val="auto"/>
          <w:sz w:val="21"/>
        </w:rPr>
      </w:pPr>
    </w:p>
    <w:p w14:paraId="4203EBDE">
      <w:pPr>
        <w:kinsoku/>
        <w:topLinePunct/>
        <w:adjustRightInd/>
        <w:spacing w:before="1" w:line="220" w:lineRule="auto"/>
        <w:rPr>
          <w:rFonts w:ascii="Times New Roman" w:hAnsi="Times New Roman" w:eastAsia="宋体" w:cs="Times New Roman"/>
          <w:color w:val="auto"/>
          <w:spacing w:val="-8"/>
          <w:szCs w:val="24"/>
        </w:rPr>
      </w:pPr>
      <w:r>
        <w:rPr>
          <w:rFonts w:ascii="Times New Roman" w:hAnsi="Times New Roman" w:eastAsia="宋体" w:cs="Times New Roman"/>
          <w:color w:val="auto"/>
          <w:spacing w:val="-16"/>
          <w:szCs w:val="24"/>
        </w:rPr>
        <w:t>姓</w:t>
      </w:r>
      <w:r>
        <w:rPr>
          <w:rFonts w:ascii="Times New Roman" w:hAnsi="Times New Roman" w:eastAsia="宋体" w:cs="Times New Roman"/>
          <w:color w:val="auto"/>
          <w:spacing w:val="-15"/>
          <w:szCs w:val="24"/>
        </w:rPr>
        <w:t>名</w:t>
      </w:r>
      <w:r>
        <w:rPr>
          <w:rFonts w:ascii="Times New Roman" w:hAnsi="Times New Roman" w:eastAsia="宋体" w:cs="Times New Roman"/>
          <w:color w:val="auto"/>
          <w:spacing w:val="-8"/>
          <w:szCs w:val="24"/>
        </w:rPr>
        <w:t>：</w:t>
      </w:r>
      <w:r>
        <w:rPr>
          <w:rFonts w:ascii="Times New Roman" w:hAnsi="Times New Roman" w:eastAsia="宋体" w:cs="Times New Roman"/>
          <w:color w:val="auto"/>
          <w:spacing w:val="-8"/>
          <w:szCs w:val="24"/>
          <w:u w:val="single"/>
        </w:rPr>
        <w:t xml:space="preserve">           </w:t>
      </w:r>
      <w:r>
        <w:rPr>
          <w:rFonts w:ascii="Times New Roman" w:hAnsi="Times New Roman" w:eastAsia="宋体" w:cs="Times New Roman"/>
          <w:color w:val="auto"/>
          <w:spacing w:val="-8"/>
          <w:szCs w:val="24"/>
        </w:rPr>
        <w:t>性别：</w:t>
      </w:r>
      <w:r>
        <w:rPr>
          <w:rFonts w:ascii="Times New Roman" w:hAnsi="Times New Roman" w:eastAsia="宋体" w:cs="Times New Roman"/>
          <w:color w:val="auto"/>
          <w:spacing w:val="-8"/>
          <w:szCs w:val="24"/>
          <w:u w:val="single"/>
        </w:rPr>
        <w:t xml:space="preserve">       </w:t>
      </w:r>
      <w:r>
        <w:rPr>
          <w:rFonts w:ascii="Times New Roman" w:hAnsi="Times New Roman" w:eastAsia="宋体" w:cs="Times New Roman"/>
          <w:color w:val="auto"/>
          <w:spacing w:val="-8"/>
          <w:szCs w:val="24"/>
        </w:rPr>
        <w:t>年龄：</w:t>
      </w:r>
      <w:r>
        <w:rPr>
          <w:rFonts w:ascii="Times New Roman" w:hAnsi="Times New Roman" w:eastAsia="宋体" w:cs="Times New Roman"/>
          <w:color w:val="auto"/>
          <w:spacing w:val="-8"/>
          <w:szCs w:val="24"/>
          <w:u w:val="single"/>
        </w:rPr>
        <w:t xml:space="preserve">       </w:t>
      </w:r>
      <w:r>
        <w:rPr>
          <w:rFonts w:ascii="Times New Roman" w:hAnsi="Times New Roman" w:eastAsia="宋体" w:cs="Times New Roman"/>
          <w:color w:val="auto"/>
          <w:spacing w:val="-8"/>
          <w:szCs w:val="24"/>
        </w:rPr>
        <w:t>职务：</w:t>
      </w:r>
      <w:r>
        <w:rPr>
          <w:rFonts w:ascii="Times New Roman" w:hAnsi="Times New Roman" w:eastAsia="宋体" w:cs="Times New Roman"/>
          <w:color w:val="auto"/>
          <w:spacing w:val="-8"/>
          <w:szCs w:val="24"/>
          <w:u w:val="single"/>
        </w:rPr>
        <w:t xml:space="preserve">       </w:t>
      </w:r>
      <w:r>
        <w:rPr>
          <w:rFonts w:ascii="Times New Roman" w:hAnsi="Times New Roman" w:eastAsia="宋体" w:cs="Times New Roman"/>
          <w:color w:val="auto"/>
          <w:spacing w:val="-8"/>
          <w:szCs w:val="24"/>
        </w:rPr>
        <w:t>系</w:t>
      </w:r>
      <w:r>
        <w:rPr>
          <w:rFonts w:ascii="Times New Roman" w:hAnsi="Times New Roman" w:eastAsia="宋体" w:cs="Times New Roman"/>
          <w:color w:val="auto"/>
          <w:spacing w:val="-8"/>
          <w:szCs w:val="24"/>
          <w:u w:val="single"/>
        </w:rPr>
        <w:t xml:space="preserve">         </w:t>
      </w:r>
      <w:r>
        <w:rPr>
          <w:rFonts w:ascii="Times New Roman" w:hAnsi="Times New Roman" w:eastAsia="宋体" w:cs="Times New Roman"/>
          <w:color w:val="auto"/>
          <w:spacing w:val="-8"/>
          <w:szCs w:val="24"/>
        </w:rPr>
        <w:t>的法定代表人。</w:t>
      </w:r>
    </w:p>
    <w:p w14:paraId="27397DAA">
      <w:pPr>
        <w:kinsoku/>
        <w:topLinePunct/>
        <w:adjustRightInd/>
        <w:spacing w:before="1" w:line="220" w:lineRule="auto"/>
        <w:ind w:firstLine="448" w:firstLineChars="200"/>
        <w:rPr>
          <w:rFonts w:ascii="Times New Roman" w:hAnsi="Times New Roman" w:eastAsia="宋体" w:cs="Times New Roman"/>
          <w:color w:val="auto"/>
          <w:spacing w:val="-8"/>
          <w:szCs w:val="24"/>
        </w:rPr>
      </w:pPr>
    </w:p>
    <w:p w14:paraId="482AAC7B">
      <w:pPr>
        <w:kinsoku/>
        <w:topLinePunct/>
        <w:spacing w:before="78" w:line="219" w:lineRule="auto"/>
        <w:ind w:left="258"/>
        <w:rPr>
          <w:rFonts w:ascii="Times New Roman" w:hAnsi="Times New Roman" w:eastAsia="宋体" w:cs="Times New Roman"/>
          <w:color w:val="auto"/>
          <w:szCs w:val="24"/>
        </w:rPr>
      </w:pPr>
      <w:r>
        <w:rPr>
          <w:rFonts w:ascii="Times New Roman" w:hAnsi="Times New Roman" w:eastAsia="宋体" w:cs="Times New Roman"/>
          <w:color w:val="auto"/>
          <w:szCs w:val="24"/>
        </w:rPr>
        <w:t>附</w:t>
      </w:r>
    </w:p>
    <w:p w14:paraId="7E23CAE6">
      <w:pPr>
        <w:kinsoku/>
        <w:topLinePunct/>
        <w:spacing w:line="27" w:lineRule="exact"/>
        <w:rPr>
          <w:rFonts w:ascii="Times New Roman" w:hAnsi="Times New Roman" w:cs="Times New Roman"/>
          <w:color w:val="auto"/>
        </w:rPr>
      </w:pPr>
    </w:p>
    <w:tbl>
      <w:tblPr>
        <w:tblStyle w:val="22"/>
        <w:tblW w:w="6683" w:type="dxa"/>
        <w:tblInd w:w="104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683"/>
      </w:tblGrid>
      <w:tr w14:paraId="62B47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52" w:hRule="atLeast"/>
        </w:trPr>
        <w:tc>
          <w:tcPr>
            <w:tcW w:w="6683" w:type="dxa"/>
            <w:tcBorders>
              <w:top w:val="single" w:color="000000" w:sz="2" w:space="0"/>
              <w:bottom w:val="single" w:color="000000" w:sz="2" w:space="0"/>
            </w:tcBorders>
          </w:tcPr>
          <w:p w14:paraId="26FA6FB1">
            <w:pPr>
              <w:kinsoku/>
              <w:topLinePunct/>
              <w:spacing w:line="251" w:lineRule="auto"/>
              <w:rPr>
                <w:rFonts w:ascii="Times New Roman" w:hAnsi="Times New Roman" w:cs="Times New Roman"/>
                <w:color w:val="auto"/>
                <w:sz w:val="21"/>
              </w:rPr>
            </w:pPr>
          </w:p>
          <w:p w14:paraId="3BED84DF">
            <w:pPr>
              <w:kinsoku/>
              <w:topLinePunct/>
              <w:spacing w:line="251" w:lineRule="auto"/>
              <w:rPr>
                <w:rFonts w:ascii="Times New Roman" w:hAnsi="Times New Roman" w:cs="Times New Roman"/>
                <w:color w:val="auto"/>
                <w:sz w:val="21"/>
              </w:rPr>
            </w:pPr>
          </w:p>
          <w:p w14:paraId="7C0AC65E">
            <w:pPr>
              <w:kinsoku/>
              <w:topLinePunct/>
              <w:spacing w:line="253" w:lineRule="auto"/>
              <w:rPr>
                <w:rFonts w:ascii="Times New Roman" w:hAnsi="Times New Roman" w:cs="Times New Roman"/>
                <w:color w:val="auto"/>
                <w:sz w:val="21"/>
              </w:rPr>
            </w:pPr>
          </w:p>
          <w:p w14:paraId="20381AD7">
            <w:pPr>
              <w:kinsoku/>
              <w:topLinePunct/>
              <w:spacing w:line="253" w:lineRule="auto"/>
              <w:rPr>
                <w:rFonts w:ascii="Times New Roman" w:hAnsi="Times New Roman" w:cs="Times New Roman"/>
                <w:color w:val="auto"/>
                <w:sz w:val="21"/>
              </w:rPr>
            </w:pPr>
          </w:p>
          <w:p w14:paraId="616E6049">
            <w:pPr>
              <w:kinsoku/>
              <w:topLinePunct/>
              <w:spacing w:before="78" w:line="199" w:lineRule="auto"/>
              <w:ind w:left="1437"/>
              <w:rPr>
                <w:rFonts w:ascii="Times New Roman" w:hAnsi="Times New Roman" w:eastAsia="宋体" w:cs="Times New Roman"/>
                <w:color w:val="auto"/>
                <w:szCs w:val="24"/>
              </w:rPr>
            </w:pPr>
            <w:r>
              <w:rPr>
                <w:rFonts w:ascii="Times New Roman" w:hAnsi="Times New Roman" w:eastAsia="宋体" w:cs="Times New Roman"/>
                <w:color w:val="auto"/>
                <w:spacing w:val="-1"/>
                <w:szCs w:val="24"/>
              </w:rPr>
              <w:t>法定代</w:t>
            </w:r>
            <w:r>
              <w:rPr>
                <w:rFonts w:ascii="Times New Roman" w:hAnsi="Times New Roman" w:eastAsia="宋体" w:cs="Times New Roman"/>
                <w:color w:val="auto"/>
                <w:szCs w:val="24"/>
              </w:rPr>
              <w:t>表人身份证正面复印件粘贴处</w:t>
            </w:r>
          </w:p>
          <w:p w14:paraId="25BE4092">
            <w:pPr>
              <w:kinsoku/>
              <w:topLinePunct/>
              <w:spacing w:line="1198" w:lineRule="exact"/>
              <w:rPr>
                <w:rFonts w:ascii="Times New Roman" w:hAnsi="Times New Roman" w:cs="Times New Roman"/>
                <w:color w:val="auto"/>
                <w:sz w:val="170"/>
                <w:szCs w:val="170"/>
              </w:rPr>
            </w:pPr>
          </w:p>
        </w:tc>
      </w:tr>
      <w:tr w14:paraId="3762F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53" w:hRule="atLeast"/>
        </w:trPr>
        <w:tc>
          <w:tcPr>
            <w:tcW w:w="6683" w:type="dxa"/>
            <w:tcBorders>
              <w:top w:val="single" w:color="000000" w:sz="2" w:space="0"/>
              <w:bottom w:val="single" w:color="000000" w:sz="2" w:space="0"/>
            </w:tcBorders>
          </w:tcPr>
          <w:p w14:paraId="3A6D656C">
            <w:pPr>
              <w:kinsoku/>
              <w:topLinePunct/>
              <w:spacing w:line="285" w:lineRule="auto"/>
              <w:rPr>
                <w:rFonts w:ascii="Times New Roman" w:hAnsi="Times New Roman" w:cs="Times New Roman"/>
                <w:color w:val="auto"/>
                <w:sz w:val="21"/>
              </w:rPr>
            </w:pPr>
          </w:p>
          <w:p w14:paraId="771C41B7">
            <w:pPr>
              <w:kinsoku/>
              <w:topLinePunct/>
              <w:spacing w:line="286" w:lineRule="auto"/>
              <w:rPr>
                <w:rFonts w:ascii="Times New Roman" w:hAnsi="Times New Roman" w:cs="Times New Roman"/>
                <w:color w:val="auto"/>
                <w:sz w:val="21"/>
              </w:rPr>
            </w:pPr>
          </w:p>
          <w:p w14:paraId="2A556309">
            <w:pPr>
              <w:kinsoku/>
              <w:topLinePunct/>
              <w:spacing w:line="286" w:lineRule="auto"/>
              <w:rPr>
                <w:rFonts w:ascii="Times New Roman" w:hAnsi="Times New Roman" w:cs="Times New Roman"/>
                <w:color w:val="auto"/>
                <w:sz w:val="21"/>
              </w:rPr>
            </w:pPr>
          </w:p>
          <w:p w14:paraId="5215238A">
            <w:pPr>
              <w:kinsoku/>
              <w:topLinePunct/>
              <w:spacing w:before="78" w:line="218" w:lineRule="auto"/>
              <w:ind w:left="1437"/>
              <w:rPr>
                <w:rFonts w:ascii="Times New Roman" w:hAnsi="Times New Roman" w:eastAsia="宋体" w:cs="Times New Roman"/>
                <w:color w:val="auto"/>
                <w:szCs w:val="24"/>
              </w:rPr>
            </w:pPr>
            <w:r>
              <w:rPr>
                <w:rFonts w:ascii="Times New Roman" w:hAnsi="Times New Roman" w:eastAsia="宋体" w:cs="Times New Roman"/>
                <w:color w:val="auto"/>
                <w:spacing w:val="-1"/>
                <w:szCs w:val="24"/>
              </w:rPr>
              <w:t>法定代</w:t>
            </w:r>
            <w:r>
              <w:rPr>
                <w:rFonts w:ascii="Times New Roman" w:hAnsi="Times New Roman" w:eastAsia="宋体" w:cs="Times New Roman"/>
                <w:color w:val="auto"/>
                <w:szCs w:val="24"/>
              </w:rPr>
              <w:t>表人身份证背面复印件粘贴处</w:t>
            </w:r>
          </w:p>
        </w:tc>
      </w:tr>
    </w:tbl>
    <w:p w14:paraId="4EF79644">
      <w:pPr>
        <w:kinsoku/>
        <w:topLinePunct/>
        <w:spacing w:before="33" w:line="220" w:lineRule="auto"/>
        <w:rPr>
          <w:rFonts w:ascii="Times New Roman" w:hAnsi="Times New Roman" w:eastAsia="宋体" w:cs="Times New Roman"/>
          <w:color w:val="auto"/>
          <w:spacing w:val="-9"/>
          <w:szCs w:val="24"/>
        </w:rPr>
      </w:pPr>
    </w:p>
    <w:p w14:paraId="54EBFE9B">
      <w:pPr>
        <w:kinsoku/>
        <w:topLinePunct/>
        <w:spacing w:before="33" w:line="220" w:lineRule="auto"/>
        <w:rPr>
          <w:rFonts w:ascii="Times New Roman" w:hAnsi="Times New Roman" w:eastAsia="宋体" w:cs="Times New Roman"/>
          <w:color w:val="auto"/>
          <w:szCs w:val="24"/>
        </w:rPr>
      </w:pPr>
      <w:r>
        <w:rPr>
          <w:rFonts w:ascii="Times New Roman" w:hAnsi="Times New Roman" w:eastAsia="宋体" w:cs="Times New Roman"/>
          <w:color w:val="auto"/>
          <w:spacing w:val="-9"/>
          <w:szCs w:val="24"/>
        </w:rPr>
        <w:t>特</w:t>
      </w:r>
      <w:r>
        <w:rPr>
          <w:rFonts w:ascii="Times New Roman" w:hAnsi="Times New Roman" w:eastAsia="宋体" w:cs="Times New Roman"/>
          <w:color w:val="auto"/>
          <w:spacing w:val="-6"/>
          <w:szCs w:val="24"/>
        </w:rPr>
        <w:t>此证明。</w:t>
      </w:r>
    </w:p>
    <w:p w14:paraId="72BE94CC">
      <w:pPr>
        <w:kinsoku/>
        <w:topLinePunct/>
        <w:adjustRightInd/>
        <w:spacing w:line="297" w:lineRule="auto"/>
        <w:rPr>
          <w:rFonts w:ascii="Times New Roman" w:hAnsi="Times New Roman" w:eastAsia="仿宋_GB2312" w:cs="Times New Roman"/>
          <w:color w:val="auto"/>
          <w:sz w:val="32"/>
          <w:szCs w:val="32"/>
        </w:rPr>
      </w:pPr>
    </w:p>
    <w:p w14:paraId="1D0D66D0">
      <w:pPr>
        <w:kinsoku/>
        <w:topLinePunct/>
        <w:adjustRightInd/>
        <w:spacing w:line="297" w:lineRule="auto"/>
        <w:rPr>
          <w:rFonts w:ascii="Times New Roman" w:hAnsi="Times New Roman" w:eastAsia="仿宋_GB2312" w:cs="Times New Roman"/>
          <w:color w:val="auto"/>
          <w:sz w:val="32"/>
          <w:szCs w:val="32"/>
        </w:rPr>
      </w:pPr>
    </w:p>
    <w:p w14:paraId="4ED9F77D">
      <w:pPr>
        <w:kinsoku/>
        <w:topLinePunct/>
        <w:spacing w:before="33" w:line="220" w:lineRule="auto"/>
        <w:jc w:val="center"/>
        <w:rPr>
          <w:rFonts w:ascii="Times New Roman" w:hAnsi="Times New Roman" w:eastAsia="宋体" w:cs="Times New Roman"/>
          <w:color w:val="auto"/>
          <w:spacing w:val="-9"/>
          <w:szCs w:val="24"/>
        </w:rPr>
      </w:pPr>
      <w:r>
        <w:rPr>
          <w:rFonts w:ascii="Times New Roman" w:hAnsi="Times New Roman" w:eastAsia="宋体" w:cs="Times New Roman"/>
          <w:color w:val="auto"/>
          <w:spacing w:val="-9"/>
          <w:szCs w:val="24"/>
        </w:rPr>
        <w:t xml:space="preserve">                          　　　　　　</w:t>
      </w:r>
      <w:r>
        <w:rPr>
          <w:rFonts w:ascii="Times New Roman" w:hAnsi="Times New Roman" w:eastAsia="宋体" w:cs="Times New Roman"/>
          <w:color w:val="auto"/>
          <w:szCs w:val="24"/>
        </w:rPr>
        <w:t>潜在承包人</w:t>
      </w:r>
      <w:r>
        <w:rPr>
          <w:rFonts w:ascii="Times New Roman" w:hAnsi="Times New Roman" w:cs="Times New Roman"/>
          <w:color w:val="auto"/>
        </w:rPr>
        <w:t>名称(电子签名)</w:t>
      </w:r>
      <w:r>
        <w:rPr>
          <w:rFonts w:ascii="Times New Roman" w:hAnsi="Times New Roman" w:eastAsia="宋体" w:cs="Times New Roman"/>
          <w:color w:val="auto"/>
          <w:spacing w:val="-9"/>
          <w:szCs w:val="24"/>
        </w:rPr>
        <w:t>：</w:t>
      </w:r>
    </w:p>
    <w:p w14:paraId="619683AC">
      <w:pPr>
        <w:kinsoku/>
        <w:topLinePunct/>
        <w:spacing w:before="33" w:line="220" w:lineRule="auto"/>
        <w:jc w:val="right"/>
        <w:rPr>
          <w:rFonts w:ascii="Times New Roman" w:hAnsi="Times New Roman" w:eastAsia="宋体" w:cs="Times New Roman"/>
          <w:color w:val="auto"/>
          <w:spacing w:val="-9"/>
          <w:szCs w:val="24"/>
        </w:rPr>
      </w:pPr>
      <w:r>
        <w:rPr>
          <w:rFonts w:ascii="Times New Roman" w:hAnsi="Times New Roman" w:eastAsia="宋体" w:cs="Times New Roman"/>
          <w:color w:val="auto"/>
          <w:spacing w:val="-9"/>
          <w:szCs w:val="24"/>
        </w:rPr>
        <w:t xml:space="preserve">    </w:t>
      </w:r>
    </w:p>
    <w:p w14:paraId="701D5E58">
      <w:pPr>
        <w:kinsoku/>
        <w:topLinePunct/>
        <w:spacing w:before="79" w:line="220" w:lineRule="auto"/>
        <w:ind w:right="189"/>
        <w:jc w:val="center"/>
        <w:rPr>
          <w:rFonts w:ascii="Times New Roman" w:hAnsi="Times New Roman" w:eastAsia="宋体" w:cs="Times New Roman"/>
          <w:color w:val="auto"/>
          <w:spacing w:val="-3"/>
          <w:szCs w:val="24"/>
        </w:rPr>
      </w:pPr>
      <w:r>
        <w:rPr>
          <w:rFonts w:ascii="Times New Roman" w:hAnsi="Times New Roman" w:eastAsia="宋体" w:cs="Times New Roman"/>
          <w:color w:val="auto"/>
          <w:spacing w:val="-6"/>
          <w:szCs w:val="24"/>
        </w:rPr>
        <w:t xml:space="preserve">                                 　　日 </w:t>
      </w:r>
      <w:r>
        <w:rPr>
          <w:rFonts w:ascii="Times New Roman" w:hAnsi="Times New Roman" w:eastAsia="宋体" w:cs="Times New Roman"/>
          <w:color w:val="auto"/>
          <w:spacing w:val="-4"/>
          <w:szCs w:val="24"/>
        </w:rPr>
        <w:t>期</w:t>
      </w:r>
      <w:r>
        <w:rPr>
          <w:rFonts w:ascii="Times New Roman" w:hAnsi="Times New Roman" w:eastAsia="宋体" w:cs="Times New Roman"/>
          <w:color w:val="auto"/>
          <w:spacing w:val="-3"/>
          <w:szCs w:val="24"/>
        </w:rPr>
        <w:t>：　　年　　月　　日</w:t>
      </w:r>
    </w:p>
    <w:p w14:paraId="23B4C6BD">
      <w:pPr>
        <w:kinsoku/>
        <w:topLinePunct/>
        <w:rPr>
          <w:rFonts w:ascii="Times New Roman" w:hAnsi="Times New Roman" w:cs="Times New Roman"/>
          <w:color w:val="auto"/>
        </w:rPr>
      </w:pPr>
    </w:p>
    <w:p w14:paraId="304421B3">
      <w:pPr>
        <w:kinsoku/>
        <w:topLinePunct/>
        <w:adjustRightInd/>
        <w:ind w:firstLine="480" w:firstLineChars="200"/>
        <w:jc w:val="right"/>
        <w:rPr>
          <w:rFonts w:ascii="Times New Roman" w:hAnsi="Times New Roman" w:cs="Times New Roman"/>
          <w:color w:val="auto"/>
        </w:rPr>
      </w:pPr>
    </w:p>
    <w:p w14:paraId="54637F9E">
      <w:pPr>
        <w:pStyle w:val="3"/>
        <w:kinsoku/>
        <w:topLinePunct/>
        <w:rPr>
          <w:rFonts w:ascii="Times New Roman" w:hAnsi="Times New Roman" w:cs="Times New Roman"/>
          <w:color w:val="auto"/>
        </w:rPr>
        <w:sectPr>
          <w:footerReference r:id="rId23" w:type="default"/>
          <w:pgSz w:w="11906" w:h="16838"/>
          <w:pgMar w:top="1440" w:right="1083" w:bottom="1440" w:left="1083" w:header="850" w:footer="850" w:gutter="0"/>
          <w:cols w:space="0" w:num="1"/>
        </w:sectPr>
      </w:pPr>
    </w:p>
    <w:p w14:paraId="0580A67C">
      <w:pPr>
        <w:pStyle w:val="3"/>
        <w:kinsoku/>
        <w:topLinePunct/>
        <w:rPr>
          <w:rFonts w:ascii="Times New Roman" w:hAnsi="Times New Roman" w:eastAsia="宋体" w:cs="Times New Roman"/>
          <w:b w:val="0"/>
          <w:bCs w:val="0"/>
          <w:color w:val="auto"/>
          <w:spacing w:val="-1"/>
          <w:sz w:val="44"/>
          <w:szCs w:val="44"/>
          <w14:textOutline w14:w="5448" w14:cap="flat" w14:cmpd="sng" w14:algn="ctr">
            <w14:solidFill>
              <w14:srgbClr w14:val="000000"/>
            </w14:solidFill>
            <w14:prstDash w14:val="solid"/>
            <w14:miter w14:val="0"/>
          </w14:textOutline>
        </w:rPr>
      </w:pPr>
      <w:r>
        <w:rPr>
          <w:rFonts w:ascii="Times New Roman" w:hAnsi="Times New Roman" w:eastAsia="宋体" w:cs="Times New Roman"/>
          <w:b w:val="0"/>
          <w:bCs w:val="0"/>
          <w:color w:val="auto"/>
          <w:spacing w:val="-1"/>
          <w:sz w:val="44"/>
          <w:szCs w:val="44"/>
          <w14:textOutline w14:w="5448" w14:cap="flat" w14:cmpd="sng" w14:algn="ctr">
            <w14:solidFill>
              <w14:srgbClr w14:val="000000"/>
            </w14:solidFill>
            <w14:prstDash w14:val="solid"/>
            <w14:miter w14:val="0"/>
          </w14:textOutline>
        </w:rPr>
        <w:t>授权委托书</w:t>
      </w:r>
    </w:p>
    <w:p w14:paraId="0450332D">
      <w:pPr>
        <w:tabs>
          <w:tab w:val="left" w:pos="123"/>
        </w:tabs>
        <w:kinsoku/>
        <w:topLinePunct/>
        <w:adjustRightInd/>
        <w:spacing w:before="214" w:line="385" w:lineRule="auto"/>
        <w:ind w:firstLine="472" w:firstLineChars="200"/>
        <w:rPr>
          <w:rFonts w:ascii="Times New Roman" w:hAnsi="Times New Roman" w:eastAsia="宋体" w:cs="Times New Roman"/>
          <w:color w:val="auto"/>
          <w:spacing w:val="-2"/>
          <w:szCs w:val="24"/>
        </w:rPr>
      </w:pPr>
    </w:p>
    <w:p w14:paraId="28F075BC">
      <w:pPr>
        <w:kinsoku/>
        <w:topLinePunct/>
        <w:spacing w:before="78" w:line="469" w:lineRule="auto"/>
        <w:ind w:firstLine="722"/>
        <w:rPr>
          <w:rFonts w:ascii="Times New Roman" w:hAnsi="Times New Roman" w:eastAsia="宋体" w:cs="Times New Roman"/>
          <w:color w:val="auto"/>
          <w:spacing w:val="-2"/>
          <w:szCs w:val="24"/>
        </w:rPr>
      </w:pPr>
      <w:r>
        <w:rPr>
          <w:rFonts w:ascii="Times New Roman" w:hAnsi="Times New Roman" w:eastAsia="宋体" w:cs="Times New Roman"/>
          <w:color w:val="auto"/>
          <w:spacing w:val="-8"/>
          <w:szCs w:val="24"/>
        </w:rPr>
        <w:t>本授权委托书</w:t>
      </w:r>
      <w:r>
        <w:rPr>
          <w:rFonts w:ascii="Times New Roman" w:hAnsi="Times New Roman" w:eastAsia="宋体" w:cs="Times New Roman"/>
          <w:color w:val="auto"/>
          <w:spacing w:val="-4"/>
          <w:szCs w:val="24"/>
        </w:rPr>
        <w:t>声明：我</w:t>
      </w:r>
      <w:r>
        <w:rPr>
          <w:rFonts w:ascii="Times New Roman" w:hAnsi="Times New Roman" w:eastAsia="宋体" w:cs="Times New Roman"/>
          <w:color w:val="auto"/>
          <w:spacing w:val="-4"/>
          <w:szCs w:val="24"/>
          <w:u w:val="single"/>
        </w:rPr>
        <w:t xml:space="preserve">    (姓名)  </w:t>
      </w:r>
      <w:r>
        <w:rPr>
          <w:rFonts w:ascii="Times New Roman" w:hAnsi="Times New Roman" w:eastAsia="宋体" w:cs="Times New Roman"/>
          <w:color w:val="auto"/>
          <w:spacing w:val="-4"/>
          <w:szCs w:val="24"/>
        </w:rPr>
        <w:t xml:space="preserve"> 系</w:t>
      </w:r>
      <w:r>
        <w:rPr>
          <w:rFonts w:ascii="Times New Roman" w:hAnsi="Times New Roman" w:eastAsia="宋体" w:cs="Times New Roman"/>
          <w:color w:val="auto"/>
          <w:spacing w:val="-4"/>
          <w:szCs w:val="24"/>
          <w:u w:val="single"/>
        </w:rPr>
        <w:t xml:space="preserve">     (单位名称)  </w:t>
      </w:r>
      <w:r>
        <w:rPr>
          <w:rFonts w:ascii="Times New Roman" w:hAnsi="Times New Roman" w:eastAsia="宋体" w:cs="Times New Roman"/>
          <w:color w:val="auto"/>
          <w:spacing w:val="-4"/>
          <w:szCs w:val="24"/>
        </w:rPr>
        <w:t xml:space="preserve"> 的法定代</w:t>
      </w:r>
      <w:r>
        <w:rPr>
          <w:rFonts w:ascii="Times New Roman" w:hAnsi="Times New Roman" w:eastAsia="宋体" w:cs="Times New Roman"/>
          <w:color w:val="auto"/>
          <w:spacing w:val="1"/>
          <w:szCs w:val="24"/>
        </w:rPr>
        <w:t>表人，现</w:t>
      </w:r>
      <w:r>
        <w:rPr>
          <w:rFonts w:ascii="Times New Roman" w:hAnsi="Times New Roman" w:eastAsia="宋体" w:cs="Times New Roman"/>
          <w:color w:val="auto"/>
          <w:szCs w:val="24"/>
        </w:rPr>
        <w:t>授权委托</w:t>
      </w:r>
      <w:r>
        <w:rPr>
          <w:rFonts w:ascii="Times New Roman" w:hAnsi="Times New Roman" w:eastAsia="宋体" w:cs="Times New Roman"/>
          <w:color w:val="auto"/>
          <w:szCs w:val="24"/>
          <w:u w:val="single"/>
        </w:rPr>
        <w:t xml:space="preserve">      (姓名)  </w:t>
      </w:r>
      <w:r>
        <w:rPr>
          <w:rFonts w:ascii="Times New Roman" w:hAnsi="Times New Roman" w:eastAsia="宋体" w:cs="Times New Roman"/>
          <w:color w:val="auto"/>
          <w:szCs w:val="24"/>
        </w:rPr>
        <w:t xml:space="preserve"> 在</w:t>
      </w:r>
      <w:r>
        <w:rPr>
          <w:rFonts w:ascii="Times New Roman" w:hAnsi="Times New Roman" w:eastAsia="宋体" w:cs="Times New Roman"/>
          <w:color w:val="auto"/>
          <w:szCs w:val="24"/>
          <w:u w:val="single"/>
        </w:rPr>
        <w:t xml:space="preserve">   </w:t>
      </w:r>
      <w:r>
        <w:rPr>
          <w:rFonts w:ascii="Times New Roman" w:hAnsi="Times New Roman" w:eastAsia="宋体" w:cs="Times New Roman"/>
          <w:color w:val="auto"/>
          <w:szCs w:val="24"/>
        </w:rPr>
        <w:t>年</w:t>
      </w:r>
      <w:r>
        <w:rPr>
          <w:rFonts w:ascii="Times New Roman" w:hAnsi="Times New Roman" w:eastAsia="宋体" w:cs="Times New Roman"/>
          <w:color w:val="auto"/>
          <w:szCs w:val="24"/>
          <w:u w:val="single"/>
        </w:rPr>
        <w:t xml:space="preserve">  月  </w:t>
      </w:r>
      <w:r>
        <w:rPr>
          <w:rFonts w:ascii="Times New Roman" w:hAnsi="Times New Roman" w:eastAsia="宋体" w:cs="Times New Roman"/>
          <w:color w:val="auto"/>
          <w:szCs w:val="24"/>
        </w:rPr>
        <w:t xml:space="preserve"> 日至</w:t>
      </w:r>
      <w:r>
        <w:rPr>
          <w:rFonts w:ascii="Times New Roman" w:hAnsi="Times New Roman" w:eastAsia="宋体" w:cs="Times New Roman"/>
          <w:color w:val="auto"/>
          <w:szCs w:val="24"/>
          <w:u w:val="single"/>
        </w:rPr>
        <w:t xml:space="preserve">     </w:t>
      </w:r>
      <w:r>
        <w:rPr>
          <w:rFonts w:ascii="Times New Roman" w:hAnsi="Times New Roman" w:eastAsia="宋体" w:cs="Times New Roman"/>
          <w:color w:val="auto"/>
          <w:szCs w:val="24"/>
        </w:rPr>
        <w:t>年</w:t>
      </w:r>
      <w:r>
        <w:rPr>
          <w:rFonts w:ascii="Times New Roman" w:hAnsi="Times New Roman" w:eastAsia="宋体" w:cs="Times New Roman"/>
          <w:color w:val="auto"/>
          <w:szCs w:val="24"/>
          <w:u w:val="single"/>
        </w:rPr>
        <w:t xml:space="preserve">  </w:t>
      </w:r>
      <w:r>
        <w:rPr>
          <w:rFonts w:ascii="Times New Roman" w:hAnsi="Times New Roman" w:eastAsia="宋体" w:cs="Times New Roman"/>
          <w:color w:val="auto"/>
          <w:szCs w:val="24"/>
        </w:rPr>
        <w:t>月</w:t>
      </w:r>
      <w:r>
        <w:rPr>
          <w:rFonts w:ascii="Times New Roman" w:hAnsi="Times New Roman" w:eastAsia="宋体" w:cs="Times New Roman"/>
          <w:color w:val="auto"/>
          <w:szCs w:val="24"/>
          <w:u w:val="single"/>
        </w:rPr>
        <w:t xml:space="preserve">  </w:t>
      </w:r>
      <w:r>
        <w:rPr>
          <w:rFonts w:ascii="Times New Roman" w:hAnsi="Times New Roman" w:eastAsia="宋体" w:cs="Times New Roman"/>
          <w:color w:val="auto"/>
          <w:szCs w:val="24"/>
        </w:rPr>
        <w:t>日(代理时限)为我</w:t>
      </w:r>
      <w:r>
        <w:rPr>
          <w:rFonts w:ascii="Times New Roman" w:hAnsi="Times New Roman" w:eastAsia="宋体" w:cs="Times New Roman"/>
          <w:color w:val="auto"/>
          <w:spacing w:val="4"/>
          <w:szCs w:val="24"/>
        </w:rPr>
        <w:t>公司的代理人，以</w:t>
      </w:r>
      <w:r>
        <w:rPr>
          <w:rFonts w:ascii="Times New Roman" w:hAnsi="Times New Roman" w:eastAsia="宋体" w:cs="Times New Roman"/>
          <w:color w:val="auto"/>
          <w:spacing w:val="2"/>
          <w:szCs w:val="24"/>
        </w:rPr>
        <w:t>本公司的名义参加</w:t>
      </w:r>
      <w:r>
        <w:rPr>
          <w:rFonts w:ascii="Times New Roman" w:hAnsi="Times New Roman" w:eastAsia="宋体" w:cs="Times New Roman"/>
          <w:color w:val="auto"/>
          <w:spacing w:val="2"/>
          <w:szCs w:val="24"/>
          <w:u w:val="single"/>
        </w:rPr>
        <w:t xml:space="preserve">     (项目名称) </w:t>
      </w:r>
      <w:r>
        <w:rPr>
          <w:rFonts w:ascii="Times New Roman" w:hAnsi="Times New Roman" w:eastAsia="宋体" w:cs="Times New Roman"/>
          <w:color w:val="auto"/>
          <w:spacing w:val="2"/>
          <w:szCs w:val="24"/>
        </w:rPr>
        <w:t>的交易活动。代理人在代理时间内参加交易活动</w:t>
      </w:r>
      <w:r>
        <w:rPr>
          <w:rFonts w:ascii="Times New Roman" w:hAnsi="Times New Roman" w:eastAsia="宋体" w:cs="Times New Roman"/>
          <w:color w:val="auto"/>
          <w:spacing w:val="1"/>
          <w:szCs w:val="24"/>
        </w:rPr>
        <w:t>过程中所</w:t>
      </w:r>
      <w:r>
        <w:rPr>
          <w:rFonts w:ascii="Times New Roman" w:hAnsi="Times New Roman" w:eastAsia="宋体" w:cs="Times New Roman"/>
          <w:color w:val="auto"/>
          <w:szCs w:val="24"/>
        </w:rPr>
        <w:t>签署的一切文件和处理与之相关的一切事务，本人均予以承认</w:t>
      </w:r>
      <w:r>
        <w:rPr>
          <w:rFonts w:ascii="Times New Roman" w:hAnsi="Times New Roman" w:eastAsia="宋体" w:cs="Times New Roman"/>
          <w:color w:val="auto"/>
          <w:sz w:val="28"/>
          <w:szCs w:val="28"/>
        </w:rPr>
        <w:t>。</w:t>
      </w:r>
      <w:r>
        <w:rPr>
          <w:rFonts w:ascii="Times New Roman" w:hAnsi="Times New Roman" w:eastAsia="宋体" w:cs="Times New Roman"/>
          <w:color w:val="auto"/>
          <w:spacing w:val="-4"/>
          <w:szCs w:val="24"/>
        </w:rPr>
        <w:t>代理人</w:t>
      </w:r>
      <w:r>
        <w:rPr>
          <w:rFonts w:ascii="Times New Roman" w:hAnsi="Times New Roman" w:eastAsia="宋体" w:cs="Times New Roman"/>
          <w:color w:val="auto"/>
          <w:spacing w:val="-2"/>
          <w:szCs w:val="24"/>
        </w:rPr>
        <w:t>无权转委托。特此委托。</w:t>
      </w:r>
    </w:p>
    <w:p w14:paraId="308ADDEE">
      <w:pPr>
        <w:kinsoku/>
        <w:topLinePunct/>
        <w:spacing w:before="207" w:line="216" w:lineRule="auto"/>
        <w:rPr>
          <w:rFonts w:ascii="Times New Roman" w:hAnsi="Times New Roman" w:eastAsia="宋体" w:cs="Times New Roman"/>
          <w:color w:val="auto"/>
          <w:spacing w:val="-2"/>
          <w:szCs w:val="24"/>
        </w:rPr>
      </w:pPr>
      <w:r>
        <w:rPr>
          <w:rFonts w:ascii="Times New Roman" w:hAnsi="Times New Roman" w:eastAsia="宋体" w:cs="Times New Roman"/>
          <w:color w:val="auto"/>
          <w:spacing w:val="-2"/>
          <w:szCs w:val="24"/>
        </w:rPr>
        <w:t>附</w:t>
      </w:r>
    </w:p>
    <w:p w14:paraId="3A84056C">
      <w:pPr>
        <w:kinsoku/>
        <w:topLinePunct/>
        <w:rPr>
          <w:rFonts w:ascii="Times New Roman" w:hAnsi="Times New Roman" w:cs="Times New Roman"/>
          <w:color w:val="auto"/>
        </w:rPr>
      </w:pPr>
    </w:p>
    <w:p w14:paraId="76E45849">
      <w:pPr>
        <w:kinsoku/>
        <w:topLinePunct/>
        <w:rPr>
          <w:rFonts w:ascii="Times New Roman" w:hAnsi="Times New Roman" w:cs="Times New Roman"/>
          <w:color w:val="auto"/>
        </w:rPr>
      </w:pPr>
    </w:p>
    <w:tbl>
      <w:tblPr>
        <w:tblStyle w:val="22"/>
        <w:tblpPr w:leftFromText="180" w:rightFromText="180" w:vertAnchor="text" w:horzAnchor="page" w:tblpX="2511" w:tblpY="-274"/>
        <w:tblOverlap w:val="never"/>
        <w:tblW w:w="6683"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683"/>
      </w:tblGrid>
      <w:tr w14:paraId="3F762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52" w:hRule="atLeast"/>
        </w:trPr>
        <w:tc>
          <w:tcPr>
            <w:tcW w:w="6683" w:type="dxa"/>
            <w:tcBorders>
              <w:top w:val="single" w:color="000000" w:sz="2" w:space="0"/>
              <w:bottom w:val="single" w:color="000000" w:sz="2" w:space="0"/>
            </w:tcBorders>
          </w:tcPr>
          <w:p w14:paraId="5CB914DE">
            <w:pPr>
              <w:kinsoku/>
              <w:topLinePunct/>
              <w:spacing w:line="251" w:lineRule="auto"/>
              <w:rPr>
                <w:rFonts w:ascii="Times New Roman" w:hAnsi="Times New Roman" w:cs="Times New Roman"/>
                <w:color w:val="auto"/>
                <w:sz w:val="21"/>
              </w:rPr>
            </w:pPr>
          </w:p>
          <w:p w14:paraId="4F6F8F01">
            <w:pPr>
              <w:kinsoku/>
              <w:topLinePunct/>
              <w:spacing w:line="251" w:lineRule="auto"/>
              <w:rPr>
                <w:rFonts w:ascii="Times New Roman" w:hAnsi="Times New Roman" w:cs="Times New Roman"/>
                <w:color w:val="auto"/>
                <w:sz w:val="21"/>
              </w:rPr>
            </w:pPr>
          </w:p>
          <w:p w14:paraId="18FD77E4">
            <w:pPr>
              <w:kinsoku/>
              <w:topLinePunct/>
              <w:spacing w:line="253" w:lineRule="auto"/>
              <w:rPr>
                <w:rFonts w:ascii="Times New Roman" w:hAnsi="Times New Roman" w:cs="Times New Roman"/>
                <w:color w:val="auto"/>
                <w:sz w:val="21"/>
              </w:rPr>
            </w:pPr>
          </w:p>
          <w:p w14:paraId="4EBC0FD2">
            <w:pPr>
              <w:kinsoku/>
              <w:topLinePunct/>
              <w:spacing w:line="253" w:lineRule="auto"/>
              <w:rPr>
                <w:rFonts w:ascii="Times New Roman" w:hAnsi="Times New Roman" w:cs="Times New Roman"/>
                <w:color w:val="auto"/>
                <w:sz w:val="21"/>
              </w:rPr>
            </w:pPr>
          </w:p>
          <w:p w14:paraId="19814571">
            <w:pPr>
              <w:kinsoku/>
              <w:topLinePunct/>
              <w:spacing w:before="78" w:line="199" w:lineRule="auto"/>
              <w:ind w:left="1437"/>
              <w:rPr>
                <w:rFonts w:ascii="Times New Roman" w:hAnsi="Times New Roman" w:eastAsia="宋体" w:cs="Times New Roman"/>
                <w:color w:val="auto"/>
                <w:szCs w:val="24"/>
              </w:rPr>
            </w:pPr>
            <w:r>
              <w:rPr>
                <w:rFonts w:ascii="Times New Roman" w:hAnsi="Times New Roman" w:eastAsia="宋体" w:cs="Times New Roman"/>
                <w:color w:val="auto"/>
                <w:spacing w:val="-1"/>
                <w:szCs w:val="24"/>
              </w:rPr>
              <w:t>代理</w:t>
            </w:r>
            <w:r>
              <w:rPr>
                <w:rFonts w:ascii="Times New Roman" w:hAnsi="Times New Roman" w:eastAsia="宋体" w:cs="Times New Roman"/>
                <w:color w:val="auto"/>
                <w:szCs w:val="24"/>
              </w:rPr>
              <w:t>人身份证正面复印件粘贴处</w:t>
            </w:r>
          </w:p>
          <w:p w14:paraId="11B9FA3E">
            <w:pPr>
              <w:kinsoku/>
              <w:topLinePunct/>
              <w:spacing w:line="1198" w:lineRule="exact"/>
              <w:rPr>
                <w:rFonts w:ascii="Times New Roman" w:hAnsi="Times New Roman" w:cs="Times New Roman"/>
                <w:color w:val="auto"/>
                <w:sz w:val="170"/>
                <w:szCs w:val="170"/>
              </w:rPr>
            </w:pPr>
          </w:p>
        </w:tc>
      </w:tr>
      <w:tr w14:paraId="6FBD7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53" w:hRule="atLeast"/>
        </w:trPr>
        <w:tc>
          <w:tcPr>
            <w:tcW w:w="6683" w:type="dxa"/>
            <w:tcBorders>
              <w:top w:val="single" w:color="000000" w:sz="2" w:space="0"/>
              <w:bottom w:val="single" w:color="000000" w:sz="2" w:space="0"/>
            </w:tcBorders>
          </w:tcPr>
          <w:p w14:paraId="560EA508">
            <w:pPr>
              <w:kinsoku/>
              <w:topLinePunct/>
              <w:spacing w:line="285" w:lineRule="auto"/>
              <w:rPr>
                <w:rFonts w:ascii="Times New Roman" w:hAnsi="Times New Roman" w:cs="Times New Roman"/>
                <w:color w:val="auto"/>
                <w:sz w:val="21"/>
              </w:rPr>
            </w:pPr>
          </w:p>
          <w:p w14:paraId="17D2B472">
            <w:pPr>
              <w:kinsoku/>
              <w:topLinePunct/>
              <w:spacing w:line="286" w:lineRule="auto"/>
              <w:rPr>
                <w:rFonts w:ascii="Times New Roman" w:hAnsi="Times New Roman" w:cs="Times New Roman"/>
                <w:color w:val="auto"/>
                <w:sz w:val="21"/>
              </w:rPr>
            </w:pPr>
          </w:p>
          <w:p w14:paraId="6B4CC88F">
            <w:pPr>
              <w:kinsoku/>
              <w:topLinePunct/>
              <w:spacing w:line="286" w:lineRule="auto"/>
              <w:rPr>
                <w:rFonts w:ascii="Times New Roman" w:hAnsi="Times New Roman" w:cs="Times New Roman"/>
                <w:color w:val="auto"/>
                <w:sz w:val="21"/>
              </w:rPr>
            </w:pPr>
          </w:p>
          <w:p w14:paraId="274C3CA0">
            <w:pPr>
              <w:kinsoku/>
              <w:topLinePunct/>
              <w:spacing w:before="78" w:line="218" w:lineRule="auto"/>
              <w:ind w:left="1437"/>
              <w:rPr>
                <w:rFonts w:ascii="Times New Roman" w:hAnsi="Times New Roman" w:eastAsia="宋体" w:cs="Times New Roman"/>
                <w:color w:val="auto"/>
                <w:szCs w:val="24"/>
              </w:rPr>
            </w:pPr>
            <w:r>
              <w:rPr>
                <w:rFonts w:ascii="Times New Roman" w:hAnsi="Times New Roman" w:eastAsia="宋体" w:cs="Times New Roman"/>
                <w:color w:val="auto"/>
                <w:spacing w:val="-1"/>
                <w:szCs w:val="24"/>
              </w:rPr>
              <w:t>代理</w:t>
            </w:r>
            <w:r>
              <w:rPr>
                <w:rFonts w:ascii="Times New Roman" w:hAnsi="Times New Roman" w:eastAsia="宋体" w:cs="Times New Roman"/>
                <w:color w:val="auto"/>
                <w:szCs w:val="24"/>
              </w:rPr>
              <w:t>人身份证背面复印件粘贴处</w:t>
            </w:r>
          </w:p>
        </w:tc>
      </w:tr>
    </w:tbl>
    <w:p w14:paraId="7C305CEC">
      <w:pPr>
        <w:kinsoku/>
        <w:topLinePunct/>
        <w:rPr>
          <w:rFonts w:ascii="Times New Roman" w:hAnsi="Times New Roman" w:cs="Times New Roman"/>
          <w:color w:val="auto"/>
        </w:rPr>
      </w:pPr>
    </w:p>
    <w:p w14:paraId="2987CDE2">
      <w:pPr>
        <w:kinsoku/>
        <w:topLinePunct/>
        <w:adjustRightInd/>
        <w:spacing w:line="257" w:lineRule="auto"/>
        <w:ind w:firstLine="640" w:firstLineChars="200"/>
        <w:rPr>
          <w:rFonts w:ascii="Times New Roman" w:hAnsi="Times New Roman" w:eastAsia="仿宋_GB2312" w:cs="Times New Roman"/>
          <w:color w:val="auto"/>
          <w:sz w:val="32"/>
          <w:szCs w:val="32"/>
        </w:rPr>
      </w:pPr>
    </w:p>
    <w:p w14:paraId="4A7C8FBC">
      <w:pPr>
        <w:kinsoku/>
        <w:topLinePunct/>
        <w:spacing w:before="48" w:line="364" w:lineRule="auto"/>
        <w:ind w:left="5280" w:leftChars="2200" w:right="191"/>
        <w:rPr>
          <w:rFonts w:ascii="Times New Roman" w:hAnsi="Times New Roman" w:eastAsia="宋体" w:cs="Times New Roman"/>
          <w:color w:val="auto"/>
          <w:spacing w:val="8"/>
          <w:szCs w:val="24"/>
        </w:rPr>
      </w:pPr>
    </w:p>
    <w:p w14:paraId="30654B12">
      <w:pPr>
        <w:kinsoku/>
        <w:topLinePunct/>
        <w:spacing w:before="48" w:line="364" w:lineRule="auto"/>
        <w:ind w:left="5280" w:leftChars="2200" w:right="191"/>
        <w:rPr>
          <w:rFonts w:ascii="Times New Roman" w:hAnsi="Times New Roman" w:eastAsia="宋体" w:cs="Times New Roman"/>
          <w:color w:val="auto"/>
          <w:spacing w:val="8"/>
          <w:szCs w:val="24"/>
        </w:rPr>
      </w:pPr>
    </w:p>
    <w:p w14:paraId="13EECEAD">
      <w:pPr>
        <w:kinsoku/>
        <w:topLinePunct/>
        <w:spacing w:before="48" w:line="364" w:lineRule="auto"/>
        <w:ind w:left="5280" w:leftChars="2200" w:right="191"/>
        <w:rPr>
          <w:rFonts w:ascii="Times New Roman" w:hAnsi="Times New Roman" w:eastAsia="宋体" w:cs="Times New Roman"/>
          <w:color w:val="auto"/>
          <w:spacing w:val="8"/>
          <w:szCs w:val="24"/>
        </w:rPr>
      </w:pPr>
    </w:p>
    <w:p w14:paraId="76E0EF70">
      <w:pPr>
        <w:kinsoku/>
        <w:topLinePunct/>
        <w:spacing w:before="48" w:line="364" w:lineRule="auto"/>
        <w:ind w:right="191"/>
        <w:rPr>
          <w:rFonts w:ascii="Times New Roman" w:hAnsi="Times New Roman" w:eastAsia="宋体" w:cs="Times New Roman"/>
          <w:color w:val="auto"/>
          <w:spacing w:val="8"/>
          <w:szCs w:val="24"/>
        </w:rPr>
      </w:pPr>
    </w:p>
    <w:p w14:paraId="73C5FF1F">
      <w:pPr>
        <w:kinsoku/>
        <w:topLinePunct/>
        <w:spacing w:before="48" w:line="364" w:lineRule="auto"/>
        <w:ind w:left="5280" w:leftChars="2200" w:right="191"/>
        <w:rPr>
          <w:rFonts w:ascii="Times New Roman" w:hAnsi="Times New Roman" w:eastAsia="宋体" w:cs="Times New Roman"/>
          <w:color w:val="auto"/>
          <w:spacing w:val="8"/>
          <w:szCs w:val="24"/>
        </w:rPr>
      </w:pPr>
    </w:p>
    <w:p w14:paraId="4844C4C2">
      <w:pPr>
        <w:kinsoku/>
        <w:topLinePunct/>
        <w:spacing w:before="48" w:line="364" w:lineRule="auto"/>
        <w:ind w:left="5280" w:leftChars="2200" w:right="191"/>
        <w:rPr>
          <w:rFonts w:ascii="Times New Roman" w:hAnsi="Times New Roman" w:eastAsia="宋体" w:cs="Times New Roman"/>
          <w:color w:val="auto"/>
          <w:spacing w:val="8"/>
          <w:szCs w:val="24"/>
        </w:rPr>
      </w:pPr>
    </w:p>
    <w:p w14:paraId="570349F5">
      <w:pPr>
        <w:kinsoku/>
        <w:topLinePunct/>
        <w:spacing w:before="48" w:line="364" w:lineRule="auto"/>
        <w:ind w:left="5280" w:leftChars="2200" w:right="191"/>
        <w:rPr>
          <w:rFonts w:ascii="Times New Roman" w:hAnsi="Times New Roman" w:eastAsia="宋体" w:cs="Times New Roman"/>
          <w:color w:val="auto"/>
          <w:spacing w:val="8"/>
          <w:szCs w:val="24"/>
        </w:rPr>
      </w:pPr>
    </w:p>
    <w:p w14:paraId="58482E78">
      <w:pPr>
        <w:kinsoku/>
        <w:topLinePunct/>
        <w:spacing w:before="48" w:line="364" w:lineRule="auto"/>
        <w:ind w:left="5280" w:leftChars="2200" w:right="191"/>
        <w:rPr>
          <w:rFonts w:ascii="Times New Roman" w:hAnsi="Times New Roman" w:eastAsia="宋体" w:cs="Times New Roman"/>
          <w:color w:val="auto"/>
          <w:spacing w:val="8"/>
          <w:szCs w:val="24"/>
        </w:rPr>
      </w:pPr>
    </w:p>
    <w:p w14:paraId="59D0FBFD">
      <w:pPr>
        <w:kinsoku/>
        <w:topLinePunct/>
        <w:spacing w:before="48" w:line="364" w:lineRule="auto"/>
        <w:ind w:left="5280" w:leftChars="2200" w:right="191"/>
        <w:rPr>
          <w:rFonts w:ascii="Times New Roman" w:hAnsi="Times New Roman" w:eastAsia="宋体" w:cs="Times New Roman"/>
          <w:color w:val="auto"/>
          <w:szCs w:val="24"/>
        </w:rPr>
      </w:pPr>
    </w:p>
    <w:p w14:paraId="00BD71FB">
      <w:pPr>
        <w:kinsoku/>
        <w:topLinePunct/>
        <w:spacing w:before="48" w:line="364" w:lineRule="auto"/>
        <w:ind w:left="5280" w:leftChars="2200" w:right="191"/>
        <w:rPr>
          <w:rFonts w:ascii="Times New Roman" w:hAnsi="Times New Roman" w:eastAsia="宋体" w:cs="Times New Roman"/>
          <w:color w:val="auto"/>
          <w:szCs w:val="24"/>
        </w:rPr>
      </w:pPr>
    </w:p>
    <w:p w14:paraId="3AB7E9E0">
      <w:pPr>
        <w:kinsoku/>
        <w:topLinePunct/>
        <w:spacing w:before="48" w:line="364" w:lineRule="auto"/>
        <w:ind w:left="5280" w:leftChars="2200" w:right="191"/>
        <w:rPr>
          <w:rFonts w:ascii="Times New Roman" w:hAnsi="Times New Roman" w:eastAsia="宋体" w:cs="Times New Roman"/>
          <w:color w:val="auto"/>
          <w:spacing w:val="5"/>
          <w:szCs w:val="24"/>
        </w:rPr>
      </w:pPr>
      <w:r>
        <w:rPr>
          <w:rFonts w:ascii="Times New Roman" w:hAnsi="Times New Roman" w:eastAsia="宋体" w:cs="Times New Roman"/>
          <w:color w:val="auto"/>
          <w:szCs w:val="24"/>
        </w:rPr>
        <w:t>潜在承包人</w:t>
      </w:r>
      <w:r>
        <w:rPr>
          <w:rFonts w:ascii="Times New Roman" w:hAnsi="Times New Roman" w:cs="Times New Roman"/>
          <w:color w:val="auto"/>
        </w:rPr>
        <w:t>名称(电子签名)</w:t>
      </w:r>
      <w:r>
        <w:rPr>
          <w:rFonts w:ascii="Times New Roman" w:hAnsi="Times New Roman" w:eastAsia="宋体" w:cs="Times New Roman"/>
          <w:color w:val="auto"/>
          <w:spacing w:val="5"/>
          <w:szCs w:val="24"/>
        </w:rPr>
        <w:t>：</w:t>
      </w:r>
    </w:p>
    <w:p w14:paraId="44046CE7">
      <w:pPr>
        <w:kinsoku/>
        <w:topLinePunct/>
        <w:spacing w:before="48" w:line="364" w:lineRule="auto"/>
        <w:ind w:left="5280" w:leftChars="2200" w:right="191"/>
        <w:rPr>
          <w:rFonts w:ascii="Times New Roman" w:hAnsi="Times New Roman" w:eastAsia="宋体" w:cs="Times New Roman"/>
          <w:color w:val="auto"/>
          <w:szCs w:val="24"/>
        </w:rPr>
      </w:pPr>
      <w:r>
        <w:rPr>
          <w:rFonts w:ascii="Times New Roman" w:hAnsi="Times New Roman" w:eastAsia="宋体" w:cs="Times New Roman"/>
          <w:color w:val="auto"/>
          <w:spacing w:val="6"/>
          <w:szCs w:val="24"/>
        </w:rPr>
        <w:t>法定代表人</w:t>
      </w:r>
      <w:r>
        <w:rPr>
          <w:rFonts w:ascii="Times New Roman" w:hAnsi="Times New Roman" w:cs="Times New Roman"/>
          <w:color w:val="auto"/>
        </w:rPr>
        <w:t>(电子签名)</w:t>
      </w:r>
      <w:r>
        <w:rPr>
          <w:rFonts w:ascii="Times New Roman" w:hAnsi="Times New Roman" w:eastAsia="宋体" w:cs="Times New Roman"/>
          <w:color w:val="auto"/>
          <w:spacing w:val="6"/>
          <w:szCs w:val="24"/>
        </w:rPr>
        <w:t>：</w:t>
      </w:r>
    </w:p>
    <w:p w14:paraId="70BDE855">
      <w:pPr>
        <w:kinsoku/>
        <w:topLinePunct/>
        <w:spacing w:before="48" w:line="364" w:lineRule="auto"/>
        <w:ind w:left="5280" w:leftChars="2200" w:right="191"/>
        <w:rPr>
          <w:rFonts w:ascii="Times New Roman" w:hAnsi="Times New Roman" w:eastAsia="宋体" w:cs="Times New Roman"/>
          <w:color w:val="auto"/>
          <w:spacing w:val="-3"/>
          <w:szCs w:val="24"/>
        </w:rPr>
      </w:pPr>
      <w:r>
        <w:rPr>
          <w:rFonts w:ascii="Times New Roman" w:hAnsi="Times New Roman" w:eastAsia="宋体" w:cs="Times New Roman"/>
          <w:color w:val="auto"/>
          <w:spacing w:val="-6"/>
          <w:szCs w:val="24"/>
        </w:rPr>
        <w:t>日</w:t>
      </w:r>
      <w:r>
        <w:rPr>
          <w:rFonts w:ascii="Times New Roman" w:hAnsi="Times New Roman" w:eastAsia="宋体" w:cs="Times New Roman"/>
          <w:color w:val="auto"/>
          <w:spacing w:val="-4"/>
          <w:szCs w:val="24"/>
        </w:rPr>
        <w:t>期</w:t>
      </w:r>
      <w:r>
        <w:rPr>
          <w:rFonts w:ascii="Times New Roman" w:hAnsi="Times New Roman" w:eastAsia="宋体" w:cs="Times New Roman"/>
          <w:color w:val="auto"/>
          <w:spacing w:val="-3"/>
          <w:szCs w:val="24"/>
        </w:rPr>
        <w:t>：　年　　月　　日</w:t>
      </w:r>
    </w:p>
    <w:p w14:paraId="6EA905EE">
      <w:pPr>
        <w:kinsoku/>
        <w:topLinePunct/>
        <w:rPr>
          <w:rFonts w:ascii="Times New Roman" w:hAnsi="Times New Roman" w:cs="Times New Roman"/>
          <w:color w:val="auto"/>
        </w:rPr>
      </w:pPr>
    </w:p>
    <w:p w14:paraId="435D323C">
      <w:pPr>
        <w:kinsoku/>
        <w:topLinePunct/>
        <w:rPr>
          <w:rFonts w:ascii="Times New Roman" w:hAnsi="Times New Roman" w:cs="Times New Roman"/>
          <w:color w:val="auto"/>
        </w:rPr>
      </w:pPr>
    </w:p>
    <w:p w14:paraId="6F9CB541">
      <w:pPr>
        <w:kinsoku/>
        <w:topLinePunct/>
        <w:rPr>
          <w:rFonts w:ascii="Times New Roman" w:hAnsi="Times New Roman" w:cs="Times New Roman"/>
          <w:color w:val="auto"/>
        </w:rPr>
      </w:pPr>
    </w:p>
    <w:p w14:paraId="6E58BB54">
      <w:pPr>
        <w:kinsoku/>
        <w:topLinePunct/>
        <w:rPr>
          <w:rFonts w:ascii="Times New Roman" w:hAnsi="Times New Roman" w:eastAsia="宋体" w:cs="Times New Roman"/>
          <w:color w:val="auto"/>
          <w:spacing w:val="-1"/>
          <w:sz w:val="44"/>
          <w:szCs w:val="44"/>
          <w14:textOutline w14:w="5448" w14:cap="flat" w14:cmpd="sng" w14:algn="ctr">
            <w14:solidFill>
              <w14:srgbClr w14:val="000000"/>
            </w14:solidFill>
            <w14:prstDash w14:val="solid"/>
            <w14:miter w14:val="0"/>
          </w14:textOutline>
        </w:rPr>
      </w:pPr>
      <w:r>
        <w:rPr>
          <w:rFonts w:ascii="Times New Roman" w:hAnsi="Times New Roman" w:eastAsia="宋体" w:cs="Times New Roman"/>
          <w:color w:val="auto"/>
          <w:spacing w:val="-1"/>
          <w:sz w:val="44"/>
          <w:szCs w:val="44"/>
          <w14:textOutline w14:w="5448" w14:cap="flat" w14:cmpd="sng" w14:algn="ctr">
            <w14:solidFill>
              <w14:srgbClr w14:val="000000"/>
            </w14:solidFill>
            <w14:prstDash w14:val="solid"/>
            <w14:miter w14:val="0"/>
          </w14:textOutline>
        </w:rPr>
        <w:br w:type="page"/>
      </w:r>
    </w:p>
    <w:p w14:paraId="361C4A07">
      <w:pPr>
        <w:pStyle w:val="3"/>
        <w:kinsoku/>
        <w:topLinePunct/>
        <w:rPr>
          <w:rFonts w:ascii="Times New Roman" w:hAnsi="Times New Roman" w:eastAsia="宋体" w:cs="Times New Roman"/>
          <w:b w:val="0"/>
          <w:bCs w:val="0"/>
          <w:color w:val="auto"/>
          <w:spacing w:val="-1"/>
          <w:sz w:val="44"/>
          <w:szCs w:val="44"/>
          <w14:textOutline w14:w="5448" w14:cap="flat" w14:cmpd="sng" w14:algn="ctr">
            <w14:solidFill>
              <w14:srgbClr w14:val="000000"/>
            </w14:solidFill>
            <w14:prstDash w14:val="solid"/>
            <w14:miter w14:val="0"/>
          </w14:textOutline>
        </w:rPr>
      </w:pPr>
      <w:r>
        <w:rPr>
          <w:rFonts w:ascii="Times New Roman" w:hAnsi="Times New Roman" w:eastAsia="宋体" w:cs="Times New Roman"/>
          <w:b w:val="0"/>
          <w:bCs w:val="0"/>
          <w:color w:val="auto"/>
          <w:spacing w:val="-1"/>
          <w:sz w:val="44"/>
          <w:szCs w:val="44"/>
          <w14:textOutline w14:w="5448" w14:cap="flat" w14:cmpd="sng" w14:algn="ctr">
            <w14:solidFill>
              <w14:srgbClr w14:val="000000"/>
            </w14:solidFill>
            <w14:prstDash w14:val="solid"/>
            <w14:miter w14:val="0"/>
          </w14:textOutline>
        </w:rPr>
        <w:t>企业基本情况表</w:t>
      </w:r>
    </w:p>
    <w:p w14:paraId="3A001A4A">
      <w:pPr>
        <w:spacing w:before="57"/>
        <w:rPr>
          <w:rFonts w:ascii="Times New Roman" w:hAnsi="Times New Roman" w:cs="Times New Roman"/>
          <w:color w:val="auto"/>
        </w:rPr>
      </w:pPr>
    </w:p>
    <w:tbl>
      <w:tblPr>
        <w:tblStyle w:val="22"/>
        <w:tblW w:w="9039" w:type="dxa"/>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63"/>
        <w:gridCol w:w="2157"/>
        <w:gridCol w:w="1099"/>
        <w:gridCol w:w="1348"/>
        <w:gridCol w:w="160"/>
        <w:gridCol w:w="1009"/>
        <w:gridCol w:w="1503"/>
      </w:tblGrid>
      <w:tr w14:paraId="454D4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1763" w:type="dxa"/>
          </w:tcPr>
          <w:p w14:paraId="1AB9C510">
            <w:pPr>
              <w:pStyle w:val="25"/>
              <w:spacing w:before="255" w:line="220" w:lineRule="auto"/>
              <w:ind w:left="275"/>
              <w:rPr>
                <w:rFonts w:ascii="Times New Roman" w:hAnsi="Times New Roman" w:cs="Times New Roman"/>
                <w:color w:val="auto"/>
                <w:sz w:val="24"/>
                <w:szCs w:val="24"/>
              </w:rPr>
            </w:pPr>
            <w:r>
              <w:rPr>
                <w:rFonts w:ascii="Times New Roman" w:hAnsi="Times New Roman" w:cs="Times New Roman"/>
                <w:color w:val="auto"/>
                <w:spacing w:val="2"/>
                <w:sz w:val="24"/>
                <w:szCs w:val="24"/>
                <w:lang w:eastAsia="zh-CN"/>
              </w:rPr>
              <w:t>企业</w:t>
            </w:r>
            <w:r>
              <w:rPr>
                <w:rFonts w:ascii="Times New Roman" w:hAnsi="Times New Roman" w:cs="Times New Roman"/>
                <w:color w:val="auto"/>
                <w:spacing w:val="2"/>
                <w:sz w:val="24"/>
                <w:szCs w:val="24"/>
              </w:rPr>
              <w:t>名称</w:t>
            </w:r>
          </w:p>
        </w:tc>
        <w:tc>
          <w:tcPr>
            <w:tcW w:w="7276" w:type="dxa"/>
            <w:gridSpan w:val="6"/>
          </w:tcPr>
          <w:p w14:paraId="0566BE8C">
            <w:pPr>
              <w:rPr>
                <w:rFonts w:ascii="Times New Roman" w:hAnsi="Times New Roman" w:cs="Times New Roman"/>
                <w:color w:val="auto"/>
                <w:sz w:val="21"/>
              </w:rPr>
            </w:pPr>
          </w:p>
        </w:tc>
      </w:tr>
      <w:tr w14:paraId="2FCE7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763" w:type="dxa"/>
          </w:tcPr>
          <w:p w14:paraId="06435CF5">
            <w:pPr>
              <w:pStyle w:val="25"/>
              <w:spacing w:before="254" w:line="221" w:lineRule="auto"/>
              <w:ind w:left="514"/>
              <w:rPr>
                <w:rFonts w:ascii="Times New Roman" w:hAnsi="Times New Roman" w:cs="Times New Roman"/>
                <w:color w:val="auto"/>
                <w:sz w:val="24"/>
                <w:szCs w:val="24"/>
              </w:rPr>
            </w:pPr>
            <w:r>
              <w:rPr>
                <w:rFonts w:ascii="Times New Roman" w:hAnsi="Times New Roman" w:cs="Times New Roman"/>
                <w:color w:val="auto"/>
                <w:spacing w:val="3"/>
                <w:sz w:val="24"/>
                <w:szCs w:val="24"/>
              </w:rPr>
              <w:t>联系人</w:t>
            </w:r>
          </w:p>
        </w:tc>
        <w:tc>
          <w:tcPr>
            <w:tcW w:w="3256" w:type="dxa"/>
            <w:gridSpan w:val="2"/>
          </w:tcPr>
          <w:p w14:paraId="0FCADDB9">
            <w:pPr>
              <w:rPr>
                <w:rFonts w:ascii="Times New Roman" w:hAnsi="Times New Roman" w:cs="Times New Roman"/>
                <w:color w:val="auto"/>
                <w:sz w:val="21"/>
              </w:rPr>
            </w:pPr>
          </w:p>
        </w:tc>
        <w:tc>
          <w:tcPr>
            <w:tcW w:w="1348" w:type="dxa"/>
          </w:tcPr>
          <w:p w14:paraId="50848BFC">
            <w:pPr>
              <w:pStyle w:val="25"/>
              <w:spacing w:before="254" w:line="221" w:lineRule="auto"/>
              <w:ind w:left="426"/>
              <w:rPr>
                <w:rFonts w:ascii="Times New Roman" w:hAnsi="Times New Roman" w:cs="Times New Roman"/>
                <w:color w:val="auto"/>
                <w:sz w:val="24"/>
                <w:szCs w:val="24"/>
              </w:rPr>
            </w:pPr>
            <w:r>
              <w:rPr>
                <w:rFonts w:ascii="Times New Roman" w:hAnsi="Times New Roman" w:cs="Times New Roman"/>
                <w:color w:val="auto"/>
                <w:spacing w:val="4"/>
                <w:sz w:val="24"/>
                <w:szCs w:val="24"/>
              </w:rPr>
              <w:t>电话</w:t>
            </w:r>
          </w:p>
        </w:tc>
        <w:tc>
          <w:tcPr>
            <w:tcW w:w="2672" w:type="dxa"/>
            <w:gridSpan w:val="3"/>
          </w:tcPr>
          <w:p w14:paraId="7E9441DB">
            <w:pPr>
              <w:rPr>
                <w:rFonts w:ascii="Times New Roman" w:hAnsi="Times New Roman" w:cs="Times New Roman"/>
                <w:color w:val="auto"/>
                <w:sz w:val="21"/>
              </w:rPr>
            </w:pPr>
          </w:p>
        </w:tc>
      </w:tr>
      <w:tr w14:paraId="72E26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763" w:type="dxa"/>
          </w:tcPr>
          <w:p w14:paraId="62F2D4E0">
            <w:pPr>
              <w:pStyle w:val="25"/>
              <w:spacing w:before="253" w:line="221" w:lineRule="auto"/>
              <w:ind w:left="394"/>
              <w:rPr>
                <w:rFonts w:ascii="Times New Roman" w:hAnsi="Times New Roman" w:cs="Times New Roman"/>
                <w:color w:val="auto"/>
                <w:sz w:val="24"/>
                <w:szCs w:val="24"/>
              </w:rPr>
            </w:pPr>
            <w:r>
              <w:rPr>
                <w:rFonts w:ascii="Times New Roman" w:hAnsi="Times New Roman" w:cs="Times New Roman"/>
                <w:color w:val="auto"/>
                <w:spacing w:val="2"/>
                <w:sz w:val="24"/>
                <w:szCs w:val="24"/>
              </w:rPr>
              <w:t>注册地址</w:t>
            </w:r>
          </w:p>
        </w:tc>
        <w:tc>
          <w:tcPr>
            <w:tcW w:w="3256" w:type="dxa"/>
            <w:gridSpan w:val="2"/>
          </w:tcPr>
          <w:p w14:paraId="42C6EBDC">
            <w:pPr>
              <w:rPr>
                <w:rFonts w:ascii="Times New Roman" w:hAnsi="Times New Roman" w:cs="Times New Roman"/>
                <w:color w:val="auto"/>
                <w:sz w:val="21"/>
              </w:rPr>
            </w:pPr>
          </w:p>
        </w:tc>
        <w:tc>
          <w:tcPr>
            <w:tcW w:w="1348" w:type="dxa"/>
          </w:tcPr>
          <w:p w14:paraId="70A7F069">
            <w:pPr>
              <w:pStyle w:val="25"/>
              <w:spacing w:before="252" w:line="219" w:lineRule="auto"/>
              <w:ind w:left="186"/>
              <w:rPr>
                <w:rFonts w:ascii="Times New Roman" w:hAnsi="Times New Roman" w:cs="Times New Roman"/>
                <w:color w:val="auto"/>
                <w:sz w:val="24"/>
                <w:szCs w:val="24"/>
              </w:rPr>
            </w:pPr>
            <w:r>
              <w:rPr>
                <w:rFonts w:ascii="Times New Roman" w:hAnsi="Times New Roman" w:cs="Times New Roman"/>
                <w:color w:val="auto"/>
                <w:spacing w:val="3"/>
                <w:sz w:val="24"/>
                <w:szCs w:val="24"/>
              </w:rPr>
              <w:t>邮政编码</w:t>
            </w:r>
          </w:p>
        </w:tc>
        <w:tc>
          <w:tcPr>
            <w:tcW w:w="2672" w:type="dxa"/>
            <w:gridSpan w:val="3"/>
          </w:tcPr>
          <w:p w14:paraId="69ABE36C">
            <w:pPr>
              <w:rPr>
                <w:rFonts w:ascii="Times New Roman" w:hAnsi="Times New Roman" w:cs="Times New Roman"/>
                <w:color w:val="auto"/>
                <w:sz w:val="21"/>
              </w:rPr>
            </w:pPr>
          </w:p>
        </w:tc>
      </w:tr>
      <w:tr w14:paraId="2F665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1763" w:type="dxa"/>
            <w:vMerge w:val="restart"/>
            <w:tcBorders>
              <w:bottom w:val="nil"/>
            </w:tcBorders>
          </w:tcPr>
          <w:p w14:paraId="3A48D1A8">
            <w:pPr>
              <w:spacing w:line="272" w:lineRule="auto"/>
              <w:rPr>
                <w:rFonts w:ascii="Times New Roman" w:hAnsi="Times New Roman" w:cs="Times New Roman"/>
                <w:color w:val="auto"/>
                <w:sz w:val="21"/>
              </w:rPr>
            </w:pPr>
          </w:p>
          <w:p w14:paraId="0DBAB972">
            <w:pPr>
              <w:spacing w:line="272" w:lineRule="auto"/>
              <w:rPr>
                <w:rFonts w:ascii="Times New Roman" w:hAnsi="Times New Roman" w:cs="Times New Roman"/>
                <w:color w:val="auto"/>
                <w:sz w:val="21"/>
              </w:rPr>
            </w:pPr>
          </w:p>
          <w:p w14:paraId="318E3C6B">
            <w:pPr>
              <w:spacing w:line="272" w:lineRule="auto"/>
              <w:rPr>
                <w:rFonts w:ascii="Times New Roman" w:hAnsi="Times New Roman" w:cs="Times New Roman"/>
                <w:color w:val="auto"/>
                <w:sz w:val="21"/>
              </w:rPr>
            </w:pPr>
          </w:p>
          <w:p w14:paraId="561D3FA3">
            <w:pPr>
              <w:spacing w:line="272" w:lineRule="auto"/>
              <w:rPr>
                <w:rFonts w:ascii="Times New Roman" w:hAnsi="Times New Roman" w:cs="Times New Roman"/>
                <w:color w:val="auto"/>
                <w:sz w:val="21"/>
              </w:rPr>
            </w:pPr>
          </w:p>
          <w:p w14:paraId="267591B7">
            <w:pPr>
              <w:pStyle w:val="25"/>
              <w:spacing w:before="78" w:line="225" w:lineRule="auto"/>
              <w:ind w:left="333" w:right="89" w:hanging="239"/>
              <w:jc w:val="center"/>
              <w:rPr>
                <w:rFonts w:ascii="Times New Roman" w:hAnsi="Times New Roman" w:cs="Times New Roman"/>
                <w:color w:val="auto"/>
                <w:spacing w:val="1"/>
                <w:sz w:val="24"/>
                <w:szCs w:val="24"/>
                <w:lang w:eastAsia="zh-CN"/>
              </w:rPr>
            </w:pPr>
            <w:r>
              <w:rPr>
                <w:rFonts w:ascii="Times New Roman" w:hAnsi="Times New Roman" w:cs="Times New Roman"/>
                <w:color w:val="auto"/>
                <w:spacing w:val="1"/>
                <w:sz w:val="24"/>
                <w:szCs w:val="24"/>
                <w:lang w:eastAsia="zh-CN"/>
              </w:rPr>
              <w:t>有关责任人</w:t>
            </w:r>
          </w:p>
          <w:p w14:paraId="513B917E">
            <w:pPr>
              <w:pStyle w:val="25"/>
              <w:spacing w:before="78" w:line="225" w:lineRule="auto"/>
              <w:ind w:left="333" w:right="89" w:hanging="239"/>
              <w:rPr>
                <w:rFonts w:ascii="Times New Roman" w:hAnsi="Times New Roman" w:cs="Times New Roman"/>
                <w:color w:val="auto"/>
                <w:sz w:val="24"/>
                <w:szCs w:val="24"/>
                <w:lang w:eastAsia="zh-CN"/>
              </w:rPr>
            </w:pPr>
            <w:r>
              <w:rPr>
                <w:rFonts w:ascii="Times New Roman" w:hAnsi="Times New Roman" w:cs="Times New Roman"/>
                <w:color w:val="auto"/>
                <w:spacing w:val="1"/>
                <w:sz w:val="24"/>
                <w:szCs w:val="24"/>
                <w:lang w:eastAsia="zh-CN"/>
              </w:rPr>
              <w:t>(法</w:t>
            </w:r>
            <w:r>
              <w:rPr>
                <w:rFonts w:ascii="Times New Roman" w:hAnsi="Times New Roman" w:cs="Times New Roman"/>
                <w:color w:val="auto"/>
                <w:spacing w:val="10"/>
                <w:sz w:val="24"/>
                <w:szCs w:val="24"/>
                <w:lang w:eastAsia="zh-CN"/>
              </w:rPr>
              <w:t>律责任人)</w:t>
            </w:r>
          </w:p>
        </w:tc>
        <w:tc>
          <w:tcPr>
            <w:tcW w:w="2157" w:type="dxa"/>
          </w:tcPr>
          <w:p w14:paraId="3675D714">
            <w:pPr>
              <w:pStyle w:val="25"/>
              <w:spacing w:before="144" w:line="217" w:lineRule="auto"/>
              <w:ind w:left="240" w:leftChars="100"/>
              <w:jc w:val="center"/>
              <w:rPr>
                <w:rFonts w:ascii="Times New Roman" w:hAnsi="Times New Roman" w:cs="Times New Roman"/>
                <w:color w:val="auto"/>
                <w:spacing w:val="-3"/>
                <w:sz w:val="24"/>
                <w:szCs w:val="24"/>
                <w:lang w:eastAsia="zh-CN"/>
              </w:rPr>
            </w:pPr>
            <w:r>
              <w:rPr>
                <w:rFonts w:ascii="Times New Roman" w:hAnsi="Times New Roman" w:cs="Times New Roman"/>
                <w:color w:val="auto"/>
                <w:spacing w:val="-3"/>
                <w:sz w:val="24"/>
                <w:szCs w:val="24"/>
                <w:lang w:eastAsia="zh-CN"/>
              </w:rPr>
              <w:t>直接责任人员为本次响应委托授权代表</w:t>
            </w:r>
          </w:p>
        </w:tc>
        <w:tc>
          <w:tcPr>
            <w:tcW w:w="1099" w:type="dxa"/>
          </w:tcPr>
          <w:p w14:paraId="7E4F70C8">
            <w:pPr>
              <w:rPr>
                <w:rFonts w:ascii="Times New Roman" w:hAnsi="Times New Roman" w:cs="Times New Roman"/>
                <w:color w:val="auto"/>
                <w:sz w:val="21"/>
              </w:rPr>
            </w:pPr>
          </w:p>
        </w:tc>
        <w:tc>
          <w:tcPr>
            <w:tcW w:w="1348" w:type="dxa"/>
          </w:tcPr>
          <w:p w14:paraId="3E6D2A19">
            <w:pPr>
              <w:pStyle w:val="25"/>
              <w:spacing w:before="256" w:line="221" w:lineRule="auto"/>
              <w:ind w:left="426"/>
              <w:rPr>
                <w:rFonts w:ascii="Times New Roman" w:hAnsi="Times New Roman" w:cs="Times New Roman"/>
                <w:color w:val="auto"/>
                <w:sz w:val="24"/>
                <w:szCs w:val="24"/>
              </w:rPr>
            </w:pPr>
            <w:r>
              <w:rPr>
                <w:rFonts w:ascii="Times New Roman" w:hAnsi="Times New Roman" w:cs="Times New Roman"/>
                <w:color w:val="auto"/>
                <w:spacing w:val="4"/>
                <w:sz w:val="24"/>
                <w:szCs w:val="24"/>
              </w:rPr>
              <w:t>电话</w:t>
            </w:r>
          </w:p>
        </w:tc>
        <w:tc>
          <w:tcPr>
            <w:tcW w:w="2672" w:type="dxa"/>
            <w:gridSpan w:val="3"/>
          </w:tcPr>
          <w:p w14:paraId="27CCB5E4">
            <w:pPr>
              <w:rPr>
                <w:rFonts w:ascii="Times New Roman" w:hAnsi="Times New Roman" w:cs="Times New Roman"/>
                <w:color w:val="auto"/>
                <w:sz w:val="21"/>
              </w:rPr>
            </w:pPr>
          </w:p>
        </w:tc>
      </w:tr>
      <w:tr w14:paraId="28965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1763" w:type="dxa"/>
            <w:vMerge w:val="continue"/>
            <w:tcBorders>
              <w:top w:val="nil"/>
              <w:bottom w:val="nil"/>
            </w:tcBorders>
          </w:tcPr>
          <w:p w14:paraId="3613D96D">
            <w:pPr>
              <w:rPr>
                <w:rFonts w:ascii="Times New Roman" w:hAnsi="Times New Roman" w:cs="Times New Roman"/>
                <w:color w:val="auto"/>
                <w:sz w:val="21"/>
              </w:rPr>
            </w:pPr>
          </w:p>
        </w:tc>
        <w:tc>
          <w:tcPr>
            <w:tcW w:w="2157" w:type="dxa"/>
          </w:tcPr>
          <w:p w14:paraId="24681F66">
            <w:pPr>
              <w:pStyle w:val="25"/>
              <w:spacing w:before="144" w:line="217" w:lineRule="auto"/>
              <w:ind w:left="240" w:leftChars="100"/>
              <w:jc w:val="center"/>
              <w:rPr>
                <w:rFonts w:ascii="Times New Roman" w:hAnsi="Times New Roman" w:cs="Times New Roman"/>
                <w:color w:val="auto"/>
                <w:spacing w:val="-3"/>
                <w:sz w:val="24"/>
                <w:szCs w:val="24"/>
              </w:rPr>
            </w:pPr>
            <w:r>
              <w:rPr>
                <w:rFonts w:ascii="Times New Roman" w:hAnsi="Times New Roman" w:cs="Times New Roman"/>
                <w:color w:val="auto"/>
                <w:spacing w:val="-3"/>
                <w:sz w:val="24"/>
                <w:szCs w:val="24"/>
              </w:rPr>
              <w:t>身份证号</w:t>
            </w:r>
          </w:p>
        </w:tc>
        <w:tc>
          <w:tcPr>
            <w:tcW w:w="1099" w:type="dxa"/>
          </w:tcPr>
          <w:p w14:paraId="29F49193">
            <w:pPr>
              <w:rPr>
                <w:rFonts w:ascii="Times New Roman" w:hAnsi="Times New Roman" w:cs="Times New Roman"/>
                <w:color w:val="auto"/>
                <w:sz w:val="21"/>
              </w:rPr>
            </w:pPr>
          </w:p>
        </w:tc>
        <w:tc>
          <w:tcPr>
            <w:tcW w:w="1348" w:type="dxa"/>
          </w:tcPr>
          <w:p w14:paraId="75A25938">
            <w:pPr>
              <w:pStyle w:val="25"/>
              <w:spacing w:before="254" w:line="221" w:lineRule="auto"/>
              <w:ind w:left="426"/>
              <w:rPr>
                <w:rFonts w:ascii="Times New Roman" w:hAnsi="Times New Roman" w:cs="Times New Roman"/>
                <w:color w:val="auto"/>
                <w:sz w:val="24"/>
                <w:szCs w:val="24"/>
              </w:rPr>
            </w:pPr>
            <w:r>
              <w:rPr>
                <w:rFonts w:ascii="Times New Roman" w:hAnsi="Times New Roman" w:cs="Times New Roman"/>
                <w:color w:val="auto"/>
                <w:spacing w:val="-3"/>
                <w:sz w:val="24"/>
                <w:szCs w:val="24"/>
              </w:rPr>
              <w:t>住址</w:t>
            </w:r>
          </w:p>
        </w:tc>
        <w:tc>
          <w:tcPr>
            <w:tcW w:w="2672" w:type="dxa"/>
            <w:gridSpan w:val="3"/>
          </w:tcPr>
          <w:p w14:paraId="76A59050">
            <w:pPr>
              <w:rPr>
                <w:rFonts w:ascii="Times New Roman" w:hAnsi="Times New Roman" w:cs="Times New Roman"/>
                <w:color w:val="auto"/>
                <w:sz w:val="21"/>
              </w:rPr>
            </w:pPr>
          </w:p>
        </w:tc>
      </w:tr>
      <w:tr w14:paraId="31DE5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1763" w:type="dxa"/>
            <w:vMerge w:val="continue"/>
            <w:tcBorders>
              <w:top w:val="nil"/>
              <w:bottom w:val="nil"/>
            </w:tcBorders>
          </w:tcPr>
          <w:p w14:paraId="09F052BC">
            <w:pPr>
              <w:rPr>
                <w:rFonts w:ascii="Times New Roman" w:hAnsi="Times New Roman" w:cs="Times New Roman"/>
                <w:color w:val="auto"/>
                <w:sz w:val="21"/>
              </w:rPr>
            </w:pPr>
          </w:p>
        </w:tc>
        <w:tc>
          <w:tcPr>
            <w:tcW w:w="2157" w:type="dxa"/>
          </w:tcPr>
          <w:p w14:paraId="1E41AD84">
            <w:pPr>
              <w:pStyle w:val="25"/>
              <w:spacing w:before="144" w:line="217" w:lineRule="auto"/>
              <w:ind w:left="240" w:leftChars="100"/>
              <w:jc w:val="center"/>
              <w:rPr>
                <w:rFonts w:ascii="Times New Roman" w:hAnsi="Times New Roman" w:cs="Times New Roman"/>
                <w:color w:val="auto"/>
                <w:spacing w:val="-3"/>
                <w:sz w:val="24"/>
                <w:szCs w:val="24"/>
                <w:lang w:eastAsia="zh-CN"/>
              </w:rPr>
            </w:pPr>
            <w:r>
              <w:rPr>
                <w:rFonts w:ascii="Times New Roman" w:hAnsi="Times New Roman" w:cs="Times New Roman"/>
                <w:color w:val="auto"/>
                <w:spacing w:val="-3"/>
                <w:sz w:val="24"/>
                <w:szCs w:val="24"/>
                <w:lang w:eastAsia="zh-CN"/>
              </w:rPr>
              <w:t>主管人员为法定代表人</w:t>
            </w:r>
          </w:p>
        </w:tc>
        <w:tc>
          <w:tcPr>
            <w:tcW w:w="1099" w:type="dxa"/>
          </w:tcPr>
          <w:p w14:paraId="60D32E7A">
            <w:pPr>
              <w:rPr>
                <w:rFonts w:ascii="Times New Roman" w:hAnsi="Times New Roman" w:cs="Times New Roman"/>
                <w:color w:val="auto"/>
                <w:sz w:val="21"/>
              </w:rPr>
            </w:pPr>
          </w:p>
        </w:tc>
        <w:tc>
          <w:tcPr>
            <w:tcW w:w="1348" w:type="dxa"/>
          </w:tcPr>
          <w:p w14:paraId="4CF95411">
            <w:pPr>
              <w:pStyle w:val="25"/>
              <w:spacing w:before="257" w:line="221" w:lineRule="auto"/>
              <w:ind w:left="426"/>
              <w:rPr>
                <w:rFonts w:ascii="Times New Roman" w:hAnsi="Times New Roman" w:cs="Times New Roman"/>
                <w:color w:val="auto"/>
                <w:sz w:val="24"/>
                <w:szCs w:val="24"/>
              </w:rPr>
            </w:pPr>
            <w:r>
              <w:rPr>
                <w:rFonts w:ascii="Times New Roman" w:hAnsi="Times New Roman" w:cs="Times New Roman"/>
                <w:color w:val="auto"/>
                <w:spacing w:val="4"/>
                <w:sz w:val="24"/>
                <w:szCs w:val="24"/>
              </w:rPr>
              <w:t>电话</w:t>
            </w:r>
          </w:p>
        </w:tc>
        <w:tc>
          <w:tcPr>
            <w:tcW w:w="2672" w:type="dxa"/>
            <w:gridSpan w:val="3"/>
          </w:tcPr>
          <w:p w14:paraId="2F45A071">
            <w:pPr>
              <w:rPr>
                <w:rFonts w:ascii="Times New Roman" w:hAnsi="Times New Roman" w:cs="Times New Roman"/>
                <w:color w:val="auto"/>
                <w:sz w:val="21"/>
              </w:rPr>
            </w:pPr>
          </w:p>
        </w:tc>
      </w:tr>
      <w:tr w14:paraId="4F849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763" w:type="dxa"/>
            <w:vMerge w:val="continue"/>
            <w:tcBorders>
              <w:top w:val="nil"/>
            </w:tcBorders>
          </w:tcPr>
          <w:p w14:paraId="5EEB9A29">
            <w:pPr>
              <w:rPr>
                <w:rFonts w:ascii="Times New Roman" w:hAnsi="Times New Roman" w:cs="Times New Roman"/>
                <w:color w:val="auto"/>
                <w:sz w:val="21"/>
              </w:rPr>
            </w:pPr>
          </w:p>
        </w:tc>
        <w:tc>
          <w:tcPr>
            <w:tcW w:w="2157" w:type="dxa"/>
          </w:tcPr>
          <w:p w14:paraId="1796CDA1">
            <w:pPr>
              <w:pStyle w:val="25"/>
              <w:spacing w:before="184" w:line="219" w:lineRule="auto"/>
              <w:ind w:left="591"/>
              <w:rPr>
                <w:rFonts w:ascii="Times New Roman" w:hAnsi="Times New Roman" w:cs="Times New Roman"/>
                <w:color w:val="auto"/>
                <w:sz w:val="24"/>
                <w:szCs w:val="24"/>
              </w:rPr>
            </w:pPr>
            <w:r>
              <w:rPr>
                <w:rFonts w:ascii="Times New Roman" w:hAnsi="Times New Roman" w:cs="Times New Roman"/>
                <w:color w:val="auto"/>
                <w:spacing w:val="3"/>
                <w:sz w:val="24"/>
                <w:szCs w:val="24"/>
              </w:rPr>
              <w:t>身份证号</w:t>
            </w:r>
          </w:p>
        </w:tc>
        <w:tc>
          <w:tcPr>
            <w:tcW w:w="1099" w:type="dxa"/>
          </w:tcPr>
          <w:p w14:paraId="4EC4FDCF">
            <w:pPr>
              <w:rPr>
                <w:rFonts w:ascii="Times New Roman" w:hAnsi="Times New Roman" w:cs="Times New Roman"/>
                <w:color w:val="auto"/>
                <w:sz w:val="21"/>
              </w:rPr>
            </w:pPr>
          </w:p>
        </w:tc>
        <w:tc>
          <w:tcPr>
            <w:tcW w:w="1348" w:type="dxa"/>
          </w:tcPr>
          <w:p w14:paraId="0D2CF871">
            <w:pPr>
              <w:pStyle w:val="25"/>
              <w:spacing w:before="185" w:line="221" w:lineRule="auto"/>
              <w:ind w:left="426"/>
              <w:rPr>
                <w:rFonts w:ascii="Times New Roman" w:hAnsi="Times New Roman" w:cs="Times New Roman"/>
                <w:color w:val="auto"/>
                <w:sz w:val="24"/>
                <w:szCs w:val="24"/>
              </w:rPr>
            </w:pPr>
            <w:r>
              <w:rPr>
                <w:rFonts w:ascii="Times New Roman" w:hAnsi="Times New Roman" w:cs="Times New Roman"/>
                <w:color w:val="auto"/>
                <w:spacing w:val="-3"/>
                <w:sz w:val="24"/>
                <w:szCs w:val="24"/>
              </w:rPr>
              <w:t>住址</w:t>
            </w:r>
          </w:p>
        </w:tc>
        <w:tc>
          <w:tcPr>
            <w:tcW w:w="2672" w:type="dxa"/>
            <w:gridSpan w:val="3"/>
          </w:tcPr>
          <w:p w14:paraId="7649F9DB">
            <w:pPr>
              <w:rPr>
                <w:rFonts w:ascii="Times New Roman" w:hAnsi="Times New Roman" w:cs="Times New Roman"/>
                <w:color w:val="auto"/>
                <w:sz w:val="21"/>
              </w:rPr>
            </w:pPr>
          </w:p>
        </w:tc>
      </w:tr>
      <w:tr w14:paraId="5E3EF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763" w:type="dxa"/>
          </w:tcPr>
          <w:p w14:paraId="1A62CBE2">
            <w:pPr>
              <w:pStyle w:val="25"/>
              <w:spacing w:before="184" w:line="220" w:lineRule="auto"/>
              <w:ind w:left="394"/>
              <w:rPr>
                <w:rFonts w:ascii="Times New Roman" w:hAnsi="Times New Roman" w:cs="Times New Roman"/>
                <w:color w:val="auto"/>
                <w:sz w:val="24"/>
                <w:szCs w:val="24"/>
              </w:rPr>
            </w:pPr>
            <w:r>
              <w:rPr>
                <w:rFonts w:ascii="Times New Roman" w:hAnsi="Times New Roman" w:cs="Times New Roman"/>
                <w:color w:val="auto"/>
                <w:spacing w:val="3"/>
                <w:sz w:val="24"/>
                <w:szCs w:val="24"/>
              </w:rPr>
              <w:t>组织结构</w:t>
            </w:r>
          </w:p>
        </w:tc>
        <w:tc>
          <w:tcPr>
            <w:tcW w:w="7276" w:type="dxa"/>
            <w:gridSpan w:val="6"/>
          </w:tcPr>
          <w:p w14:paraId="3002FF95">
            <w:pPr>
              <w:rPr>
                <w:rFonts w:ascii="Times New Roman" w:hAnsi="Times New Roman" w:cs="Times New Roman"/>
                <w:color w:val="auto"/>
                <w:sz w:val="21"/>
              </w:rPr>
            </w:pPr>
          </w:p>
        </w:tc>
      </w:tr>
      <w:tr w14:paraId="1F5BB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763" w:type="dxa"/>
          </w:tcPr>
          <w:p w14:paraId="4CDE9510">
            <w:pPr>
              <w:pStyle w:val="25"/>
              <w:spacing w:before="175" w:line="219" w:lineRule="auto"/>
              <w:ind w:left="275"/>
              <w:rPr>
                <w:rFonts w:ascii="Times New Roman" w:hAnsi="Times New Roman" w:cs="Times New Roman"/>
                <w:color w:val="auto"/>
                <w:sz w:val="24"/>
                <w:szCs w:val="24"/>
              </w:rPr>
            </w:pPr>
            <w:r>
              <w:rPr>
                <w:rFonts w:ascii="Times New Roman" w:hAnsi="Times New Roman" w:cs="Times New Roman"/>
                <w:color w:val="auto"/>
                <w:spacing w:val="2"/>
                <w:sz w:val="24"/>
                <w:szCs w:val="24"/>
              </w:rPr>
              <w:t>法定代表人</w:t>
            </w:r>
          </w:p>
        </w:tc>
        <w:tc>
          <w:tcPr>
            <w:tcW w:w="2157" w:type="dxa"/>
          </w:tcPr>
          <w:p w14:paraId="4352556A">
            <w:pPr>
              <w:pStyle w:val="25"/>
              <w:spacing w:before="175" w:line="219" w:lineRule="auto"/>
              <w:ind w:left="831"/>
              <w:rPr>
                <w:rFonts w:ascii="Times New Roman" w:hAnsi="Times New Roman" w:cs="Times New Roman"/>
                <w:color w:val="auto"/>
                <w:sz w:val="24"/>
                <w:szCs w:val="24"/>
              </w:rPr>
            </w:pPr>
            <w:r>
              <w:rPr>
                <w:rFonts w:ascii="Times New Roman" w:hAnsi="Times New Roman" w:cs="Times New Roman"/>
                <w:color w:val="auto"/>
                <w:spacing w:val="15"/>
                <w:sz w:val="24"/>
                <w:szCs w:val="24"/>
              </w:rPr>
              <w:t>姓名</w:t>
            </w:r>
          </w:p>
        </w:tc>
        <w:tc>
          <w:tcPr>
            <w:tcW w:w="1099" w:type="dxa"/>
          </w:tcPr>
          <w:p w14:paraId="1BCB36F2">
            <w:pPr>
              <w:pStyle w:val="25"/>
              <w:spacing w:before="175" w:line="219" w:lineRule="auto"/>
              <w:ind w:left="64"/>
              <w:rPr>
                <w:rFonts w:ascii="Times New Roman" w:hAnsi="Times New Roman" w:cs="Times New Roman"/>
                <w:color w:val="auto"/>
                <w:sz w:val="24"/>
                <w:szCs w:val="24"/>
              </w:rPr>
            </w:pPr>
            <w:r>
              <w:rPr>
                <w:rFonts w:ascii="Times New Roman" w:hAnsi="Times New Roman" w:cs="Times New Roman"/>
                <w:color w:val="auto"/>
                <w:spacing w:val="3"/>
                <w:sz w:val="24"/>
                <w:szCs w:val="24"/>
              </w:rPr>
              <w:t>技术职称</w:t>
            </w:r>
          </w:p>
        </w:tc>
        <w:tc>
          <w:tcPr>
            <w:tcW w:w="1508" w:type="dxa"/>
            <w:gridSpan w:val="2"/>
          </w:tcPr>
          <w:p w14:paraId="0EEA603D">
            <w:pPr>
              <w:rPr>
                <w:rFonts w:ascii="Times New Roman" w:hAnsi="Times New Roman" w:cs="Times New Roman"/>
                <w:color w:val="auto"/>
                <w:sz w:val="21"/>
              </w:rPr>
            </w:pPr>
          </w:p>
        </w:tc>
        <w:tc>
          <w:tcPr>
            <w:tcW w:w="1009" w:type="dxa"/>
          </w:tcPr>
          <w:p w14:paraId="4BE0B63A">
            <w:pPr>
              <w:pStyle w:val="25"/>
              <w:spacing w:before="178" w:line="221" w:lineRule="auto"/>
              <w:ind w:left="258"/>
              <w:rPr>
                <w:rFonts w:ascii="Times New Roman" w:hAnsi="Times New Roman" w:cs="Times New Roman"/>
                <w:color w:val="auto"/>
                <w:sz w:val="24"/>
                <w:szCs w:val="24"/>
              </w:rPr>
            </w:pPr>
            <w:r>
              <w:rPr>
                <w:rFonts w:ascii="Times New Roman" w:hAnsi="Times New Roman" w:cs="Times New Roman"/>
                <w:color w:val="auto"/>
                <w:spacing w:val="4"/>
                <w:sz w:val="24"/>
                <w:szCs w:val="24"/>
              </w:rPr>
              <w:t>电话</w:t>
            </w:r>
          </w:p>
        </w:tc>
        <w:tc>
          <w:tcPr>
            <w:tcW w:w="1503" w:type="dxa"/>
          </w:tcPr>
          <w:p w14:paraId="7149F4BD">
            <w:pPr>
              <w:rPr>
                <w:rFonts w:ascii="Times New Roman" w:hAnsi="Times New Roman" w:cs="Times New Roman"/>
                <w:color w:val="auto"/>
                <w:sz w:val="21"/>
              </w:rPr>
            </w:pPr>
          </w:p>
        </w:tc>
      </w:tr>
      <w:tr w14:paraId="0345C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763" w:type="dxa"/>
          </w:tcPr>
          <w:p w14:paraId="336B71C7">
            <w:pPr>
              <w:pStyle w:val="25"/>
              <w:spacing w:before="186" w:line="219" w:lineRule="auto"/>
              <w:jc w:val="center"/>
              <w:rPr>
                <w:rFonts w:ascii="Times New Roman" w:hAnsi="Times New Roman" w:cs="Times New Roman"/>
                <w:color w:val="auto"/>
                <w:sz w:val="24"/>
                <w:szCs w:val="24"/>
              </w:rPr>
            </w:pPr>
            <w:r>
              <w:rPr>
                <w:rFonts w:ascii="Times New Roman" w:hAnsi="Times New Roman" w:cs="Times New Roman"/>
                <w:color w:val="auto"/>
                <w:spacing w:val="2"/>
                <w:sz w:val="24"/>
                <w:szCs w:val="24"/>
                <w:lang w:eastAsia="zh-CN"/>
              </w:rPr>
              <w:t>企业</w:t>
            </w:r>
            <w:r>
              <w:rPr>
                <w:rFonts w:ascii="Times New Roman" w:hAnsi="Times New Roman" w:cs="Times New Roman"/>
                <w:color w:val="auto"/>
                <w:spacing w:val="2"/>
                <w:sz w:val="24"/>
                <w:szCs w:val="24"/>
              </w:rPr>
              <w:t>技术负责人</w:t>
            </w:r>
          </w:p>
        </w:tc>
        <w:tc>
          <w:tcPr>
            <w:tcW w:w="2157" w:type="dxa"/>
          </w:tcPr>
          <w:p w14:paraId="2D0EE09B">
            <w:pPr>
              <w:pStyle w:val="25"/>
              <w:spacing w:before="186" w:line="219" w:lineRule="auto"/>
              <w:ind w:left="831"/>
              <w:rPr>
                <w:rFonts w:ascii="Times New Roman" w:hAnsi="Times New Roman" w:cs="Times New Roman"/>
                <w:color w:val="auto"/>
                <w:sz w:val="24"/>
                <w:szCs w:val="24"/>
              </w:rPr>
            </w:pPr>
            <w:r>
              <w:rPr>
                <w:rFonts w:ascii="Times New Roman" w:hAnsi="Times New Roman" w:cs="Times New Roman"/>
                <w:color w:val="auto"/>
                <w:spacing w:val="15"/>
                <w:sz w:val="24"/>
                <w:szCs w:val="24"/>
              </w:rPr>
              <w:t>姓名</w:t>
            </w:r>
          </w:p>
        </w:tc>
        <w:tc>
          <w:tcPr>
            <w:tcW w:w="1099" w:type="dxa"/>
          </w:tcPr>
          <w:p w14:paraId="3BE69C8B">
            <w:pPr>
              <w:pStyle w:val="25"/>
              <w:spacing w:before="186" w:line="219" w:lineRule="auto"/>
              <w:ind w:left="64"/>
              <w:rPr>
                <w:rFonts w:ascii="Times New Roman" w:hAnsi="Times New Roman" w:cs="Times New Roman"/>
                <w:color w:val="auto"/>
                <w:sz w:val="24"/>
                <w:szCs w:val="24"/>
              </w:rPr>
            </w:pPr>
            <w:r>
              <w:rPr>
                <w:rFonts w:ascii="Times New Roman" w:hAnsi="Times New Roman" w:cs="Times New Roman"/>
                <w:color w:val="auto"/>
                <w:spacing w:val="3"/>
                <w:sz w:val="24"/>
                <w:szCs w:val="24"/>
              </w:rPr>
              <w:t>技术职称</w:t>
            </w:r>
          </w:p>
        </w:tc>
        <w:tc>
          <w:tcPr>
            <w:tcW w:w="1508" w:type="dxa"/>
            <w:gridSpan w:val="2"/>
          </w:tcPr>
          <w:p w14:paraId="5B68C63D">
            <w:pPr>
              <w:rPr>
                <w:rFonts w:ascii="Times New Roman" w:hAnsi="Times New Roman" w:cs="Times New Roman"/>
                <w:color w:val="auto"/>
                <w:sz w:val="21"/>
              </w:rPr>
            </w:pPr>
          </w:p>
        </w:tc>
        <w:tc>
          <w:tcPr>
            <w:tcW w:w="1009" w:type="dxa"/>
          </w:tcPr>
          <w:p w14:paraId="4BC6A4AE">
            <w:pPr>
              <w:pStyle w:val="25"/>
              <w:spacing w:before="189" w:line="221" w:lineRule="auto"/>
              <w:ind w:left="258"/>
              <w:rPr>
                <w:rFonts w:ascii="Times New Roman" w:hAnsi="Times New Roman" w:cs="Times New Roman"/>
                <w:color w:val="auto"/>
                <w:sz w:val="24"/>
                <w:szCs w:val="24"/>
              </w:rPr>
            </w:pPr>
            <w:r>
              <w:rPr>
                <w:rFonts w:ascii="Times New Roman" w:hAnsi="Times New Roman" w:cs="Times New Roman"/>
                <w:color w:val="auto"/>
                <w:spacing w:val="4"/>
                <w:sz w:val="24"/>
                <w:szCs w:val="24"/>
              </w:rPr>
              <w:t>电话</w:t>
            </w:r>
          </w:p>
        </w:tc>
        <w:tc>
          <w:tcPr>
            <w:tcW w:w="1503" w:type="dxa"/>
          </w:tcPr>
          <w:p w14:paraId="15D2C944">
            <w:pPr>
              <w:rPr>
                <w:rFonts w:ascii="Times New Roman" w:hAnsi="Times New Roman" w:cs="Times New Roman"/>
                <w:color w:val="auto"/>
                <w:sz w:val="21"/>
              </w:rPr>
            </w:pPr>
          </w:p>
        </w:tc>
      </w:tr>
      <w:tr w14:paraId="1939D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763" w:type="dxa"/>
          </w:tcPr>
          <w:p w14:paraId="7C34BAB6">
            <w:pPr>
              <w:pStyle w:val="25"/>
              <w:spacing w:before="187" w:line="221" w:lineRule="auto"/>
              <w:ind w:left="394"/>
              <w:rPr>
                <w:rFonts w:ascii="Times New Roman" w:hAnsi="Times New Roman" w:cs="Times New Roman"/>
                <w:color w:val="auto"/>
                <w:sz w:val="24"/>
                <w:szCs w:val="24"/>
              </w:rPr>
            </w:pPr>
            <w:r>
              <w:rPr>
                <w:rFonts w:ascii="Times New Roman" w:hAnsi="Times New Roman" w:cs="Times New Roman"/>
                <w:color w:val="auto"/>
                <w:spacing w:val="5"/>
                <w:sz w:val="24"/>
                <w:szCs w:val="24"/>
              </w:rPr>
              <w:t>成立时间</w:t>
            </w:r>
          </w:p>
        </w:tc>
        <w:tc>
          <w:tcPr>
            <w:tcW w:w="2157" w:type="dxa"/>
          </w:tcPr>
          <w:p w14:paraId="3D3742A3">
            <w:pPr>
              <w:rPr>
                <w:rFonts w:ascii="Times New Roman" w:hAnsi="Times New Roman" w:cs="Times New Roman"/>
                <w:color w:val="auto"/>
                <w:sz w:val="21"/>
              </w:rPr>
            </w:pPr>
          </w:p>
        </w:tc>
        <w:tc>
          <w:tcPr>
            <w:tcW w:w="5119" w:type="dxa"/>
            <w:gridSpan w:val="5"/>
          </w:tcPr>
          <w:p w14:paraId="0D8D5557">
            <w:pPr>
              <w:pStyle w:val="25"/>
              <w:spacing w:before="186" w:line="219" w:lineRule="auto"/>
              <w:ind w:left="34"/>
              <w:rPr>
                <w:rFonts w:ascii="Times New Roman" w:hAnsi="Times New Roman" w:cs="Times New Roman"/>
                <w:color w:val="auto"/>
                <w:sz w:val="24"/>
                <w:szCs w:val="24"/>
              </w:rPr>
            </w:pPr>
            <w:r>
              <w:rPr>
                <w:rFonts w:ascii="Times New Roman" w:hAnsi="Times New Roman" w:cs="Times New Roman"/>
                <w:color w:val="auto"/>
                <w:spacing w:val="-1"/>
                <w:sz w:val="24"/>
                <w:szCs w:val="24"/>
              </w:rPr>
              <w:t>员工总人数：</w:t>
            </w:r>
          </w:p>
        </w:tc>
      </w:tr>
      <w:tr w14:paraId="3FF69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763" w:type="dxa"/>
          </w:tcPr>
          <w:p w14:paraId="7CC1A12F">
            <w:pPr>
              <w:pStyle w:val="25"/>
              <w:spacing w:before="177" w:line="219" w:lineRule="auto"/>
              <w:ind w:left="154"/>
              <w:rPr>
                <w:rFonts w:ascii="Times New Roman" w:hAnsi="Times New Roman" w:cs="Times New Roman"/>
                <w:color w:val="auto"/>
                <w:sz w:val="24"/>
                <w:szCs w:val="24"/>
              </w:rPr>
            </w:pPr>
            <w:r>
              <w:rPr>
                <w:rFonts w:ascii="Times New Roman" w:hAnsi="Times New Roman" w:cs="Times New Roman"/>
                <w:color w:val="auto"/>
                <w:spacing w:val="2"/>
                <w:sz w:val="24"/>
                <w:szCs w:val="24"/>
              </w:rPr>
              <w:t>企业资质等级</w:t>
            </w:r>
          </w:p>
        </w:tc>
        <w:tc>
          <w:tcPr>
            <w:tcW w:w="2157" w:type="dxa"/>
          </w:tcPr>
          <w:p w14:paraId="29DA92F5">
            <w:pPr>
              <w:rPr>
                <w:rFonts w:ascii="Times New Roman" w:hAnsi="Times New Roman" w:cs="Times New Roman"/>
                <w:color w:val="auto"/>
                <w:sz w:val="21"/>
              </w:rPr>
            </w:pPr>
          </w:p>
        </w:tc>
        <w:tc>
          <w:tcPr>
            <w:tcW w:w="1099" w:type="dxa"/>
            <w:vMerge w:val="restart"/>
            <w:tcBorders>
              <w:bottom w:val="nil"/>
            </w:tcBorders>
          </w:tcPr>
          <w:p w14:paraId="3FE3FD52">
            <w:pPr>
              <w:spacing w:line="258" w:lineRule="auto"/>
              <w:rPr>
                <w:rFonts w:ascii="Times New Roman" w:hAnsi="Times New Roman" w:cs="Times New Roman"/>
                <w:color w:val="auto"/>
                <w:sz w:val="21"/>
              </w:rPr>
            </w:pPr>
          </w:p>
          <w:p w14:paraId="03BB4370">
            <w:pPr>
              <w:spacing w:line="258" w:lineRule="auto"/>
              <w:rPr>
                <w:rFonts w:ascii="Times New Roman" w:hAnsi="Times New Roman" w:cs="Times New Roman"/>
                <w:color w:val="auto"/>
                <w:sz w:val="21"/>
              </w:rPr>
            </w:pPr>
          </w:p>
          <w:p w14:paraId="793FA5DE">
            <w:pPr>
              <w:spacing w:line="258" w:lineRule="auto"/>
              <w:rPr>
                <w:rFonts w:ascii="Times New Roman" w:hAnsi="Times New Roman" w:cs="Times New Roman"/>
                <w:color w:val="auto"/>
                <w:sz w:val="21"/>
              </w:rPr>
            </w:pPr>
          </w:p>
          <w:p w14:paraId="2B67DC4F">
            <w:pPr>
              <w:spacing w:line="258" w:lineRule="auto"/>
              <w:rPr>
                <w:rFonts w:ascii="Times New Roman" w:hAnsi="Times New Roman" w:cs="Times New Roman"/>
                <w:color w:val="auto"/>
                <w:sz w:val="21"/>
              </w:rPr>
            </w:pPr>
          </w:p>
          <w:p w14:paraId="6E27BB14">
            <w:pPr>
              <w:spacing w:line="259" w:lineRule="auto"/>
              <w:rPr>
                <w:rFonts w:ascii="Times New Roman" w:hAnsi="Times New Roman" w:cs="Times New Roman"/>
                <w:color w:val="auto"/>
                <w:sz w:val="21"/>
              </w:rPr>
            </w:pPr>
          </w:p>
          <w:p w14:paraId="164D9F80">
            <w:pPr>
              <w:pStyle w:val="25"/>
              <w:spacing w:before="78" w:line="220" w:lineRule="auto"/>
              <w:ind w:left="304"/>
              <w:rPr>
                <w:rFonts w:ascii="Times New Roman" w:hAnsi="Times New Roman" w:cs="Times New Roman"/>
                <w:color w:val="auto"/>
                <w:sz w:val="24"/>
                <w:szCs w:val="24"/>
              </w:rPr>
            </w:pPr>
            <w:r>
              <w:rPr>
                <w:rFonts w:ascii="Times New Roman" w:hAnsi="Times New Roman" w:cs="Times New Roman"/>
                <w:color w:val="auto"/>
                <w:spacing w:val="13"/>
                <w:sz w:val="24"/>
                <w:szCs w:val="24"/>
              </w:rPr>
              <w:t>其中</w:t>
            </w:r>
          </w:p>
        </w:tc>
        <w:tc>
          <w:tcPr>
            <w:tcW w:w="1508" w:type="dxa"/>
            <w:gridSpan w:val="2"/>
          </w:tcPr>
          <w:p w14:paraId="029A4602">
            <w:pPr>
              <w:pStyle w:val="25"/>
              <w:spacing w:before="177" w:line="219" w:lineRule="auto"/>
              <w:ind w:left="146"/>
              <w:rPr>
                <w:rFonts w:ascii="Times New Roman" w:hAnsi="Times New Roman" w:cs="Times New Roman"/>
                <w:color w:val="auto"/>
                <w:sz w:val="24"/>
                <w:szCs w:val="24"/>
              </w:rPr>
            </w:pPr>
            <w:r>
              <w:rPr>
                <w:rFonts w:ascii="Times New Roman" w:hAnsi="Times New Roman" w:cs="Times New Roman"/>
                <w:color w:val="auto"/>
                <w:spacing w:val="2"/>
                <w:sz w:val="24"/>
                <w:szCs w:val="24"/>
              </w:rPr>
              <w:t>项目负责人</w:t>
            </w:r>
          </w:p>
        </w:tc>
        <w:tc>
          <w:tcPr>
            <w:tcW w:w="2512" w:type="dxa"/>
            <w:gridSpan w:val="2"/>
          </w:tcPr>
          <w:p w14:paraId="2CA3B5C4">
            <w:pPr>
              <w:rPr>
                <w:rFonts w:ascii="Times New Roman" w:hAnsi="Times New Roman" w:cs="Times New Roman"/>
                <w:color w:val="auto"/>
                <w:sz w:val="21"/>
              </w:rPr>
            </w:pPr>
          </w:p>
        </w:tc>
      </w:tr>
      <w:tr w14:paraId="06A5C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763" w:type="dxa"/>
          </w:tcPr>
          <w:p w14:paraId="51FA53B9">
            <w:pPr>
              <w:pStyle w:val="25"/>
              <w:spacing w:before="188" w:line="219" w:lineRule="auto"/>
              <w:ind w:left="275"/>
              <w:rPr>
                <w:rFonts w:ascii="Times New Roman" w:hAnsi="Times New Roman" w:cs="Times New Roman"/>
                <w:color w:val="auto"/>
                <w:sz w:val="24"/>
                <w:szCs w:val="24"/>
              </w:rPr>
            </w:pPr>
            <w:r>
              <w:rPr>
                <w:rFonts w:ascii="Times New Roman" w:hAnsi="Times New Roman" w:cs="Times New Roman"/>
                <w:color w:val="auto"/>
                <w:spacing w:val="2"/>
                <w:sz w:val="24"/>
                <w:szCs w:val="24"/>
              </w:rPr>
              <w:t>营业执照号</w:t>
            </w:r>
          </w:p>
        </w:tc>
        <w:tc>
          <w:tcPr>
            <w:tcW w:w="2157" w:type="dxa"/>
          </w:tcPr>
          <w:p w14:paraId="353D68D6">
            <w:pPr>
              <w:rPr>
                <w:rFonts w:ascii="Times New Roman" w:hAnsi="Times New Roman" w:cs="Times New Roman"/>
                <w:color w:val="auto"/>
                <w:sz w:val="21"/>
              </w:rPr>
            </w:pPr>
          </w:p>
        </w:tc>
        <w:tc>
          <w:tcPr>
            <w:tcW w:w="1099" w:type="dxa"/>
            <w:vMerge w:val="continue"/>
            <w:tcBorders>
              <w:top w:val="nil"/>
              <w:bottom w:val="nil"/>
            </w:tcBorders>
          </w:tcPr>
          <w:p w14:paraId="2748B0F1">
            <w:pPr>
              <w:rPr>
                <w:rFonts w:ascii="Times New Roman" w:hAnsi="Times New Roman" w:cs="Times New Roman"/>
                <w:color w:val="auto"/>
                <w:sz w:val="21"/>
              </w:rPr>
            </w:pPr>
          </w:p>
        </w:tc>
        <w:tc>
          <w:tcPr>
            <w:tcW w:w="1508" w:type="dxa"/>
            <w:gridSpan w:val="2"/>
          </w:tcPr>
          <w:p w14:paraId="645326E7">
            <w:pPr>
              <w:pStyle w:val="25"/>
              <w:spacing w:before="188" w:line="219" w:lineRule="auto"/>
              <w:jc w:val="right"/>
              <w:rPr>
                <w:rFonts w:ascii="Times New Roman" w:hAnsi="Times New Roman" w:cs="Times New Roman"/>
                <w:color w:val="auto"/>
                <w:sz w:val="24"/>
                <w:szCs w:val="24"/>
              </w:rPr>
            </w:pPr>
            <w:r>
              <w:rPr>
                <w:rFonts w:ascii="Times New Roman" w:hAnsi="Times New Roman" w:cs="Times New Roman"/>
                <w:color w:val="auto"/>
                <w:spacing w:val="5"/>
                <w:sz w:val="24"/>
                <w:szCs w:val="24"/>
              </w:rPr>
              <w:t>高级职称人员</w:t>
            </w:r>
          </w:p>
        </w:tc>
        <w:tc>
          <w:tcPr>
            <w:tcW w:w="2512" w:type="dxa"/>
            <w:gridSpan w:val="2"/>
          </w:tcPr>
          <w:p w14:paraId="485FABAD">
            <w:pPr>
              <w:rPr>
                <w:rFonts w:ascii="Times New Roman" w:hAnsi="Times New Roman" w:cs="Times New Roman"/>
                <w:color w:val="auto"/>
                <w:sz w:val="21"/>
              </w:rPr>
            </w:pPr>
          </w:p>
        </w:tc>
      </w:tr>
      <w:tr w14:paraId="1C61B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763" w:type="dxa"/>
          </w:tcPr>
          <w:p w14:paraId="0B72BABC">
            <w:pPr>
              <w:pStyle w:val="25"/>
              <w:spacing w:before="189" w:line="221" w:lineRule="auto"/>
              <w:ind w:left="394"/>
              <w:rPr>
                <w:rFonts w:ascii="Times New Roman" w:hAnsi="Times New Roman" w:cs="Times New Roman"/>
                <w:color w:val="auto"/>
                <w:sz w:val="24"/>
                <w:szCs w:val="24"/>
              </w:rPr>
            </w:pPr>
            <w:r>
              <w:rPr>
                <w:rFonts w:ascii="Times New Roman" w:hAnsi="Times New Roman" w:cs="Times New Roman"/>
                <w:color w:val="auto"/>
                <w:spacing w:val="-2"/>
                <w:sz w:val="24"/>
                <w:szCs w:val="24"/>
              </w:rPr>
              <w:t>注册资金</w:t>
            </w:r>
          </w:p>
        </w:tc>
        <w:tc>
          <w:tcPr>
            <w:tcW w:w="2157" w:type="dxa"/>
          </w:tcPr>
          <w:p w14:paraId="7A88846B">
            <w:pPr>
              <w:rPr>
                <w:rFonts w:ascii="Times New Roman" w:hAnsi="Times New Roman" w:cs="Times New Roman"/>
                <w:color w:val="auto"/>
                <w:sz w:val="21"/>
              </w:rPr>
            </w:pPr>
          </w:p>
        </w:tc>
        <w:tc>
          <w:tcPr>
            <w:tcW w:w="1099" w:type="dxa"/>
            <w:vMerge w:val="continue"/>
            <w:tcBorders>
              <w:top w:val="nil"/>
              <w:bottom w:val="nil"/>
            </w:tcBorders>
          </w:tcPr>
          <w:p w14:paraId="2C97D0FF">
            <w:pPr>
              <w:rPr>
                <w:rFonts w:ascii="Times New Roman" w:hAnsi="Times New Roman" w:cs="Times New Roman"/>
                <w:color w:val="auto"/>
                <w:sz w:val="21"/>
              </w:rPr>
            </w:pPr>
          </w:p>
        </w:tc>
        <w:tc>
          <w:tcPr>
            <w:tcW w:w="1508" w:type="dxa"/>
            <w:gridSpan w:val="2"/>
          </w:tcPr>
          <w:p w14:paraId="512688A7">
            <w:pPr>
              <w:pStyle w:val="25"/>
              <w:spacing w:before="188" w:line="220" w:lineRule="auto"/>
              <w:jc w:val="right"/>
              <w:rPr>
                <w:rFonts w:ascii="Times New Roman" w:hAnsi="Times New Roman" w:cs="Times New Roman"/>
                <w:color w:val="auto"/>
                <w:sz w:val="24"/>
                <w:szCs w:val="24"/>
              </w:rPr>
            </w:pPr>
            <w:r>
              <w:rPr>
                <w:rFonts w:ascii="Times New Roman" w:hAnsi="Times New Roman" w:cs="Times New Roman"/>
                <w:color w:val="auto"/>
                <w:spacing w:val="5"/>
                <w:sz w:val="24"/>
                <w:szCs w:val="24"/>
              </w:rPr>
              <w:t>中级职称人员</w:t>
            </w:r>
          </w:p>
        </w:tc>
        <w:tc>
          <w:tcPr>
            <w:tcW w:w="2512" w:type="dxa"/>
            <w:gridSpan w:val="2"/>
          </w:tcPr>
          <w:p w14:paraId="1AE2136F">
            <w:pPr>
              <w:rPr>
                <w:rFonts w:ascii="Times New Roman" w:hAnsi="Times New Roman" w:cs="Times New Roman"/>
                <w:color w:val="auto"/>
                <w:sz w:val="21"/>
              </w:rPr>
            </w:pPr>
          </w:p>
        </w:tc>
      </w:tr>
      <w:tr w14:paraId="32861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763" w:type="dxa"/>
          </w:tcPr>
          <w:p w14:paraId="7CBB3D04">
            <w:pPr>
              <w:pStyle w:val="25"/>
              <w:spacing w:before="179" w:line="220" w:lineRule="auto"/>
              <w:ind w:left="394"/>
              <w:rPr>
                <w:rFonts w:ascii="Times New Roman" w:hAnsi="Times New Roman" w:cs="Times New Roman"/>
                <w:color w:val="auto"/>
                <w:sz w:val="24"/>
                <w:szCs w:val="24"/>
              </w:rPr>
            </w:pPr>
            <w:r>
              <w:rPr>
                <w:rFonts w:ascii="Times New Roman" w:hAnsi="Times New Roman" w:cs="Times New Roman"/>
                <w:color w:val="auto"/>
                <w:spacing w:val="3"/>
                <w:sz w:val="24"/>
                <w:szCs w:val="24"/>
              </w:rPr>
              <w:t>开户银行</w:t>
            </w:r>
          </w:p>
        </w:tc>
        <w:tc>
          <w:tcPr>
            <w:tcW w:w="2157" w:type="dxa"/>
          </w:tcPr>
          <w:p w14:paraId="35F2C159">
            <w:pPr>
              <w:rPr>
                <w:rFonts w:ascii="Times New Roman" w:hAnsi="Times New Roman" w:cs="Times New Roman"/>
                <w:color w:val="auto"/>
                <w:sz w:val="21"/>
              </w:rPr>
            </w:pPr>
          </w:p>
        </w:tc>
        <w:tc>
          <w:tcPr>
            <w:tcW w:w="1099" w:type="dxa"/>
            <w:vMerge w:val="continue"/>
            <w:tcBorders>
              <w:top w:val="nil"/>
              <w:bottom w:val="nil"/>
            </w:tcBorders>
          </w:tcPr>
          <w:p w14:paraId="1160D298">
            <w:pPr>
              <w:rPr>
                <w:rFonts w:ascii="Times New Roman" w:hAnsi="Times New Roman" w:cs="Times New Roman"/>
                <w:color w:val="auto"/>
                <w:sz w:val="21"/>
              </w:rPr>
            </w:pPr>
          </w:p>
        </w:tc>
        <w:tc>
          <w:tcPr>
            <w:tcW w:w="1508" w:type="dxa"/>
            <w:gridSpan w:val="2"/>
          </w:tcPr>
          <w:p w14:paraId="670DCB89">
            <w:pPr>
              <w:pStyle w:val="25"/>
              <w:spacing w:before="180" w:line="221" w:lineRule="auto"/>
              <w:jc w:val="right"/>
              <w:rPr>
                <w:rFonts w:ascii="Times New Roman" w:hAnsi="Times New Roman" w:cs="Times New Roman"/>
                <w:color w:val="auto"/>
                <w:sz w:val="24"/>
                <w:szCs w:val="24"/>
              </w:rPr>
            </w:pPr>
            <w:r>
              <w:rPr>
                <w:rFonts w:ascii="Times New Roman" w:hAnsi="Times New Roman" w:cs="Times New Roman"/>
                <w:color w:val="auto"/>
                <w:spacing w:val="5"/>
                <w:sz w:val="24"/>
                <w:szCs w:val="24"/>
              </w:rPr>
              <w:t>初级职称人员</w:t>
            </w:r>
          </w:p>
        </w:tc>
        <w:tc>
          <w:tcPr>
            <w:tcW w:w="2512" w:type="dxa"/>
            <w:gridSpan w:val="2"/>
          </w:tcPr>
          <w:p w14:paraId="2B83C032">
            <w:pPr>
              <w:rPr>
                <w:rFonts w:ascii="Times New Roman" w:hAnsi="Times New Roman" w:cs="Times New Roman"/>
                <w:color w:val="auto"/>
                <w:sz w:val="21"/>
              </w:rPr>
            </w:pPr>
          </w:p>
        </w:tc>
      </w:tr>
      <w:tr w14:paraId="7BB94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763" w:type="dxa"/>
          </w:tcPr>
          <w:p w14:paraId="5B353EA5">
            <w:pPr>
              <w:pStyle w:val="25"/>
              <w:spacing w:before="190" w:line="221" w:lineRule="auto"/>
              <w:ind w:left="634"/>
              <w:rPr>
                <w:rFonts w:ascii="Times New Roman" w:hAnsi="Times New Roman" w:cs="Times New Roman"/>
                <w:color w:val="auto"/>
                <w:sz w:val="24"/>
                <w:szCs w:val="24"/>
              </w:rPr>
            </w:pPr>
            <w:r>
              <w:rPr>
                <w:rFonts w:ascii="Times New Roman" w:hAnsi="Times New Roman" w:cs="Times New Roman"/>
                <w:color w:val="auto"/>
                <w:spacing w:val="7"/>
                <w:sz w:val="24"/>
                <w:szCs w:val="24"/>
              </w:rPr>
              <w:t>账号</w:t>
            </w:r>
          </w:p>
        </w:tc>
        <w:tc>
          <w:tcPr>
            <w:tcW w:w="2157" w:type="dxa"/>
          </w:tcPr>
          <w:p w14:paraId="4131A2F7">
            <w:pPr>
              <w:rPr>
                <w:rFonts w:ascii="Times New Roman" w:hAnsi="Times New Roman" w:cs="Times New Roman"/>
                <w:color w:val="auto"/>
                <w:sz w:val="21"/>
              </w:rPr>
            </w:pPr>
          </w:p>
        </w:tc>
        <w:tc>
          <w:tcPr>
            <w:tcW w:w="1099" w:type="dxa"/>
            <w:vMerge w:val="continue"/>
            <w:tcBorders>
              <w:top w:val="nil"/>
            </w:tcBorders>
          </w:tcPr>
          <w:p w14:paraId="5C55613B">
            <w:pPr>
              <w:rPr>
                <w:rFonts w:ascii="Times New Roman" w:hAnsi="Times New Roman" w:cs="Times New Roman"/>
                <w:color w:val="auto"/>
                <w:sz w:val="21"/>
              </w:rPr>
            </w:pPr>
          </w:p>
        </w:tc>
        <w:tc>
          <w:tcPr>
            <w:tcW w:w="1508" w:type="dxa"/>
            <w:gridSpan w:val="2"/>
          </w:tcPr>
          <w:p w14:paraId="63DB7D43">
            <w:pPr>
              <w:pStyle w:val="25"/>
              <w:spacing w:before="190" w:line="221" w:lineRule="auto"/>
              <w:ind w:left="505"/>
              <w:rPr>
                <w:rFonts w:ascii="Times New Roman" w:hAnsi="Times New Roman" w:cs="Times New Roman"/>
                <w:color w:val="auto"/>
                <w:sz w:val="24"/>
                <w:szCs w:val="24"/>
              </w:rPr>
            </w:pPr>
            <w:r>
              <w:rPr>
                <w:rFonts w:ascii="Times New Roman" w:hAnsi="Times New Roman" w:cs="Times New Roman"/>
                <w:color w:val="auto"/>
                <w:spacing w:val="6"/>
                <w:sz w:val="24"/>
                <w:szCs w:val="24"/>
              </w:rPr>
              <w:t>技工</w:t>
            </w:r>
          </w:p>
        </w:tc>
        <w:tc>
          <w:tcPr>
            <w:tcW w:w="2512" w:type="dxa"/>
            <w:gridSpan w:val="2"/>
          </w:tcPr>
          <w:p w14:paraId="5A23EF77">
            <w:pPr>
              <w:rPr>
                <w:rFonts w:ascii="Times New Roman" w:hAnsi="Times New Roman" w:cs="Times New Roman"/>
                <w:color w:val="auto"/>
                <w:sz w:val="21"/>
              </w:rPr>
            </w:pPr>
          </w:p>
        </w:tc>
      </w:tr>
      <w:tr w14:paraId="04FA9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763" w:type="dxa"/>
          </w:tcPr>
          <w:p w14:paraId="0EC95402">
            <w:pPr>
              <w:pStyle w:val="25"/>
              <w:spacing w:before="199" w:line="220" w:lineRule="auto"/>
              <w:ind w:left="154"/>
              <w:rPr>
                <w:rFonts w:ascii="Times New Roman" w:hAnsi="Times New Roman" w:cs="Times New Roman"/>
                <w:color w:val="auto"/>
                <w:sz w:val="24"/>
                <w:szCs w:val="24"/>
              </w:rPr>
            </w:pPr>
            <w:r>
              <w:rPr>
                <w:rFonts w:ascii="Times New Roman" w:hAnsi="Times New Roman" w:cs="Times New Roman"/>
                <w:color w:val="auto"/>
                <w:spacing w:val="2"/>
                <w:sz w:val="24"/>
                <w:szCs w:val="24"/>
              </w:rPr>
              <w:t>经营范围备注</w:t>
            </w:r>
          </w:p>
        </w:tc>
        <w:tc>
          <w:tcPr>
            <w:tcW w:w="7276" w:type="dxa"/>
            <w:gridSpan w:val="6"/>
          </w:tcPr>
          <w:p w14:paraId="74F046E0">
            <w:pPr>
              <w:rPr>
                <w:rFonts w:ascii="Times New Roman" w:hAnsi="Times New Roman" w:cs="Times New Roman"/>
                <w:color w:val="auto"/>
                <w:sz w:val="21"/>
              </w:rPr>
            </w:pPr>
          </w:p>
        </w:tc>
      </w:tr>
    </w:tbl>
    <w:p w14:paraId="1460D2D7">
      <w:pPr>
        <w:pStyle w:val="7"/>
        <w:spacing w:line="287" w:lineRule="auto"/>
        <w:rPr>
          <w:rFonts w:cs="Times New Roman"/>
          <w:color w:val="auto"/>
        </w:rPr>
      </w:pPr>
    </w:p>
    <w:p w14:paraId="46FACCCF">
      <w:pPr>
        <w:spacing w:before="74"/>
        <w:ind w:right="3300"/>
        <w:rPr>
          <w:rFonts w:ascii="Times New Roman" w:hAnsi="Times New Roman" w:eastAsia="宋体" w:cs="Times New Roman"/>
          <w:color w:val="auto"/>
          <w:spacing w:val="11"/>
          <w:szCs w:val="24"/>
        </w:rPr>
      </w:pPr>
      <w:r>
        <w:rPr>
          <w:rFonts w:ascii="Times New Roman" w:hAnsi="Times New Roman" w:eastAsia="宋体" w:cs="Times New Roman"/>
          <w:color w:val="auto"/>
          <w:spacing w:val="7"/>
          <w:szCs w:val="24"/>
        </w:rPr>
        <w:t>附营业执照、资质证书、认证体系证书等相关打分资</w:t>
      </w:r>
      <w:r>
        <w:rPr>
          <w:rFonts w:ascii="Times New Roman" w:hAnsi="Times New Roman" w:eastAsia="宋体" w:cs="Times New Roman"/>
          <w:color w:val="auto"/>
          <w:spacing w:val="6"/>
          <w:szCs w:val="24"/>
        </w:rPr>
        <w:t>料。</w:t>
      </w:r>
      <w:r>
        <w:rPr>
          <w:rFonts w:ascii="Times New Roman" w:hAnsi="Times New Roman" w:eastAsia="宋体" w:cs="Times New Roman"/>
          <w:color w:val="auto"/>
          <w:szCs w:val="24"/>
        </w:rPr>
        <w:t xml:space="preserve"> </w:t>
      </w:r>
      <w:r>
        <w:rPr>
          <w:rFonts w:ascii="Times New Roman" w:hAnsi="Times New Roman" w:eastAsia="宋体" w:cs="Times New Roman"/>
          <w:color w:val="auto"/>
          <w:spacing w:val="11"/>
          <w:szCs w:val="24"/>
        </w:rPr>
        <w:t>　　　</w:t>
      </w:r>
    </w:p>
    <w:p w14:paraId="1F3C5022">
      <w:pPr>
        <w:spacing w:before="74"/>
        <w:ind w:right="-90"/>
        <w:rPr>
          <w:rFonts w:ascii="Times New Roman" w:hAnsi="Times New Roman" w:eastAsia="宋体" w:cs="Times New Roman"/>
          <w:color w:val="auto"/>
          <w:spacing w:val="11"/>
          <w:szCs w:val="24"/>
        </w:rPr>
      </w:pPr>
      <w:r>
        <w:rPr>
          <w:rFonts w:ascii="Times New Roman" w:hAnsi="Times New Roman" w:eastAsia="宋体" w:cs="Times New Roman"/>
          <w:color w:val="auto"/>
          <w:spacing w:val="11"/>
          <w:szCs w:val="24"/>
        </w:rPr>
        <w:t>　　　　　　　　　　　　　　　　　　　　　　潜在承包人</w:t>
      </w:r>
      <w:r>
        <w:rPr>
          <w:rFonts w:ascii="Times New Roman" w:hAnsi="Times New Roman" w:cs="Times New Roman"/>
          <w:color w:val="auto"/>
        </w:rPr>
        <w:t>名称</w:t>
      </w:r>
      <w:r>
        <w:rPr>
          <w:rFonts w:ascii="Times New Roman" w:hAnsi="Times New Roman" w:eastAsia="宋体" w:cs="Times New Roman"/>
          <w:color w:val="auto"/>
          <w:spacing w:val="11"/>
          <w:szCs w:val="24"/>
        </w:rPr>
        <w:t>(电子签名)：</w:t>
      </w:r>
    </w:p>
    <w:p w14:paraId="2D036843">
      <w:pPr>
        <w:spacing w:before="74"/>
        <w:ind w:right="-90"/>
        <w:rPr>
          <w:rFonts w:ascii="Times New Roman" w:hAnsi="Times New Roman" w:cs="Times New Roman"/>
          <w:color w:val="auto"/>
          <w:u w:val="single"/>
        </w:rPr>
      </w:pPr>
      <w:r>
        <w:rPr>
          <w:rFonts w:ascii="Times New Roman" w:hAnsi="Times New Roman" w:eastAsia="宋体" w:cs="Times New Roman"/>
          <w:color w:val="auto"/>
          <w:spacing w:val="11"/>
          <w:szCs w:val="24"/>
        </w:rPr>
        <w:t>　　　　　　　　　　　　　　　　　　　　　　</w:t>
      </w:r>
      <w:r>
        <w:rPr>
          <w:rFonts w:ascii="Times New Roman" w:hAnsi="Times New Roman" w:cs="Times New Roman"/>
          <w:color w:val="auto"/>
        </w:rPr>
        <w:t>日期：  年   月   日</w:t>
      </w:r>
    </w:p>
    <w:p w14:paraId="08B5CD6E">
      <w:pPr>
        <w:pStyle w:val="3"/>
        <w:kinsoku/>
        <w:topLinePunct/>
        <w:rPr>
          <w:rFonts w:ascii="Times New Roman" w:hAnsi="Times New Roman" w:eastAsia="宋体" w:cs="Times New Roman"/>
          <w:b w:val="0"/>
          <w:bCs w:val="0"/>
          <w:color w:val="auto"/>
          <w:spacing w:val="-1"/>
          <w:sz w:val="44"/>
          <w:szCs w:val="44"/>
          <w14:textOutline w14:w="5448" w14:cap="flat" w14:cmpd="sng" w14:algn="ctr">
            <w14:solidFill>
              <w14:srgbClr w14:val="000000"/>
            </w14:solidFill>
            <w14:prstDash w14:val="solid"/>
            <w14:miter w14:val="0"/>
          </w14:textOutline>
        </w:rPr>
      </w:pPr>
      <w:r>
        <w:rPr>
          <w:rFonts w:ascii="Times New Roman" w:hAnsi="Times New Roman" w:eastAsia="宋体" w:cs="Times New Roman"/>
          <w:b w:val="0"/>
          <w:bCs w:val="0"/>
          <w:color w:val="auto"/>
          <w:spacing w:val="-1"/>
          <w:sz w:val="44"/>
          <w:szCs w:val="44"/>
          <w14:textOutline w14:w="5448" w14:cap="flat" w14:cmpd="sng" w14:algn="ctr">
            <w14:solidFill>
              <w14:srgbClr w14:val="000000"/>
            </w14:solidFill>
            <w14:prstDash w14:val="solid"/>
            <w14:miter w14:val="0"/>
          </w14:textOutline>
        </w:rPr>
        <w:t>项目管理班子配备情况表</w:t>
      </w:r>
    </w:p>
    <w:p w14:paraId="28DF15CB">
      <w:pPr>
        <w:spacing w:before="222" w:line="220" w:lineRule="auto"/>
        <w:ind w:left="114"/>
        <w:rPr>
          <w:rFonts w:ascii="Times New Roman" w:hAnsi="Times New Roman" w:eastAsia="宋体" w:cs="Times New Roman"/>
          <w:color w:val="auto"/>
          <w:sz w:val="22"/>
          <w:szCs w:val="22"/>
        </w:rPr>
      </w:pPr>
      <w:r>
        <w:rPr>
          <w:rFonts w:ascii="Times New Roman" w:hAnsi="Times New Roman" w:eastAsia="宋体" w:cs="Times New Roman"/>
          <w:color w:val="auto"/>
          <w:spacing w:val="10"/>
          <w:sz w:val="22"/>
          <w:szCs w:val="22"/>
        </w:rPr>
        <w:t>项目名称：</w:t>
      </w:r>
    </w:p>
    <w:p w14:paraId="10059F9F">
      <w:pPr>
        <w:spacing w:line="133" w:lineRule="exact"/>
        <w:rPr>
          <w:rFonts w:ascii="Times New Roman" w:hAnsi="Times New Roman" w:cs="Times New Roman"/>
          <w:color w:val="auto"/>
        </w:rPr>
      </w:pPr>
    </w:p>
    <w:tbl>
      <w:tblPr>
        <w:tblStyle w:val="22"/>
        <w:tblW w:w="96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4"/>
        <w:gridCol w:w="2298"/>
        <w:gridCol w:w="789"/>
        <w:gridCol w:w="949"/>
        <w:gridCol w:w="749"/>
        <w:gridCol w:w="809"/>
        <w:gridCol w:w="749"/>
        <w:gridCol w:w="699"/>
        <w:gridCol w:w="839"/>
        <w:gridCol w:w="1054"/>
      </w:tblGrid>
      <w:tr w14:paraId="0D752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4" w:hRule="atLeast"/>
        </w:trPr>
        <w:tc>
          <w:tcPr>
            <w:tcW w:w="2982" w:type="dxa"/>
            <w:gridSpan w:val="2"/>
            <w:vMerge w:val="restart"/>
            <w:tcBorders>
              <w:bottom w:val="nil"/>
            </w:tcBorders>
          </w:tcPr>
          <w:p w14:paraId="346C89A7">
            <w:pPr>
              <w:spacing w:line="285" w:lineRule="auto"/>
              <w:rPr>
                <w:rFonts w:ascii="Times New Roman" w:hAnsi="Times New Roman" w:cs="Times New Roman"/>
                <w:color w:val="auto"/>
                <w:sz w:val="21"/>
              </w:rPr>
            </w:pPr>
          </w:p>
          <w:p w14:paraId="10EAF747">
            <w:pPr>
              <w:pStyle w:val="25"/>
              <w:spacing w:before="78" w:line="219" w:lineRule="auto"/>
              <w:ind w:left="224"/>
              <w:jc w:val="center"/>
              <w:rPr>
                <w:rFonts w:ascii="Times New Roman" w:hAnsi="Times New Roman" w:cs="Times New Roman"/>
                <w:color w:val="auto"/>
                <w:spacing w:val="1"/>
                <w:sz w:val="24"/>
                <w:szCs w:val="24"/>
                <w:lang w:eastAsia="zh-CN"/>
              </w:rPr>
            </w:pPr>
            <w:r>
              <w:rPr>
                <w:rFonts w:ascii="Times New Roman" w:hAnsi="Times New Roman" w:cs="Times New Roman"/>
                <w:color w:val="auto"/>
                <w:spacing w:val="1"/>
                <w:sz w:val="24"/>
                <w:szCs w:val="24"/>
                <w:lang w:eastAsia="zh-CN"/>
              </w:rPr>
              <w:t>岗位</w:t>
            </w:r>
          </w:p>
          <w:p w14:paraId="25235A18">
            <w:pPr>
              <w:pStyle w:val="25"/>
              <w:spacing w:before="78" w:line="219" w:lineRule="auto"/>
              <w:ind w:left="224"/>
              <w:rPr>
                <w:rFonts w:ascii="Times New Roman" w:hAnsi="Times New Roman" w:cs="Times New Roman"/>
                <w:color w:val="auto"/>
                <w:sz w:val="24"/>
                <w:szCs w:val="24"/>
                <w:lang w:eastAsia="zh-CN"/>
              </w:rPr>
            </w:pPr>
            <w:r>
              <w:rPr>
                <w:rFonts w:ascii="Times New Roman" w:hAnsi="Times New Roman" w:cs="Times New Roman"/>
                <w:color w:val="auto"/>
                <w:spacing w:val="1"/>
                <w:sz w:val="24"/>
                <w:szCs w:val="24"/>
                <w:lang w:eastAsia="zh-CN"/>
              </w:rPr>
              <w:t>(由发包人根据项目实</w:t>
            </w:r>
            <w:r>
              <w:rPr>
                <w:rFonts w:ascii="Times New Roman" w:hAnsi="Times New Roman" w:cs="Times New Roman"/>
                <w:color w:val="auto"/>
                <w:spacing w:val="8"/>
                <w:sz w:val="24"/>
                <w:szCs w:val="24"/>
                <w:lang w:eastAsia="zh-CN"/>
              </w:rPr>
              <w:t>际按需设置)</w:t>
            </w:r>
          </w:p>
        </w:tc>
        <w:tc>
          <w:tcPr>
            <w:tcW w:w="789" w:type="dxa"/>
            <w:vMerge w:val="restart"/>
            <w:tcBorders>
              <w:bottom w:val="nil"/>
            </w:tcBorders>
          </w:tcPr>
          <w:p w14:paraId="7F400220">
            <w:pPr>
              <w:spacing w:line="286" w:lineRule="auto"/>
              <w:rPr>
                <w:rFonts w:ascii="Times New Roman" w:hAnsi="Times New Roman" w:cs="Times New Roman"/>
                <w:color w:val="auto"/>
                <w:sz w:val="21"/>
              </w:rPr>
            </w:pPr>
          </w:p>
          <w:p w14:paraId="369E6A4A">
            <w:pPr>
              <w:spacing w:line="287" w:lineRule="auto"/>
              <w:rPr>
                <w:rFonts w:ascii="Times New Roman" w:hAnsi="Times New Roman" w:cs="Times New Roman"/>
                <w:color w:val="auto"/>
                <w:sz w:val="21"/>
              </w:rPr>
            </w:pPr>
          </w:p>
          <w:p w14:paraId="4CF878F4">
            <w:pPr>
              <w:pStyle w:val="25"/>
              <w:spacing w:before="78" w:line="219" w:lineRule="auto"/>
              <w:ind w:left="142"/>
              <w:rPr>
                <w:rFonts w:ascii="Times New Roman" w:hAnsi="Times New Roman" w:cs="Times New Roman"/>
                <w:color w:val="auto"/>
                <w:sz w:val="24"/>
                <w:szCs w:val="24"/>
              </w:rPr>
            </w:pPr>
            <w:r>
              <w:rPr>
                <w:rFonts w:ascii="Times New Roman" w:hAnsi="Times New Roman" w:cs="Times New Roman"/>
                <w:color w:val="auto"/>
                <w:spacing w:val="15"/>
                <w:sz w:val="24"/>
                <w:szCs w:val="24"/>
              </w:rPr>
              <w:t>姓名</w:t>
            </w:r>
          </w:p>
        </w:tc>
        <w:tc>
          <w:tcPr>
            <w:tcW w:w="949" w:type="dxa"/>
            <w:vMerge w:val="restart"/>
            <w:tcBorders>
              <w:bottom w:val="nil"/>
            </w:tcBorders>
          </w:tcPr>
          <w:p w14:paraId="074A5970">
            <w:pPr>
              <w:spacing w:line="286" w:lineRule="auto"/>
              <w:rPr>
                <w:rFonts w:ascii="Times New Roman" w:hAnsi="Times New Roman" w:cs="Times New Roman"/>
                <w:color w:val="auto"/>
                <w:sz w:val="21"/>
              </w:rPr>
            </w:pPr>
          </w:p>
          <w:p w14:paraId="1F16FA33">
            <w:pPr>
              <w:spacing w:line="287" w:lineRule="auto"/>
              <w:rPr>
                <w:rFonts w:ascii="Times New Roman" w:hAnsi="Times New Roman" w:cs="Times New Roman"/>
                <w:color w:val="auto"/>
                <w:sz w:val="21"/>
              </w:rPr>
            </w:pPr>
          </w:p>
          <w:p w14:paraId="7DAEE673">
            <w:pPr>
              <w:pStyle w:val="25"/>
              <w:spacing w:before="78" w:line="219" w:lineRule="auto"/>
              <w:ind w:left="123"/>
              <w:rPr>
                <w:rFonts w:ascii="Times New Roman" w:hAnsi="Times New Roman" w:cs="Times New Roman"/>
                <w:color w:val="auto"/>
                <w:sz w:val="24"/>
                <w:szCs w:val="24"/>
              </w:rPr>
            </w:pPr>
            <w:r>
              <w:rPr>
                <w:rFonts w:ascii="Times New Roman" w:hAnsi="Times New Roman" w:cs="Times New Roman"/>
                <w:color w:val="auto"/>
                <w:spacing w:val="3"/>
                <w:sz w:val="24"/>
                <w:szCs w:val="24"/>
              </w:rPr>
              <w:t>身份证</w:t>
            </w:r>
          </w:p>
        </w:tc>
        <w:tc>
          <w:tcPr>
            <w:tcW w:w="749" w:type="dxa"/>
            <w:vMerge w:val="restart"/>
            <w:tcBorders>
              <w:bottom w:val="nil"/>
            </w:tcBorders>
          </w:tcPr>
          <w:p w14:paraId="0FA866F0">
            <w:pPr>
              <w:spacing w:line="288" w:lineRule="auto"/>
              <w:rPr>
                <w:rFonts w:ascii="Times New Roman" w:hAnsi="Times New Roman" w:cs="Times New Roman"/>
                <w:color w:val="auto"/>
                <w:sz w:val="21"/>
              </w:rPr>
            </w:pPr>
          </w:p>
          <w:p w14:paraId="60382A1E">
            <w:pPr>
              <w:spacing w:line="288" w:lineRule="auto"/>
              <w:rPr>
                <w:rFonts w:ascii="Times New Roman" w:hAnsi="Times New Roman" w:cs="Times New Roman"/>
                <w:color w:val="auto"/>
                <w:sz w:val="21"/>
              </w:rPr>
            </w:pPr>
          </w:p>
          <w:p w14:paraId="6E62BA74">
            <w:pPr>
              <w:pStyle w:val="25"/>
              <w:spacing w:before="78" w:line="221" w:lineRule="auto"/>
              <w:ind w:left="134"/>
              <w:rPr>
                <w:rFonts w:ascii="Times New Roman" w:hAnsi="Times New Roman" w:cs="Times New Roman"/>
                <w:color w:val="auto"/>
                <w:sz w:val="24"/>
                <w:szCs w:val="24"/>
              </w:rPr>
            </w:pPr>
            <w:r>
              <w:rPr>
                <w:rFonts w:ascii="Times New Roman" w:hAnsi="Times New Roman" w:cs="Times New Roman"/>
                <w:color w:val="auto"/>
                <w:spacing w:val="6"/>
                <w:sz w:val="24"/>
                <w:szCs w:val="24"/>
              </w:rPr>
              <w:t>职称</w:t>
            </w:r>
          </w:p>
        </w:tc>
        <w:tc>
          <w:tcPr>
            <w:tcW w:w="3096" w:type="dxa"/>
            <w:gridSpan w:val="4"/>
          </w:tcPr>
          <w:p w14:paraId="423C1D38">
            <w:pPr>
              <w:spacing w:line="265" w:lineRule="auto"/>
              <w:rPr>
                <w:rFonts w:ascii="Times New Roman" w:hAnsi="Times New Roman" w:cs="Times New Roman"/>
                <w:color w:val="auto"/>
                <w:sz w:val="21"/>
              </w:rPr>
            </w:pPr>
          </w:p>
          <w:p w14:paraId="29002EAC">
            <w:pPr>
              <w:pStyle w:val="25"/>
              <w:spacing w:before="78" w:line="219" w:lineRule="auto"/>
              <w:ind w:left="855"/>
              <w:rPr>
                <w:rFonts w:ascii="Times New Roman" w:hAnsi="Times New Roman" w:cs="Times New Roman"/>
                <w:color w:val="auto"/>
                <w:sz w:val="24"/>
                <w:szCs w:val="24"/>
              </w:rPr>
            </w:pPr>
            <w:r>
              <w:rPr>
                <w:rFonts w:ascii="Times New Roman" w:hAnsi="Times New Roman" w:cs="Times New Roman"/>
                <w:color w:val="auto"/>
                <w:spacing w:val="4"/>
                <w:sz w:val="24"/>
                <w:szCs w:val="24"/>
              </w:rPr>
              <w:t>上岗资格证明</w:t>
            </w:r>
          </w:p>
        </w:tc>
        <w:tc>
          <w:tcPr>
            <w:tcW w:w="1054" w:type="dxa"/>
            <w:vMerge w:val="restart"/>
            <w:tcBorders>
              <w:bottom w:val="nil"/>
            </w:tcBorders>
          </w:tcPr>
          <w:p w14:paraId="054D0424">
            <w:pPr>
              <w:spacing w:line="265" w:lineRule="auto"/>
              <w:rPr>
                <w:rFonts w:ascii="Times New Roman" w:hAnsi="Times New Roman" w:cs="Times New Roman"/>
                <w:color w:val="auto"/>
                <w:sz w:val="21"/>
              </w:rPr>
            </w:pPr>
          </w:p>
          <w:p w14:paraId="22F35506">
            <w:pPr>
              <w:pStyle w:val="25"/>
              <w:spacing w:before="78" w:line="225" w:lineRule="auto"/>
              <w:ind w:left="110" w:right="84" w:firstLine="10"/>
              <w:jc w:val="center"/>
              <w:rPr>
                <w:rFonts w:ascii="Times New Roman" w:hAnsi="Times New Roman" w:cs="Times New Roman"/>
                <w:color w:val="auto"/>
                <w:sz w:val="24"/>
                <w:szCs w:val="24"/>
              </w:rPr>
            </w:pPr>
            <w:r>
              <w:rPr>
                <w:rFonts w:ascii="Times New Roman" w:hAnsi="Times New Roman" w:cs="Times New Roman"/>
                <w:color w:val="auto"/>
                <w:spacing w:val="3"/>
                <w:sz w:val="24"/>
                <w:szCs w:val="24"/>
              </w:rPr>
              <w:t>到位率</w:t>
            </w:r>
            <w:r>
              <w:rPr>
                <w:rFonts w:ascii="Times New Roman" w:hAnsi="Times New Roman" w:cs="Times New Roman"/>
                <w:color w:val="auto"/>
                <w:spacing w:val="1"/>
                <w:sz w:val="24"/>
                <w:szCs w:val="24"/>
              </w:rPr>
              <w:t xml:space="preserve"> </w:t>
            </w:r>
            <w:r>
              <w:rPr>
                <w:rFonts w:ascii="Times New Roman" w:hAnsi="Times New Roman" w:cs="Times New Roman"/>
                <w:color w:val="auto"/>
                <w:spacing w:val="-3"/>
                <w:sz w:val="24"/>
                <w:szCs w:val="24"/>
              </w:rPr>
              <w:t>承诺</w:t>
            </w:r>
          </w:p>
        </w:tc>
      </w:tr>
      <w:tr w14:paraId="5BA89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982" w:type="dxa"/>
            <w:gridSpan w:val="2"/>
            <w:vMerge w:val="continue"/>
            <w:tcBorders>
              <w:top w:val="nil"/>
            </w:tcBorders>
          </w:tcPr>
          <w:p w14:paraId="1B32EDD2">
            <w:pPr>
              <w:rPr>
                <w:rFonts w:ascii="Times New Roman" w:hAnsi="Times New Roman" w:cs="Times New Roman"/>
                <w:color w:val="auto"/>
                <w:sz w:val="21"/>
              </w:rPr>
            </w:pPr>
          </w:p>
        </w:tc>
        <w:tc>
          <w:tcPr>
            <w:tcW w:w="789" w:type="dxa"/>
            <w:vMerge w:val="continue"/>
            <w:tcBorders>
              <w:top w:val="nil"/>
            </w:tcBorders>
          </w:tcPr>
          <w:p w14:paraId="252EDBDE">
            <w:pPr>
              <w:rPr>
                <w:rFonts w:ascii="Times New Roman" w:hAnsi="Times New Roman" w:cs="Times New Roman"/>
                <w:color w:val="auto"/>
                <w:sz w:val="21"/>
              </w:rPr>
            </w:pPr>
          </w:p>
        </w:tc>
        <w:tc>
          <w:tcPr>
            <w:tcW w:w="949" w:type="dxa"/>
            <w:vMerge w:val="continue"/>
            <w:tcBorders>
              <w:top w:val="nil"/>
            </w:tcBorders>
          </w:tcPr>
          <w:p w14:paraId="3ACA0EAC">
            <w:pPr>
              <w:rPr>
                <w:rFonts w:ascii="Times New Roman" w:hAnsi="Times New Roman" w:cs="Times New Roman"/>
                <w:color w:val="auto"/>
                <w:sz w:val="21"/>
              </w:rPr>
            </w:pPr>
          </w:p>
        </w:tc>
        <w:tc>
          <w:tcPr>
            <w:tcW w:w="749" w:type="dxa"/>
            <w:vMerge w:val="continue"/>
            <w:tcBorders>
              <w:top w:val="nil"/>
            </w:tcBorders>
          </w:tcPr>
          <w:p w14:paraId="5B8A850D">
            <w:pPr>
              <w:rPr>
                <w:rFonts w:ascii="Times New Roman" w:hAnsi="Times New Roman" w:cs="Times New Roman"/>
                <w:color w:val="auto"/>
                <w:sz w:val="21"/>
              </w:rPr>
            </w:pPr>
          </w:p>
        </w:tc>
        <w:tc>
          <w:tcPr>
            <w:tcW w:w="809" w:type="dxa"/>
          </w:tcPr>
          <w:p w14:paraId="1130C20D">
            <w:pPr>
              <w:pStyle w:val="25"/>
              <w:spacing w:before="60" w:line="211" w:lineRule="auto"/>
              <w:ind w:left="155" w:right="147"/>
              <w:rPr>
                <w:rFonts w:ascii="Times New Roman" w:hAnsi="Times New Roman" w:cs="Times New Roman"/>
                <w:color w:val="auto"/>
                <w:sz w:val="24"/>
                <w:szCs w:val="24"/>
              </w:rPr>
            </w:pPr>
            <w:r>
              <w:rPr>
                <w:rFonts w:ascii="Times New Roman" w:hAnsi="Times New Roman" w:cs="Times New Roman"/>
                <w:color w:val="auto"/>
                <w:spacing w:val="7"/>
                <w:sz w:val="24"/>
                <w:szCs w:val="24"/>
              </w:rPr>
              <w:t>证书</w:t>
            </w:r>
            <w:r>
              <w:rPr>
                <w:rFonts w:ascii="Times New Roman" w:hAnsi="Times New Roman" w:cs="Times New Roman"/>
                <w:color w:val="auto"/>
                <w:sz w:val="24"/>
                <w:szCs w:val="24"/>
              </w:rPr>
              <w:t xml:space="preserve"> </w:t>
            </w:r>
            <w:r>
              <w:rPr>
                <w:rFonts w:ascii="Times New Roman" w:hAnsi="Times New Roman" w:cs="Times New Roman"/>
                <w:color w:val="auto"/>
                <w:spacing w:val="6"/>
                <w:sz w:val="24"/>
                <w:szCs w:val="24"/>
              </w:rPr>
              <w:t>名称</w:t>
            </w:r>
          </w:p>
        </w:tc>
        <w:tc>
          <w:tcPr>
            <w:tcW w:w="749" w:type="dxa"/>
          </w:tcPr>
          <w:p w14:paraId="132720D0">
            <w:pPr>
              <w:pStyle w:val="25"/>
              <w:spacing w:before="191" w:line="220" w:lineRule="auto"/>
              <w:ind w:left="116"/>
              <w:rPr>
                <w:rFonts w:ascii="Times New Roman" w:hAnsi="Times New Roman" w:cs="Times New Roman"/>
                <w:color w:val="auto"/>
                <w:sz w:val="24"/>
                <w:szCs w:val="24"/>
              </w:rPr>
            </w:pPr>
            <w:r>
              <w:rPr>
                <w:rFonts w:ascii="Times New Roman" w:hAnsi="Times New Roman" w:cs="Times New Roman"/>
                <w:color w:val="auto"/>
                <w:spacing w:val="9"/>
                <w:sz w:val="24"/>
                <w:szCs w:val="24"/>
              </w:rPr>
              <w:t>级别</w:t>
            </w:r>
          </w:p>
        </w:tc>
        <w:tc>
          <w:tcPr>
            <w:tcW w:w="699" w:type="dxa"/>
          </w:tcPr>
          <w:p w14:paraId="28738E78">
            <w:pPr>
              <w:pStyle w:val="25"/>
              <w:spacing w:before="192" w:line="221" w:lineRule="auto"/>
              <w:ind w:left="117"/>
              <w:rPr>
                <w:rFonts w:ascii="Times New Roman" w:hAnsi="Times New Roman" w:cs="Times New Roman"/>
                <w:color w:val="auto"/>
                <w:sz w:val="24"/>
                <w:szCs w:val="24"/>
              </w:rPr>
            </w:pPr>
            <w:r>
              <w:rPr>
                <w:rFonts w:ascii="Times New Roman" w:hAnsi="Times New Roman" w:cs="Times New Roman"/>
                <w:color w:val="auto"/>
                <w:spacing w:val="7"/>
                <w:sz w:val="24"/>
                <w:szCs w:val="24"/>
              </w:rPr>
              <w:t>证号</w:t>
            </w:r>
          </w:p>
        </w:tc>
        <w:tc>
          <w:tcPr>
            <w:tcW w:w="839" w:type="dxa"/>
          </w:tcPr>
          <w:p w14:paraId="6095E38E">
            <w:pPr>
              <w:pStyle w:val="25"/>
              <w:spacing w:before="191" w:line="220" w:lineRule="auto"/>
              <w:ind w:left="189"/>
              <w:rPr>
                <w:rFonts w:ascii="Times New Roman" w:hAnsi="Times New Roman" w:cs="Times New Roman"/>
                <w:color w:val="auto"/>
                <w:sz w:val="24"/>
                <w:szCs w:val="24"/>
              </w:rPr>
            </w:pPr>
            <w:r>
              <w:rPr>
                <w:rFonts w:ascii="Times New Roman" w:hAnsi="Times New Roman" w:cs="Times New Roman"/>
                <w:color w:val="auto"/>
                <w:spacing w:val="-3"/>
                <w:sz w:val="24"/>
                <w:szCs w:val="24"/>
              </w:rPr>
              <w:t>专业</w:t>
            </w:r>
          </w:p>
        </w:tc>
        <w:tc>
          <w:tcPr>
            <w:tcW w:w="1054" w:type="dxa"/>
            <w:vMerge w:val="continue"/>
            <w:tcBorders>
              <w:top w:val="nil"/>
            </w:tcBorders>
          </w:tcPr>
          <w:p w14:paraId="4D0A277A">
            <w:pPr>
              <w:rPr>
                <w:rFonts w:ascii="Times New Roman" w:hAnsi="Times New Roman" w:cs="Times New Roman"/>
                <w:color w:val="auto"/>
                <w:sz w:val="21"/>
              </w:rPr>
            </w:pPr>
          </w:p>
        </w:tc>
      </w:tr>
      <w:tr w14:paraId="43B5C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684" w:type="dxa"/>
            <w:vMerge w:val="restart"/>
            <w:tcBorders>
              <w:bottom w:val="nil"/>
            </w:tcBorders>
            <w:textDirection w:val="tbRlV"/>
          </w:tcPr>
          <w:p w14:paraId="1B644B79">
            <w:pPr>
              <w:pStyle w:val="25"/>
              <w:spacing w:before="218" w:line="202" w:lineRule="auto"/>
              <w:ind w:left="739"/>
              <w:rPr>
                <w:rFonts w:ascii="Times New Roman" w:hAnsi="Times New Roman" w:cs="Times New Roman"/>
                <w:color w:val="auto"/>
                <w:sz w:val="24"/>
                <w:szCs w:val="24"/>
              </w:rPr>
            </w:pPr>
            <w:r>
              <w:rPr>
                <w:rFonts w:ascii="Times New Roman" w:hAnsi="Times New Roman" w:cs="Times New Roman"/>
                <w:color w:val="auto"/>
                <w:sz w:val="24"/>
                <w:szCs w:val="24"/>
              </w:rPr>
              <w:t>关</w:t>
            </w:r>
            <w:r>
              <w:rPr>
                <w:rFonts w:ascii="Times New Roman" w:hAnsi="Times New Roman" w:cs="Times New Roman"/>
                <w:color w:val="auto"/>
                <w:spacing w:val="112"/>
                <w:sz w:val="24"/>
                <w:szCs w:val="24"/>
              </w:rPr>
              <w:t xml:space="preserve"> </w:t>
            </w:r>
            <w:r>
              <w:rPr>
                <w:rFonts w:ascii="Times New Roman" w:hAnsi="Times New Roman" w:cs="Times New Roman"/>
                <w:color w:val="auto"/>
                <w:sz w:val="24"/>
                <w:szCs w:val="24"/>
              </w:rPr>
              <w:t>键</w:t>
            </w:r>
            <w:r>
              <w:rPr>
                <w:rFonts w:ascii="Times New Roman" w:hAnsi="Times New Roman" w:cs="Times New Roman"/>
                <w:color w:val="auto"/>
                <w:spacing w:val="112"/>
                <w:sz w:val="24"/>
                <w:szCs w:val="24"/>
              </w:rPr>
              <w:t xml:space="preserve"> </w:t>
            </w:r>
            <w:r>
              <w:rPr>
                <w:rFonts w:ascii="Times New Roman" w:hAnsi="Times New Roman" w:cs="Times New Roman"/>
                <w:color w:val="auto"/>
                <w:sz w:val="24"/>
                <w:szCs w:val="24"/>
              </w:rPr>
              <w:t>岗</w:t>
            </w:r>
            <w:r>
              <w:rPr>
                <w:rFonts w:ascii="Times New Roman" w:hAnsi="Times New Roman" w:cs="Times New Roman"/>
                <w:color w:val="auto"/>
                <w:spacing w:val="113"/>
                <w:sz w:val="24"/>
                <w:szCs w:val="24"/>
              </w:rPr>
              <w:t xml:space="preserve"> </w:t>
            </w:r>
            <w:r>
              <w:rPr>
                <w:rFonts w:ascii="Times New Roman" w:hAnsi="Times New Roman" w:cs="Times New Roman"/>
                <w:color w:val="auto"/>
                <w:sz w:val="24"/>
                <w:szCs w:val="24"/>
              </w:rPr>
              <w:t>位</w:t>
            </w:r>
          </w:p>
        </w:tc>
        <w:tc>
          <w:tcPr>
            <w:tcW w:w="2298" w:type="dxa"/>
            <w:vAlign w:val="center"/>
          </w:tcPr>
          <w:p w14:paraId="7762E332">
            <w:pPr>
              <w:pStyle w:val="25"/>
              <w:spacing w:before="52" w:line="337" w:lineRule="auto"/>
              <w:ind w:left="240" w:leftChars="100" w:right="128"/>
              <w:jc w:val="center"/>
              <w:rPr>
                <w:rFonts w:ascii="Times New Roman" w:hAnsi="Times New Roman" w:cs="Times New Roman"/>
                <w:color w:val="auto"/>
                <w:sz w:val="24"/>
                <w:szCs w:val="24"/>
              </w:rPr>
            </w:pPr>
            <w:r>
              <w:rPr>
                <w:rFonts w:ascii="Times New Roman" w:hAnsi="Times New Roman" w:cs="Times New Roman"/>
                <w:color w:val="auto"/>
                <w:sz w:val="24"/>
                <w:szCs w:val="24"/>
              </w:rPr>
              <w:t>项目</w:t>
            </w:r>
            <w:r>
              <w:rPr>
                <w:rFonts w:ascii="Times New Roman" w:hAnsi="Times New Roman" w:cs="Times New Roman"/>
                <w:color w:val="auto"/>
                <w:sz w:val="24"/>
                <w:szCs w:val="24"/>
                <w:lang w:eastAsia="zh-CN"/>
              </w:rPr>
              <w:t>负责人</w:t>
            </w:r>
          </w:p>
        </w:tc>
        <w:tc>
          <w:tcPr>
            <w:tcW w:w="789" w:type="dxa"/>
          </w:tcPr>
          <w:p w14:paraId="70CDCFBF">
            <w:pPr>
              <w:rPr>
                <w:rFonts w:ascii="Times New Roman" w:hAnsi="Times New Roman" w:cs="Times New Roman"/>
                <w:color w:val="auto"/>
                <w:sz w:val="21"/>
              </w:rPr>
            </w:pPr>
          </w:p>
        </w:tc>
        <w:tc>
          <w:tcPr>
            <w:tcW w:w="949" w:type="dxa"/>
          </w:tcPr>
          <w:p w14:paraId="6B99FD59">
            <w:pPr>
              <w:rPr>
                <w:rFonts w:ascii="Times New Roman" w:hAnsi="Times New Roman" w:cs="Times New Roman"/>
                <w:color w:val="auto"/>
                <w:sz w:val="21"/>
              </w:rPr>
            </w:pPr>
          </w:p>
        </w:tc>
        <w:tc>
          <w:tcPr>
            <w:tcW w:w="749" w:type="dxa"/>
          </w:tcPr>
          <w:p w14:paraId="59A99D31">
            <w:pPr>
              <w:rPr>
                <w:rFonts w:ascii="Times New Roman" w:hAnsi="Times New Roman" w:cs="Times New Roman"/>
                <w:color w:val="auto"/>
                <w:sz w:val="21"/>
              </w:rPr>
            </w:pPr>
          </w:p>
        </w:tc>
        <w:tc>
          <w:tcPr>
            <w:tcW w:w="809" w:type="dxa"/>
          </w:tcPr>
          <w:p w14:paraId="47E187C2">
            <w:pPr>
              <w:rPr>
                <w:rFonts w:ascii="Times New Roman" w:hAnsi="Times New Roman" w:cs="Times New Roman"/>
                <w:color w:val="auto"/>
                <w:sz w:val="21"/>
              </w:rPr>
            </w:pPr>
          </w:p>
        </w:tc>
        <w:tc>
          <w:tcPr>
            <w:tcW w:w="749" w:type="dxa"/>
          </w:tcPr>
          <w:p w14:paraId="585A8609">
            <w:pPr>
              <w:rPr>
                <w:rFonts w:ascii="Times New Roman" w:hAnsi="Times New Roman" w:cs="Times New Roman"/>
                <w:color w:val="auto"/>
                <w:sz w:val="21"/>
              </w:rPr>
            </w:pPr>
          </w:p>
        </w:tc>
        <w:tc>
          <w:tcPr>
            <w:tcW w:w="699" w:type="dxa"/>
          </w:tcPr>
          <w:p w14:paraId="6FA95918">
            <w:pPr>
              <w:rPr>
                <w:rFonts w:ascii="Times New Roman" w:hAnsi="Times New Roman" w:cs="Times New Roman"/>
                <w:color w:val="auto"/>
                <w:sz w:val="21"/>
              </w:rPr>
            </w:pPr>
          </w:p>
        </w:tc>
        <w:tc>
          <w:tcPr>
            <w:tcW w:w="839" w:type="dxa"/>
          </w:tcPr>
          <w:p w14:paraId="30D46C8B">
            <w:pPr>
              <w:rPr>
                <w:rFonts w:ascii="Times New Roman" w:hAnsi="Times New Roman" w:cs="Times New Roman"/>
                <w:color w:val="auto"/>
                <w:sz w:val="21"/>
              </w:rPr>
            </w:pPr>
          </w:p>
        </w:tc>
        <w:tc>
          <w:tcPr>
            <w:tcW w:w="1054" w:type="dxa"/>
          </w:tcPr>
          <w:p w14:paraId="47E6525F">
            <w:pPr>
              <w:rPr>
                <w:rFonts w:ascii="Times New Roman" w:hAnsi="Times New Roman" w:cs="Times New Roman"/>
                <w:color w:val="auto"/>
                <w:sz w:val="21"/>
              </w:rPr>
            </w:pPr>
          </w:p>
        </w:tc>
      </w:tr>
      <w:tr w14:paraId="411A8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9" w:hRule="atLeast"/>
        </w:trPr>
        <w:tc>
          <w:tcPr>
            <w:tcW w:w="684" w:type="dxa"/>
            <w:vMerge w:val="continue"/>
            <w:tcBorders>
              <w:top w:val="nil"/>
              <w:bottom w:val="nil"/>
            </w:tcBorders>
            <w:textDirection w:val="tbRlV"/>
          </w:tcPr>
          <w:p w14:paraId="090CB0EB">
            <w:pPr>
              <w:rPr>
                <w:rFonts w:ascii="Times New Roman" w:hAnsi="Times New Roman" w:cs="Times New Roman"/>
                <w:color w:val="auto"/>
                <w:sz w:val="21"/>
              </w:rPr>
            </w:pPr>
          </w:p>
        </w:tc>
        <w:tc>
          <w:tcPr>
            <w:tcW w:w="2298" w:type="dxa"/>
            <w:vAlign w:val="center"/>
          </w:tcPr>
          <w:p w14:paraId="3A1B0840">
            <w:pPr>
              <w:pStyle w:val="25"/>
              <w:spacing w:before="42" w:line="341" w:lineRule="auto"/>
              <w:ind w:right="128"/>
              <w:jc w:val="center"/>
              <w:rPr>
                <w:rFonts w:ascii="Times New Roman" w:hAnsi="Times New Roman" w:cs="Times New Roman"/>
                <w:color w:val="auto"/>
                <w:sz w:val="24"/>
                <w:szCs w:val="24"/>
              </w:rPr>
            </w:pPr>
            <w:r>
              <w:rPr>
                <w:rFonts w:ascii="Times New Roman" w:hAnsi="Times New Roman" w:cs="Times New Roman"/>
                <w:color w:val="auto"/>
                <w:sz w:val="24"/>
                <w:szCs w:val="24"/>
              </w:rPr>
              <w:t>技术负责人</w:t>
            </w:r>
          </w:p>
        </w:tc>
        <w:tc>
          <w:tcPr>
            <w:tcW w:w="789" w:type="dxa"/>
          </w:tcPr>
          <w:p w14:paraId="25E16766">
            <w:pPr>
              <w:rPr>
                <w:rFonts w:ascii="Times New Roman" w:hAnsi="Times New Roman" w:cs="Times New Roman"/>
                <w:color w:val="auto"/>
                <w:sz w:val="21"/>
              </w:rPr>
            </w:pPr>
          </w:p>
        </w:tc>
        <w:tc>
          <w:tcPr>
            <w:tcW w:w="949" w:type="dxa"/>
          </w:tcPr>
          <w:p w14:paraId="7AD8CBCB">
            <w:pPr>
              <w:rPr>
                <w:rFonts w:ascii="Times New Roman" w:hAnsi="Times New Roman" w:cs="Times New Roman"/>
                <w:color w:val="auto"/>
                <w:sz w:val="21"/>
              </w:rPr>
            </w:pPr>
          </w:p>
        </w:tc>
        <w:tc>
          <w:tcPr>
            <w:tcW w:w="749" w:type="dxa"/>
          </w:tcPr>
          <w:p w14:paraId="2BEDD456">
            <w:pPr>
              <w:rPr>
                <w:rFonts w:ascii="Times New Roman" w:hAnsi="Times New Roman" w:cs="Times New Roman"/>
                <w:color w:val="auto"/>
                <w:sz w:val="21"/>
              </w:rPr>
            </w:pPr>
          </w:p>
        </w:tc>
        <w:tc>
          <w:tcPr>
            <w:tcW w:w="809" w:type="dxa"/>
          </w:tcPr>
          <w:p w14:paraId="75C1FFC3">
            <w:pPr>
              <w:rPr>
                <w:rFonts w:ascii="Times New Roman" w:hAnsi="Times New Roman" w:cs="Times New Roman"/>
                <w:color w:val="auto"/>
                <w:sz w:val="21"/>
              </w:rPr>
            </w:pPr>
          </w:p>
        </w:tc>
        <w:tc>
          <w:tcPr>
            <w:tcW w:w="749" w:type="dxa"/>
          </w:tcPr>
          <w:p w14:paraId="67C69212">
            <w:pPr>
              <w:rPr>
                <w:rFonts w:ascii="Times New Roman" w:hAnsi="Times New Roman" w:cs="Times New Roman"/>
                <w:color w:val="auto"/>
                <w:sz w:val="21"/>
              </w:rPr>
            </w:pPr>
          </w:p>
        </w:tc>
        <w:tc>
          <w:tcPr>
            <w:tcW w:w="699" w:type="dxa"/>
          </w:tcPr>
          <w:p w14:paraId="77C3985C">
            <w:pPr>
              <w:rPr>
                <w:rFonts w:ascii="Times New Roman" w:hAnsi="Times New Roman" w:cs="Times New Roman"/>
                <w:color w:val="auto"/>
                <w:sz w:val="21"/>
              </w:rPr>
            </w:pPr>
          </w:p>
        </w:tc>
        <w:tc>
          <w:tcPr>
            <w:tcW w:w="839" w:type="dxa"/>
          </w:tcPr>
          <w:p w14:paraId="2CDD5853">
            <w:pPr>
              <w:rPr>
                <w:rFonts w:ascii="Times New Roman" w:hAnsi="Times New Roman" w:cs="Times New Roman"/>
                <w:color w:val="auto"/>
                <w:sz w:val="21"/>
              </w:rPr>
            </w:pPr>
          </w:p>
        </w:tc>
        <w:tc>
          <w:tcPr>
            <w:tcW w:w="1054" w:type="dxa"/>
          </w:tcPr>
          <w:p w14:paraId="1966DA18">
            <w:pPr>
              <w:rPr>
                <w:rFonts w:ascii="Times New Roman" w:hAnsi="Times New Roman" w:cs="Times New Roman"/>
                <w:color w:val="auto"/>
                <w:sz w:val="21"/>
              </w:rPr>
            </w:pPr>
          </w:p>
        </w:tc>
      </w:tr>
      <w:tr w14:paraId="05E7A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hRule="atLeast"/>
        </w:trPr>
        <w:tc>
          <w:tcPr>
            <w:tcW w:w="684" w:type="dxa"/>
            <w:vMerge w:val="continue"/>
            <w:tcBorders>
              <w:top w:val="nil"/>
              <w:bottom w:val="nil"/>
            </w:tcBorders>
            <w:textDirection w:val="tbRlV"/>
          </w:tcPr>
          <w:p w14:paraId="78B7DC5F">
            <w:pPr>
              <w:rPr>
                <w:rFonts w:ascii="Times New Roman" w:hAnsi="Times New Roman" w:cs="Times New Roman"/>
                <w:color w:val="auto"/>
                <w:sz w:val="21"/>
              </w:rPr>
            </w:pPr>
          </w:p>
        </w:tc>
        <w:tc>
          <w:tcPr>
            <w:tcW w:w="2298" w:type="dxa"/>
          </w:tcPr>
          <w:p w14:paraId="074650C3">
            <w:pPr>
              <w:pStyle w:val="25"/>
              <w:spacing w:before="114" w:line="220" w:lineRule="auto"/>
              <w:jc w:val="center"/>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施工员</w:t>
            </w:r>
          </w:p>
        </w:tc>
        <w:tc>
          <w:tcPr>
            <w:tcW w:w="789" w:type="dxa"/>
          </w:tcPr>
          <w:p w14:paraId="7CEA47D9">
            <w:pPr>
              <w:rPr>
                <w:rFonts w:ascii="Times New Roman" w:hAnsi="Times New Roman" w:cs="Times New Roman"/>
                <w:color w:val="auto"/>
                <w:sz w:val="21"/>
              </w:rPr>
            </w:pPr>
          </w:p>
        </w:tc>
        <w:tc>
          <w:tcPr>
            <w:tcW w:w="949" w:type="dxa"/>
          </w:tcPr>
          <w:p w14:paraId="2CA7BDDF">
            <w:pPr>
              <w:rPr>
                <w:rFonts w:ascii="Times New Roman" w:hAnsi="Times New Roman" w:cs="Times New Roman"/>
                <w:color w:val="auto"/>
                <w:sz w:val="21"/>
              </w:rPr>
            </w:pPr>
          </w:p>
        </w:tc>
        <w:tc>
          <w:tcPr>
            <w:tcW w:w="749" w:type="dxa"/>
          </w:tcPr>
          <w:p w14:paraId="608B9EDE">
            <w:pPr>
              <w:rPr>
                <w:rFonts w:ascii="Times New Roman" w:hAnsi="Times New Roman" w:cs="Times New Roman"/>
                <w:color w:val="auto"/>
                <w:sz w:val="21"/>
              </w:rPr>
            </w:pPr>
          </w:p>
        </w:tc>
        <w:tc>
          <w:tcPr>
            <w:tcW w:w="809" w:type="dxa"/>
          </w:tcPr>
          <w:p w14:paraId="4352C18F">
            <w:pPr>
              <w:rPr>
                <w:rFonts w:ascii="Times New Roman" w:hAnsi="Times New Roman" w:cs="Times New Roman"/>
                <w:color w:val="auto"/>
                <w:sz w:val="21"/>
              </w:rPr>
            </w:pPr>
          </w:p>
        </w:tc>
        <w:tc>
          <w:tcPr>
            <w:tcW w:w="749" w:type="dxa"/>
          </w:tcPr>
          <w:p w14:paraId="29528858">
            <w:pPr>
              <w:rPr>
                <w:rFonts w:ascii="Times New Roman" w:hAnsi="Times New Roman" w:cs="Times New Roman"/>
                <w:color w:val="auto"/>
                <w:sz w:val="21"/>
              </w:rPr>
            </w:pPr>
          </w:p>
        </w:tc>
        <w:tc>
          <w:tcPr>
            <w:tcW w:w="699" w:type="dxa"/>
          </w:tcPr>
          <w:p w14:paraId="17E4C41D">
            <w:pPr>
              <w:rPr>
                <w:rFonts w:ascii="Times New Roman" w:hAnsi="Times New Roman" w:cs="Times New Roman"/>
                <w:color w:val="auto"/>
                <w:sz w:val="21"/>
              </w:rPr>
            </w:pPr>
          </w:p>
        </w:tc>
        <w:tc>
          <w:tcPr>
            <w:tcW w:w="839" w:type="dxa"/>
          </w:tcPr>
          <w:p w14:paraId="6FC46170">
            <w:pPr>
              <w:rPr>
                <w:rFonts w:ascii="Times New Roman" w:hAnsi="Times New Roman" w:cs="Times New Roman"/>
                <w:color w:val="auto"/>
                <w:sz w:val="21"/>
              </w:rPr>
            </w:pPr>
          </w:p>
        </w:tc>
        <w:tc>
          <w:tcPr>
            <w:tcW w:w="1054" w:type="dxa"/>
          </w:tcPr>
          <w:p w14:paraId="5418AA98">
            <w:pPr>
              <w:rPr>
                <w:rFonts w:ascii="Times New Roman" w:hAnsi="Times New Roman" w:cs="Times New Roman"/>
                <w:color w:val="auto"/>
                <w:sz w:val="21"/>
              </w:rPr>
            </w:pPr>
          </w:p>
        </w:tc>
      </w:tr>
      <w:tr w14:paraId="0F814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684" w:type="dxa"/>
            <w:vMerge w:val="continue"/>
            <w:tcBorders>
              <w:top w:val="nil"/>
              <w:bottom w:val="nil"/>
            </w:tcBorders>
            <w:textDirection w:val="tbRlV"/>
          </w:tcPr>
          <w:p w14:paraId="54EDCBF4">
            <w:pPr>
              <w:rPr>
                <w:rFonts w:ascii="Times New Roman" w:hAnsi="Times New Roman" w:cs="Times New Roman"/>
                <w:color w:val="auto"/>
                <w:sz w:val="21"/>
              </w:rPr>
            </w:pPr>
          </w:p>
        </w:tc>
        <w:tc>
          <w:tcPr>
            <w:tcW w:w="2298" w:type="dxa"/>
          </w:tcPr>
          <w:p w14:paraId="73F72A2D">
            <w:pPr>
              <w:pStyle w:val="25"/>
              <w:spacing w:before="114" w:line="22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质量员</w:t>
            </w:r>
          </w:p>
        </w:tc>
        <w:tc>
          <w:tcPr>
            <w:tcW w:w="789" w:type="dxa"/>
          </w:tcPr>
          <w:p w14:paraId="65AE7B6D">
            <w:pPr>
              <w:rPr>
                <w:rFonts w:ascii="Times New Roman" w:hAnsi="Times New Roman" w:cs="Times New Roman"/>
                <w:color w:val="auto"/>
                <w:sz w:val="21"/>
              </w:rPr>
            </w:pPr>
          </w:p>
        </w:tc>
        <w:tc>
          <w:tcPr>
            <w:tcW w:w="949" w:type="dxa"/>
          </w:tcPr>
          <w:p w14:paraId="37FB7A62">
            <w:pPr>
              <w:rPr>
                <w:rFonts w:ascii="Times New Roman" w:hAnsi="Times New Roman" w:cs="Times New Roman"/>
                <w:color w:val="auto"/>
                <w:sz w:val="21"/>
              </w:rPr>
            </w:pPr>
          </w:p>
        </w:tc>
        <w:tc>
          <w:tcPr>
            <w:tcW w:w="749" w:type="dxa"/>
          </w:tcPr>
          <w:p w14:paraId="5C4169B4">
            <w:pPr>
              <w:rPr>
                <w:rFonts w:ascii="Times New Roman" w:hAnsi="Times New Roman" w:cs="Times New Roman"/>
                <w:color w:val="auto"/>
                <w:sz w:val="21"/>
              </w:rPr>
            </w:pPr>
          </w:p>
        </w:tc>
        <w:tc>
          <w:tcPr>
            <w:tcW w:w="809" w:type="dxa"/>
          </w:tcPr>
          <w:p w14:paraId="3C761A3C">
            <w:pPr>
              <w:rPr>
                <w:rFonts w:ascii="Times New Roman" w:hAnsi="Times New Roman" w:cs="Times New Roman"/>
                <w:color w:val="auto"/>
                <w:sz w:val="21"/>
              </w:rPr>
            </w:pPr>
          </w:p>
        </w:tc>
        <w:tc>
          <w:tcPr>
            <w:tcW w:w="749" w:type="dxa"/>
          </w:tcPr>
          <w:p w14:paraId="67C11ABA">
            <w:pPr>
              <w:rPr>
                <w:rFonts w:ascii="Times New Roman" w:hAnsi="Times New Roman" w:cs="Times New Roman"/>
                <w:color w:val="auto"/>
                <w:sz w:val="21"/>
              </w:rPr>
            </w:pPr>
          </w:p>
        </w:tc>
        <w:tc>
          <w:tcPr>
            <w:tcW w:w="699" w:type="dxa"/>
          </w:tcPr>
          <w:p w14:paraId="3E47FECC">
            <w:pPr>
              <w:rPr>
                <w:rFonts w:ascii="Times New Roman" w:hAnsi="Times New Roman" w:cs="Times New Roman"/>
                <w:color w:val="auto"/>
                <w:sz w:val="21"/>
              </w:rPr>
            </w:pPr>
          </w:p>
        </w:tc>
        <w:tc>
          <w:tcPr>
            <w:tcW w:w="839" w:type="dxa"/>
          </w:tcPr>
          <w:p w14:paraId="090C4A70">
            <w:pPr>
              <w:rPr>
                <w:rFonts w:ascii="Times New Roman" w:hAnsi="Times New Roman" w:cs="Times New Roman"/>
                <w:color w:val="auto"/>
                <w:sz w:val="21"/>
              </w:rPr>
            </w:pPr>
          </w:p>
        </w:tc>
        <w:tc>
          <w:tcPr>
            <w:tcW w:w="1054" w:type="dxa"/>
          </w:tcPr>
          <w:p w14:paraId="2793FDBD">
            <w:pPr>
              <w:rPr>
                <w:rFonts w:ascii="Times New Roman" w:hAnsi="Times New Roman" w:cs="Times New Roman"/>
                <w:color w:val="auto"/>
                <w:sz w:val="21"/>
              </w:rPr>
            </w:pPr>
          </w:p>
        </w:tc>
      </w:tr>
      <w:tr w14:paraId="30216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684" w:type="dxa"/>
            <w:vMerge w:val="continue"/>
            <w:tcBorders>
              <w:top w:val="nil"/>
              <w:bottom w:val="nil"/>
            </w:tcBorders>
            <w:textDirection w:val="tbRlV"/>
          </w:tcPr>
          <w:p w14:paraId="0436D5EE">
            <w:pPr>
              <w:rPr>
                <w:rFonts w:ascii="Times New Roman" w:hAnsi="Times New Roman" w:cs="Times New Roman"/>
                <w:color w:val="auto"/>
                <w:sz w:val="21"/>
              </w:rPr>
            </w:pPr>
          </w:p>
        </w:tc>
        <w:tc>
          <w:tcPr>
            <w:tcW w:w="2298" w:type="dxa"/>
          </w:tcPr>
          <w:p w14:paraId="4F68F21F">
            <w:pPr>
              <w:pStyle w:val="25"/>
              <w:spacing w:before="114" w:line="22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安全员</w:t>
            </w:r>
          </w:p>
        </w:tc>
        <w:tc>
          <w:tcPr>
            <w:tcW w:w="789" w:type="dxa"/>
          </w:tcPr>
          <w:p w14:paraId="732008F7">
            <w:pPr>
              <w:rPr>
                <w:rFonts w:ascii="Times New Roman" w:hAnsi="Times New Roman" w:cs="Times New Roman"/>
                <w:color w:val="auto"/>
                <w:sz w:val="21"/>
              </w:rPr>
            </w:pPr>
          </w:p>
        </w:tc>
        <w:tc>
          <w:tcPr>
            <w:tcW w:w="949" w:type="dxa"/>
          </w:tcPr>
          <w:p w14:paraId="116162F1">
            <w:pPr>
              <w:rPr>
                <w:rFonts w:ascii="Times New Roman" w:hAnsi="Times New Roman" w:cs="Times New Roman"/>
                <w:color w:val="auto"/>
                <w:sz w:val="21"/>
              </w:rPr>
            </w:pPr>
          </w:p>
        </w:tc>
        <w:tc>
          <w:tcPr>
            <w:tcW w:w="749" w:type="dxa"/>
          </w:tcPr>
          <w:p w14:paraId="11EF6BFD">
            <w:pPr>
              <w:rPr>
                <w:rFonts w:ascii="Times New Roman" w:hAnsi="Times New Roman" w:cs="Times New Roman"/>
                <w:color w:val="auto"/>
                <w:sz w:val="21"/>
              </w:rPr>
            </w:pPr>
          </w:p>
        </w:tc>
        <w:tc>
          <w:tcPr>
            <w:tcW w:w="809" w:type="dxa"/>
          </w:tcPr>
          <w:p w14:paraId="22B772B5">
            <w:pPr>
              <w:rPr>
                <w:rFonts w:ascii="Times New Roman" w:hAnsi="Times New Roman" w:cs="Times New Roman"/>
                <w:color w:val="auto"/>
                <w:sz w:val="21"/>
              </w:rPr>
            </w:pPr>
          </w:p>
        </w:tc>
        <w:tc>
          <w:tcPr>
            <w:tcW w:w="749" w:type="dxa"/>
          </w:tcPr>
          <w:p w14:paraId="3E94E7F8">
            <w:pPr>
              <w:rPr>
                <w:rFonts w:ascii="Times New Roman" w:hAnsi="Times New Roman" w:cs="Times New Roman"/>
                <w:color w:val="auto"/>
                <w:sz w:val="21"/>
              </w:rPr>
            </w:pPr>
          </w:p>
        </w:tc>
        <w:tc>
          <w:tcPr>
            <w:tcW w:w="699" w:type="dxa"/>
          </w:tcPr>
          <w:p w14:paraId="50E970A1">
            <w:pPr>
              <w:rPr>
                <w:rFonts w:ascii="Times New Roman" w:hAnsi="Times New Roman" w:cs="Times New Roman"/>
                <w:color w:val="auto"/>
                <w:sz w:val="21"/>
              </w:rPr>
            </w:pPr>
          </w:p>
        </w:tc>
        <w:tc>
          <w:tcPr>
            <w:tcW w:w="839" w:type="dxa"/>
          </w:tcPr>
          <w:p w14:paraId="08194EE6">
            <w:pPr>
              <w:rPr>
                <w:rFonts w:ascii="Times New Roman" w:hAnsi="Times New Roman" w:cs="Times New Roman"/>
                <w:color w:val="auto"/>
                <w:sz w:val="21"/>
              </w:rPr>
            </w:pPr>
          </w:p>
        </w:tc>
        <w:tc>
          <w:tcPr>
            <w:tcW w:w="1054" w:type="dxa"/>
          </w:tcPr>
          <w:p w14:paraId="7F5D5C5C">
            <w:pPr>
              <w:rPr>
                <w:rFonts w:ascii="Times New Roman" w:hAnsi="Times New Roman" w:cs="Times New Roman"/>
                <w:color w:val="auto"/>
                <w:sz w:val="21"/>
              </w:rPr>
            </w:pPr>
          </w:p>
        </w:tc>
      </w:tr>
      <w:tr w14:paraId="18744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9" w:hRule="atLeast"/>
        </w:trPr>
        <w:tc>
          <w:tcPr>
            <w:tcW w:w="684" w:type="dxa"/>
            <w:vMerge w:val="continue"/>
            <w:tcBorders>
              <w:top w:val="nil"/>
            </w:tcBorders>
            <w:textDirection w:val="tbRlV"/>
          </w:tcPr>
          <w:p w14:paraId="1055949B">
            <w:pPr>
              <w:rPr>
                <w:rFonts w:ascii="Times New Roman" w:hAnsi="Times New Roman" w:cs="Times New Roman"/>
                <w:color w:val="auto"/>
                <w:sz w:val="21"/>
              </w:rPr>
            </w:pPr>
          </w:p>
        </w:tc>
        <w:tc>
          <w:tcPr>
            <w:tcW w:w="2298" w:type="dxa"/>
          </w:tcPr>
          <w:p w14:paraId="71FF8B07">
            <w:pPr>
              <w:pStyle w:val="25"/>
              <w:spacing w:before="195" w:line="221" w:lineRule="auto"/>
              <w:jc w:val="center"/>
              <w:rPr>
                <w:rFonts w:ascii="Times New Roman" w:hAnsi="Times New Roman" w:cs="Times New Roman"/>
                <w:color w:val="auto"/>
                <w:sz w:val="24"/>
                <w:szCs w:val="24"/>
                <w:lang w:eastAsia="zh-CN"/>
              </w:rPr>
            </w:pPr>
            <w:r>
              <w:rPr>
                <w:rFonts w:ascii="Times New Roman" w:hAnsi="Times New Roman" w:cs="Times New Roman"/>
                <w:color w:val="auto"/>
                <w:spacing w:val="-7"/>
                <w:position w:val="3"/>
                <w:sz w:val="24"/>
                <w:szCs w:val="24"/>
              </w:rPr>
              <w:t>……</w:t>
            </w:r>
          </w:p>
        </w:tc>
        <w:tc>
          <w:tcPr>
            <w:tcW w:w="789" w:type="dxa"/>
          </w:tcPr>
          <w:p w14:paraId="4AE90D9C">
            <w:pPr>
              <w:rPr>
                <w:rFonts w:ascii="Times New Roman" w:hAnsi="Times New Roman" w:cs="Times New Roman"/>
                <w:color w:val="auto"/>
                <w:sz w:val="21"/>
              </w:rPr>
            </w:pPr>
          </w:p>
        </w:tc>
        <w:tc>
          <w:tcPr>
            <w:tcW w:w="949" w:type="dxa"/>
          </w:tcPr>
          <w:p w14:paraId="13FBA3D5">
            <w:pPr>
              <w:rPr>
                <w:rFonts w:ascii="Times New Roman" w:hAnsi="Times New Roman" w:cs="Times New Roman"/>
                <w:color w:val="auto"/>
                <w:sz w:val="21"/>
              </w:rPr>
            </w:pPr>
          </w:p>
        </w:tc>
        <w:tc>
          <w:tcPr>
            <w:tcW w:w="749" w:type="dxa"/>
          </w:tcPr>
          <w:p w14:paraId="47A406B6">
            <w:pPr>
              <w:rPr>
                <w:rFonts w:ascii="Times New Roman" w:hAnsi="Times New Roman" w:cs="Times New Roman"/>
                <w:color w:val="auto"/>
                <w:sz w:val="21"/>
              </w:rPr>
            </w:pPr>
          </w:p>
        </w:tc>
        <w:tc>
          <w:tcPr>
            <w:tcW w:w="809" w:type="dxa"/>
          </w:tcPr>
          <w:p w14:paraId="16380127">
            <w:pPr>
              <w:rPr>
                <w:rFonts w:ascii="Times New Roman" w:hAnsi="Times New Roman" w:cs="Times New Roman"/>
                <w:color w:val="auto"/>
                <w:sz w:val="21"/>
              </w:rPr>
            </w:pPr>
          </w:p>
        </w:tc>
        <w:tc>
          <w:tcPr>
            <w:tcW w:w="749" w:type="dxa"/>
          </w:tcPr>
          <w:p w14:paraId="28656437">
            <w:pPr>
              <w:rPr>
                <w:rFonts w:ascii="Times New Roman" w:hAnsi="Times New Roman" w:cs="Times New Roman"/>
                <w:color w:val="auto"/>
                <w:sz w:val="21"/>
              </w:rPr>
            </w:pPr>
          </w:p>
        </w:tc>
        <w:tc>
          <w:tcPr>
            <w:tcW w:w="699" w:type="dxa"/>
          </w:tcPr>
          <w:p w14:paraId="3F0E5D06">
            <w:pPr>
              <w:rPr>
                <w:rFonts w:ascii="Times New Roman" w:hAnsi="Times New Roman" w:cs="Times New Roman"/>
                <w:color w:val="auto"/>
                <w:sz w:val="21"/>
              </w:rPr>
            </w:pPr>
          </w:p>
        </w:tc>
        <w:tc>
          <w:tcPr>
            <w:tcW w:w="839" w:type="dxa"/>
          </w:tcPr>
          <w:p w14:paraId="130F5015">
            <w:pPr>
              <w:rPr>
                <w:rFonts w:ascii="Times New Roman" w:hAnsi="Times New Roman" w:cs="Times New Roman"/>
                <w:color w:val="auto"/>
                <w:sz w:val="21"/>
              </w:rPr>
            </w:pPr>
          </w:p>
        </w:tc>
        <w:tc>
          <w:tcPr>
            <w:tcW w:w="1054" w:type="dxa"/>
          </w:tcPr>
          <w:p w14:paraId="533AB130">
            <w:pPr>
              <w:rPr>
                <w:rFonts w:ascii="Times New Roman" w:hAnsi="Times New Roman" w:cs="Times New Roman"/>
                <w:color w:val="auto"/>
                <w:sz w:val="21"/>
              </w:rPr>
            </w:pPr>
          </w:p>
        </w:tc>
      </w:tr>
      <w:tr w14:paraId="51C26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84" w:type="dxa"/>
            <w:vMerge w:val="restart"/>
            <w:tcBorders>
              <w:bottom w:val="nil"/>
            </w:tcBorders>
            <w:textDirection w:val="tbRlV"/>
          </w:tcPr>
          <w:p w14:paraId="007E6E2E">
            <w:pPr>
              <w:pStyle w:val="25"/>
              <w:spacing w:before="217" w:line="202" w:lineRule="auto"/>
              <w:ind w:left="33"/>
              <w:rPr>
                <w:rFonts w:ascii="Times New Roman" w:hAnsi="Times New Roman" w:cs="Times New Roman"/>
                <w:color w:val="auto"/>
                <w:sz w:val="24"/>
                <w:szCs w:val="24"/>
              </w:rPr>
            </w:pPr>
            <w:r>
              <w:rPr>
                <w:rFonts w:ascii="Times New Roman" w:hAnsi="Times New Roman" w:cs="Times New Roman"/>
                <w:color w:val="auto"/>
                <w:sz w:val="24"/>
                <w:szCs w:val="24"/>
              </w:rPr>
              <w:t>其</w:t>
            </w:r>
            <w:r>
              <w:rPr>
                <w:rFonts w:ascii="Times New Roman" w:hAnsi="Times New Roman" w:cs="Times New Roman"/>
                <w:color w:val="auto"/>
                <w:spacing w:val="112"/>
                <w:sz w:val="24"/>
                <w:szCs w:val="24"/>
              </w:rPr>
              <w:t xml:space="preserve"> </w:t>
            </w:r>
            <w:r>
              <w:rPr>
                <w:rFonts w:ascii="Times New Roman" w:hAnsi="Times New Roman" w:cs="Times New Roman"/>
                <w:color w:val="auto"/>
                <w:sz w:val="24"/>
                <w:szCs w:val="24"/>
              </w:rPr>
              <w:t>他</w:t>
            </w:r>
            <w:r>
              <w:rPr>
                <w:rFonts w:ascii="Times New Roman" w:hAnsi="Times New Roman" w:cs="Times New Roman"/>
                <w:color w:val="auto"/>
                <w:spacing w:val="112"/>
                <w:sz w:val="24"/>
                <w:szCs w:val="24"/>
              </w:rPr>
              <w:t xml:space="preserve"> </w:t>
            </w:r>
            <w:r>
              <w:rPr>
                <w:rFonts w:ascii="Times New Roman" w:hAnsi="Times New Roman" w:cs="Times New Roman"/>
                <w:color w:val="auto"/>
                <w:sz w:val="24"/>
                <w:szCs w:val="24"/>
              </w:rPr>
              <w:t>岗</w:t>
            </w:r>
            <w:r>
              <w:rPr>
                <w:rFonts w:ascii="Times New Roman" w:hAnsi="Times New Roman" w:cs="Times New Roman"/>
                <w:color w:val="auto"/>
                <w:spacing w:val="112"/>
                <w:sz w:val="24"/>
                <w:szCs w:val="24"/>
              </w:rPr>
              <w:t xml:space="preserve"> </w:t>
            </w:r>
            <w:r>
              <w:rPr>
                <w:rFonts w:ascii="Times New Roman" w:hAnsi="Times New Roman" w:cs="Times New Roman"/>
                <w:color w:val="auto"/>
                <w:sz w:val="24"/>
                <w:szCs w:val="24"/>
              </w:rPr>
              <w:t>位</w:t>
            </w:r>
          </w:p>
        </w:tc>
        <w:tc>
          <w:tcPr>
            <w:tcW w:w="2298" w:type="dxa"/>
          </w:tcPr>
          <w:p w14:paraId="2C6FB57A">
            <w:pPr>
              <w:pStyle w:val="25"/>
              <w:spacing w:before="108" w:line="378" w:lineRule="exact"/>
              <w:jc w:val="center"/>
              <w:rPr>
                <w:rFonts w:ascii="Times New Roman" w:hAnsi="Times New Roman" w:cs="Times New Roman"/>
                <w:color w:val="auto"/>
                <w:sz w:val="24"/>
                <w:szCs w:val="24"/>
              </w:rPr>
            </w:pPr>
            <w:r>
              <w:rPr>
                <w:rFonts w:ascii="Times New Roman" w:hAnsi="Times New Roman" w:cs="Times New Roman"/>
                <w:color w:val="auto"/>
                <w:spacing w:val="-7"/>
                <w:position w:val="3"/>
                <w:sz w:val="24"/>
                <w:szCs w:val="24"/>
              </w:rPr>
              <w:t>……</w:t>
            </w:r>
          </w:p>
        </w:tc>
        <w:tc>
          <w:tcPr>
            <w:tcW w:w="789" w:type="dxa"/>
          </w:tcPr>
          <w:p w14:paraId="6C1D3684">
            <w:pPr>
              <w:rPr>
                <w:rFonts w:ascii="Times New Roman" w:hAnsi="Times New Roman" w:cs="Times New Roman"/>
                <w:color w:val="auto"/>
                <w:sz w:val="21"/>
              </w:rPr>
            </w:pPr>
          </w:p>
        </w:tc>
        <w:tc>
          <w:tcPr>
            <w:tcW w:w="949" w:type="dxa"/>
          </w:tcPr>
          <w:p w14:paraId="2F1786B6">
            <w:pPr>
              <w:rPr>
                <w:rFonts w:ascii="Times New Roman" w:hAnsi="Times New Roman" w:cs="Times New Roman"/>
                <w:color w:val="auto"/>
                <w:sz w:val="21"/>
              </w:rPr>
            </w:pPr>
          </w:p>
        </w:tc>
        <w:tc>
          <w:tcPr>
            <w:tcW w:w="749" w:type="dxa"/>
          </w:tcPr>
          <w:p w14:paraId="0D660583">
            <w:pPr>
              <w:rPr>
                <w:rFonts w:ascii="Times New Roman" w:hAnsi="Times New Roman" w:cs="Times New Roman"/>
                <w:color w:val="auto"/>
                <w:sz w:val="21"/>
              </w:rPr>
            </w:pPr>
          </w:p>
        </w:tc>
        <w:tc>
          <w:tcPr>
            <w:tcW w:w="809" w:type="dxa"/>
          </w:tcPr>
          <w:p w14:paraId="65BA0160">
            <w:pPr>
              <w:rPr>
                <w:rFonts w:ascii="Times New Roman" w:hAnsi="Times New Roman" w:cs="Times New Roman"/>
                <w:color w:val="auto"/>
                <w:sz w:val="21"/>
              </w:rPr>
            </w:pPr>
          </w:p>
        </w:tc>
        <w:tc>
          <w:tcPr>
            <w:tcW w:w="749" w:type="dxa"/>
          </w:tcPr>
          <w:p w14:paraId="481D18B7">
            <w:pPr>
              <w:rPr>
                <w:rFonts w:ascii="Times New Roman" w:hAnsi="Times New Roman" w:cs="Times New Roman"/>
                <w:color w:val="auto"/>
                <w:sz w:val="21"/>
              </w:rPr>
            </w:pPr>
          </w:p>
        </w:tc>
        <w:tc>
          <w:tcPr>
            <w:tcW w:w="699" w:type="dxa"/>
          </w:tcPr>
          <w:p w14:paraId="47C7DA7A">
            <w:pPr>
              <w:rPr>
                <w:rFonts w:ascii="Times New Roman" w:hAnsi="Times New Roman" w:cs="Times New Roman"/>
                <w:color w:val="auto"/>
                <w:sz w:val="21"/>
              </w:rPr>
            </w:pPr>
          </w:p>
        </w:tc>
        <w:tc>
          <w:tcPr>
            <w:tcW w:w="839" w:type="dxa"/>
          </w:tcPr>
          <w:p w14:paraId="5A93CBE9">
            <w:pPr>
              <w:rPr>
                <w:rFonts w:ascii="Times New Roman" w:hAnsi="Times New Roman" w:cs="Times New Roman"/>
                <w:color w:val="auto"/>
                <w:sz w:val="21"/>
              </w:rPr>
            </w:pPr>
          </w:p>
        </w:tc>
        <w:tc>
          <w:tcPr>
            <w:tcW w:w="1054" w:type="dxa"/>
          </w:tcPr>
          <w:p w14:paraId="6CA657B1">
            <w:pPr>
              <w:rPr>
                <w:rFonts w:ascii="Times New Roman" w:hAnsi="Times New Roman" w:cs="Times New Roman"/>
                <w:color w:val="auto"/>
                <w:sz w:val="21"/>
              </w:rPr>
            </w:pPr>
          </w:p>
        </w:tc>
      </w:tr>
      <w:tr w14:paraId="07937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684" w:type="dxa"/>
            <w:vMerge w:val="continue"/>
            <w:tcBorders>
              <w:top w:val="nil"/>
              <w:bottom w:val="nil"/>
            </w:tcBorders>
            <w:textDirection w:val="tbRlV"/>
          </w:tcPr>
          <w:p w14:paraId="1C7C1FD1">
            <w:pPr>
              <w:rPr>
                <w:rFonts w:ascii="Times New Roman" w:hAnsi="Times New Roman" w:cs="Times New Roman"/>
                <w:color w:val="auto"/>
                <w:sz w:val="21"/>
              </w:rPr>
            </w:pPr>
          </w:p>
        </w:tc>
        <w:tc>
          <w:tcPr>
            <w:tcW w:w="2298" w:type="dxa"/>
          </w:tcPr>
          <w:p w14:paraId="104DE6DA">
            <w:pPr>
              <w:rPr>
                <w:rFonts w:ascii="Times New Roman" w:hAnsi="Times New Roman" w:cs="Times New Roman"/>
                <w:color w:val="auto"/>
                <w:sz w:val="21"/>
              </w:rPr>
            </w:pPr>
          </w:p>
        </w:tc>
        <w:tc>
          <w:tcPr>
            <w:tcW w:w="789" w:type="dxa"/>
          </w:tcPr>
          <w:p w14:paraId="728AD77C">
            <w:pPr>
              <w:rPr>
                <w:rFonts w:ascii="Times New Roman" w:hAnsi="Times New Roman" w:cs="Times New Roman"/>
                <w:color w:val="auto"/>
                <w:sz w:val="21"/>
              </w:rPr>
            </w:pPr>
          </w:p>
        </w:tc>
        <w:tc>
          <w:tcPr>
            <w:tcW w:w="949" w:type="dxa"/>
          </w:tcPr>
          <w:p w14:paraId="026A4FA3">
            <w:pPr>
              <w:rPr>
                <w:rFonts w:ascii="Times New Roman" w:hAnsi="Times New Roman" w:cs="Times New Roman"/>
                <w:color w:val="auto"/>
                <w:sz w:val="21"/>
              </w:rPr>
            </w:pPr>
          </w:p>
        </w:tc>
        <w:tc>
          <w:tcPr>
            <w:tcW w:w="749" w:type="dxa"/>
          </w:tcPr>
          <w:p w14:paraId="37B84E31">
            <w:pPr>
              <w:rPr>
                <w:rFonts w:ascii="Times New Roman" w:hAnsi="Times New Roman" w:cs="Times New Roman"/>
                <w:color w:val="auto"/>
                <w:sz w:val="21"/>
              </w:rPr>
            </w:pPr>
          </w:p>
        </w:tc>
        <w:tc>
          <w:tcPr>
            <w:tcW w:w="809" w:type="dxa"/>
          </w:tcPr>
          <w:p w14:paraId="784AC3E8">
            <w:pPr>
              <w:rPr>
                <w:rFonts w:ascii="Times New Roman" w:hAnsi="Times New Roman" w:cs="Times New Roman"/>
                <w:color w:val="auto"/>
                <w:sz w:val="21"/>
              </w:rPr>
            </w:pPr>
          </w:p>
        </w:tc>
        <w:tc>
          <w:tcPr>
            <w:tcW w:w="749" w:type="dxa"/>
          </w:tcPr>
          <w:p w14:paraId="57A882BA">
            <w:pPr>
              <w:rPr>
                <w:rFonts w:ascii="Times New Roman" w:hAnsi="Times New Roman" w:cs="Times New Roman"/>
                <w:color w:val="auto"/>
                <w:sz w:val="21"/>
              </w:rPr>
            </w:pPr>
          </w:p>
        </w:tc>
        <w:tc>
          <w:tcPr>
            <w:tcW w:w="699" w:type="dxa"/>
          </w:tcPr>
          <w:p w14:paraId="21BFDD22">
            <w:pPr>
              <w:rPr>
                <w:rFonts w:ascii="Times New Roman" w:hAnsi="Times New Roman" w:cs="Times New Roman"/>
                <w:color w:val="auto"/>
                <w:sz w:val="21"/>
              </w:rPr>
            </w:pPr>
          </w:p>
        </w:tc>
        <w:tc>
          <w:tcPr>
            <w:tcW w:w="839" w:type="dxa"/>
          </w:tcPr>
          <w:p w14:paraId="66EA439C">
            <w:pPr>
              <w:rPr>
                <w:rFonts w:ascii="Times New Roman" w:hAnsi="Times New Roman" w:cs="Times New Roman"/>
                <w:color w:val="auto"/>
                <w:sz w:val="21"/>
              </w:rPr>
            </w:pPr>
          </w:p>
        </w:tc>
        <w:tc>
          <w:tcPr>
            <w:tcW w:w="1054" w:type="dxa"/>
          </w:tcPr>
          <w:p w14:paraId="41E10F9B">
            <w:pPr>
              <w:rPr>
                <w:rFonts w:ascii="Times New Roman" w:hAnsi="Times New Roman" w:cs="Times New Roman"/>
                <w:color w:val="auto"/>
                <w:sz w:val="21"/>
              </w:rPr>
            </w:pPr>
          </w:p>
        </w:tc>
      </w:tr>
      <w:tr w14:paraId="4F937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9" w:hRule="atLeast"/>
        </w:trPr>
        <w:tc>
          <w:tcPr>
            <w:tcW w:w="684" w:type="dxa"/>
            <w:vMerge w:val="continue"/>
            <w:tcBorders>
              <w:top w:val="nil"/>
              <w:bottom w:val="nil"/>
            </w:tcBorders>
            <w:textDirection w:val="tbRlV"/>
          </w:tcPr>
          <w:p w14:paraId="7CE0EA56">
            <w:pPr>
              <w:rPr>
                <w:rFonts w:ascii="Times New Roman" w:hAnsi="Times New Roman" w:cs="Times New Roman"/>
                <w:color w:val="auto"/>
                <w:sz w:val="21"/>
              </w:rPr>
            </w:pPr>
          </w:p>
        </w:tc>
        <w:tc>
          <w:tcPr>
            <w:tcW w:w="2298" w:type="dxa"/>
          </w:tcPr>
          <w:p w14:paraId="1377C1AE">
            <w:pPr>
              <w:rPr>
                <w:rFonts w:ascii="Times New Roman" w:hAnsi="Times New Roman" w:cs="Times New Roman"/>
                <w:color w:val="auto"/>
                <w:sz w:val="21"/>
              </w:rPr>
            </w:pPr>
          </w:p>
        </w:tc>
        <w:tc>
          <w:tcPr>
            <w:tcW w:w="789" w:type="dxa"/>
          </w:tcPr>
          <w:p w14:paraId="39497A87">
            <w:pPr>
              <w:rPr>
                <w:rFonts w:ascii="Times New Roman" w:hAnsi="Times New Roman" w:cs="Times New Roman"/>
                <w:color w:val="auto"/>
                <w:sz w:val="21"/>
              </w:rPr>
            </w:pPr>
          </w:p>
        </w:tc>
        <w:tc>
          <w:tcPr>
            <w:tcW w:w="949" w:type="dxa"/>
          </w:tcPr>
          <w:p w14:paraId="6FCB511D">
            <w:pPr>
              <w:rPr>
                <w:rFonts w:ascii="Times New Roman" w:hAnsi="Times New Roman" w:cs="Times New Roman"/>
                <w:color w:val="auto"/>
                <w:sz w:val="21"/>
              </w:rPr>
            </w:pPr>
          </w:p>
        </w:tc>
        <w:tc>
          <w:tcPr>
            <w:tcW w:w="749" w:type="dxa"/>
          </w:tcPr>
          <w:p w14:paraId="6549BA00">
            <w:pPr>
              <w:rPr>
                <w:rFonts w:ascii="Times New Roman" w:hAnsi="Times New Roman" w:cs="Times New Roman"/>
                <w:color w:val="auto"/>
                <w:sz w:val="21"/>
              </w:rPr>
            </w:pPr>
          </w:p>
        </w:tc>
        <w:tc>
          <w:tcPr>
            <w:tcW w:w="809" w:type="dxa"/>
          </w:tcPr>
          <w:p w14:paraId="7DD8F17D">
            <w:pPr>
              <w:rPr>
                <w:rFonts w:ascii="Times New Roman" w:hAnsi="Times New Roman" w:cs="Times New Roman"/>
                <w:color w:val="auto"/>
                <w:sz w:val="21"/>
              </w:rPr>
            </w:pPr>
          </w:p>
        </w:tc>
        <w:tc>
          <w:tcPr>
            <w:tcW w:w="749" w:type="dxa"/>
          </w:tcPr>
          <w:p w14:paraId="084A157E">
            <w:pPr>
              <w:rPr>
                <w:rFonts w:ascii="Times New Roman" w:hAnsi="Times New Roman" w:cs="Times New Roman"/>
                <w:color w:val="auto"/>
                <w:sz w:val="21"/>
              </w:rPr>
            </w:pPr>
          </w:p>
        </w:tc>
        <w:tc>
          <w:tcPr>
            <w:tcW w:w="699" w:type="dxa"/>
          </w:tcPr>
          <w:p w14:paraId="71F3903B">
            <w:pPr>
              <w:rPr>
                <w:rFonts w:ascii="Times New Roman" w:hAnsi="Times New Roman" w:cs="Times New Roman"/>
                <w:color w:val="auto"/>
                <w:sz w:val="21"/>
              </w:rPr>
            </w:pPr>
          </w:p>
        </w:tc>
        <w:tc>
          <w:tcPr>
            <w:tcW w:w="839" w:type="dxa"/>
          </w:tcPr>
          <w:p w14:paraId="411F2CB6">
            <w:pPr>
              <w:rPr>
                <w:rFonts w:ascii="Times New Roman" w:hAnsi="Times New Roman" w:cs="Times New Roman"/>
                <w:color w:val="auto"/>
                <w:sz w:val="21"/>
              </w:rPr>
            </w:pPr>
          </w:p>
        </w:tc>
        <w:tc>
          <w:tcPr>
            <w:tcW w:w="1054" w:type="dxa"/>
          </w:tcPr>
          <w:p w14:paraId="0D1E7733">
            <w:pPr>
              <w:rPr>
                <w:rFonts w:ascii="Times New Roman" w:hAnsi="Times New Roman" w:cs="Times New Roman"/>
                <w:color w:val="auto"/>
                <w:sz w:val="21"/>
              </w:rPr>
            </w:pPr>
          </w:p>
        </w:tc>
      </w:tr>
      <w:tr w14:paraId="65635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84" w:type="dxa"/>
            <w:vMerge w:val="continue"/>
            <w:tcBorders>
              <w:top w:val="nil"/>
            </w:tcBorders>
            <w:textDirection w:val="tbRlV"/>
          </w:tcPr>
          <w:p w14:paraId="0D3D1413">
            <w:pPr>
              <w:rPr>
                <w:rFonts w:ascii="Times New Roman" w:hAnsi="Times New Roman" w:cs="Times New Roman"/>
                <w:color w:val="auto"/>
                <w:sz w:val="21"/>
              </w:rPr>
            </w:pPr>
          </w:p>
        </w:tc>
        <w:tc>
          <w:tcPr>
            <w:tcW w:w="2298" w:type="dxa"/>
          </w:tcPr>
          <w:p w14:paraId="35DEA478">
            <w:pPr>
              <w:rPr>
                <w:rFonts w:ascii="Times New Roman" w:hAnsi="Times New Roman" w:cs="Times New Roman"/>
                <w:color w:val="auto"/>
                <w:sz w:val="21"/>
              </w:rPr>
            </w:pPr>
          </w:p>
        </w:tc>
        <w:tc>
          <w:tcPr>
            <w:tcW w:w="789" w:type="dxa"/>
          </w:tcPr>
          <w:p w14:paraId="785F12EB">
            <w:pPr>
              <w:rPr>
                <w:rFonts w:ascii="Times New Roman" w:hAnsi="Times New Roman" w:cs="Times New Roman"/>
                <w:color w:val="auto"/>
                <w:sz w:val="21"/>
              </w:rPr>
            </w:pPr>
          </w:p>
        </w:tc>
        <w:tc>
          <w:tcPr>
            <w:tcW w:w="949" w:type="dxa"/>
          </w:tcPr>
          <w:p w14:paraId="467493F3">
            <w:pPr>
              <w:rPr>
                <w:rFonts w:ascii="Times New Roman" w:hAnsi="Times New Roman" w:cs="Times New Roman"/>
                <w:color w:val="auto"/>
                <w:sz w:val="21"/>
              </w:rPr>
            </w:pPr>
          </w:p>
        </w:tc>
        <w:tc>
          <w:tcPr>
            <w:tcW w:w="749" w:type="dxa"/>
          </w:tcPr>
          <w:p w14:paraId="169E0C8B">
            <w:pPr>
              <w:rPr>
                <w:rFonts w:ascii="Times New Roman" w:hAnsi="Times New Roman" w:cs="Times New Roman"/>
                <w:color w:val="auto"/>
                <w:sz w:val="21"/>
              </w:rPr>
            </w:pPr>
          </w:p>
        </w:tc>
        <w:tc>
          <w:tcPr>
            <w:tcW w:w="809" w:type="dxa"/>
          </w:tcPr>
          <w:p w14:paraId="268E4276">
            <w:pPr>
              <w:rPr>
                <w:rFonts w:ascii="Times New Roman" w:hAnsi="Times New Roman" w:cs="Times New Roman"/>
                <w:color w:val="auto"/>
                <w:sz w:val="21"/>
              </w:rPr>
            </w:pPr>
          </w:p>
        </w:tc>
        <w:tc>
          <w:tcPr>
            <w:tcW w:w="749" w:type="dxa"/>
          </w:tcPr>
          <w:p w14:paraId="0B9855AF">
            <w:pPr>
              <w:rPr>
                <w:rFonts w:ascii="Times New Roman" w:hAnsi="Times New Roman" w:cs="Times New Roman"/>
                <w:color w:val="auto"/>
                <w:sz w:val="21"/>
              </w:rPr>
            </w:pPr>
          </w:p>
        </w:tc>
        <w:tc>
          <w:tcPr>
            <w:tcW w:w="699" w:type="dxa"/>
          </w:tcPr>
          <w:p w14:paraId="01B4558D">
            <w:pPr>
              <w:rPr>
                <w:rFonts w:ascii="Times New Roman" w:hAnsi="Times New Roman" w:cs="Times New Roman"/>
                <w:color w:val="auto"/>
                <w:sz w:val="21"/>
              </w:rPr>
            </w:pPr>
          </w:p>
        </w:tc>
        <w:tc>
          <w:tcPr>
            <w:tcW w:w="839" w:type="dxa"/>
          </w:tcPr>
          <w:p w14:paraId="7C50982C">
            <w:pPr>
              <w:rPr>
                <w:rFonts w:ascii="Times New Roman" w:hAnsi="Times New Roman" w:cs="Times New Roman"/>
                <w:color w:val="auto"/>
                <w:sz w:val="21"/>
              </w:rPr>
            </w:pPr>
          </w:p>
        </w:tc>
        <w:tc>
          <w:tcPr>
            <w:tcW w:w="1054" w:type="dxa"/>
          </w:tcPr>
          <w:p w14:paraId="18119E5E">
            <w:pPr>
              <w:rPr>
                <w:rFonts w:ascii="Times New Roman" w:hAnsi="Times New Roman" w:cs="Times New Roman"/>
                <w:color w:val="auto"/>
                <w:sz w:val="21"/>
              </w:rPr>
            </w:pPr>
          </w:p>
        </w:tc>
      </w:tr>
      <w:tr w14:paraId="3641E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83" w:hRule="atLeast"/>
        </w:trPr>
        <w:tc>
          <w:tcPr>
            <w:tcW w:w="9619" w:type="dxa"/>
            <w:gridSpan w:val="10"/>
          </w:tcPr>
          <w:p w14:paraId="31E6FD77">
            <w:pPr>
              <w:pStyle w:val="25"/>
              <w:spacing w:before="78" w:line="400" w:lineRule="exact"/>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　　须同时提供拟派驻现场关键岗位人员的聘用合同，及响应截止月上溯3个月(含</w:t>
            </w:r>
            <w:r>
              <w:rPr>
                <w:rFonts w:hint="eastAsia" w:ascii="Times New Roman" w:hAnsi="Times New Roman" w:cs="Times New Roman"/>
                <w:color w:val="auto"/>
                <w:sz w:val="24"/>
                <w:szCs w:val="24"/>
                <w:lang w:eastAsia="zh-CN"/>
              </w:rPr>
              <w:t>响应</w:t>
            </w:r>
            <w:r>
              <w:rPr>
                <w:rFonts w:ascii="Times New Roman" w:hAnsi="Times New Roman" w:cs="Times New Roman"/>
                <w:color w:val="auto"/>
                <w:sz w:val="24"/>
                <w:szCs w:val="24"/>
                <w:lang w:eastAsia="zh-CN"/>
              </w:rPr>
              <w:t>截止日当月，共4个月)中任意连续2个月的</w:t>
            </w:r>
            <w:r>
              <w:rPr>
                <w:rFonts w:ascii="Times New Roman" w:hAnsi="Times New Roman" w:cs="Times New Roman"/>
                <w:color w:val="auto"/>
                <w:spacing w:val="1"/>
                <w:sz w:val="24"/>
                <w:szCs w:val="24"/>
                <w:lang w:eastAsia="zh-CN"/>
              </w:rPr>
              <w:t>社保缴纳证明(加盖所属社保机构印章)。其中关</w:t>
            </w:r>
            <w:r>
              <w:rPr>
                <w:rFonts w:ascii="Times New Roman" w:hAnsi="Times New Roman" w:cs="Times New Roman"/>
                <w:color w:val="auto"/>
                <w:sz w:val="24"/>
                <w:szCs w:val="24"/>
                <w:lang w:eastAsia="zh-CN"/>
              </w:rPr>
              <w:t>键岗位人员个数及合同、社保证明的响应按相关否决响应文件的情形评审；其他所填信息与递交附件不符的，按交易文件具体规</w:t>
            </w:r>
            <w:r>
              <w:rPr>
                <w:rFonts w:ascii="Times New Roman" w:hAnsi="Times New Roman" w:cs="Times New Roman"/>
                <w:color w:val="auto"/>
                <w:spacing w:val="1"/>
                <w:sz w:val="24"/>
                <w:szCs w:val="24"/>
                <w:lang w:eastAsia="zh-CN"/>
              </w:rPr>
              <w:t>定的资信评分要求评审。本工程一旦我单位成交，将承诺如实按上述</w:t>
            </w:r>
            <w:r>
              <w:rPr>
                <w:rFonts w:ascii="Times New Roman" w:hAnsi="Times New Roman" w:cs="Times New Roman"/>
                <w:color w:val="auto"/>
                <w:sz w:val="24"/>
                <w:szCs w:val="24"/>
                <w:lang w:eastAsia="zh-CN"/>
              </w:rPr>
              <w:t>配备人员到位，否则将自愿接受合同相关违约条款处理。</w:t>
            </w:r>
          </w:p>
          <w:p w14:paraId="57EF894E">
            <w:pPr>
              <w:pStyle w:val="25"/>
              <w:spacing w:before="1" w:line="400" w:lineRule="exact"/>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　　上述填报内容真实，若不真实，愿按有关规定接受处</w:t>
            </w:r>
            <w:r>
              <w:rPr>
                <w:rFonts w:ascii="Times New Roman" w:hAnsi="Times New Roman" w:cs="Times New Roman"/>
                <w:color w:val="auto"/>
                <w:spacing w:val="-1"/>
                <w:sz w:val="24"/>
                <w:szCs w:val="24"/>
                <w:lang w:eastAsia="zh-CN"/>
              </w:rPr>
              <w:t>理。</w:t>
            </w:r>
          </w:p>
        </w:tc>
      </w:tr>
    </w:tbl>
    <w:p w14:paraId="674D1A7D">
      <w:pPr>
        <w:pStyle w:val="7"/>
        <w:spacing w:line="288" w:lineRule="auto"/>
        <w:rPr>
          <w:rFonts w:cs="Times New Roman"/>
          <w:color w:val="auto"/>
        </w:rPr>
      </w:pPr>
    </w:p>
    <w:p w14:paraId="72B213ED">
      <w:pPr>
        <w:pStyle w:val="7"/>
        <w:spacing w:line="289" w:lineRule="auto"/>
        <w:rPr>
          <w:rFonts w:cs="Times New Roman"/>
          <w:color w:val="auto"/>
        </w:rPr>
      </w:pPr>
    </w:p>
    <w:p w14:paraId="28A52B21">
      <w:pPr>
        <w:spacing w:before="71" w:line="356" w:lineRule="auto"/>
        <w:ind w:right="196"/>
        <w:rPr>
          <w:rFonts w:ascii="Times New Roman" w:hAnsi="Times New Roman" w:eastAsia="宋体" w:cs="Times New Roman"/>
          <w:color w:val="auto"/>
          <w:spacing w:val="10"/>
          <w:sz w:val="22"/>
          <w:szCs w:val="22"/>
        </w:rPr>
      </w:pPr>
      <w:r>
        <w:rPr>
          <w:rFonts w:ascii="Times New Roman" w:hAnsi="Times New Roman" w:eastAsia="宋体" w:cs="Times New Roman"/>
          <w:color w:val="auto"/>
          <w:spacing w:val="-4"/>
          <w:sz w:val="22"/>
          <w:szCs w:val="22"/>
        </w:rPr>
        <w:t>　　　　　　　　　　　　　　　　　　　　　　</w:t>
      </w:r>
      <w:r>
        <w:rPr>
          <w:rFonts w:ascii="Times New Roman" w:hAnsi="Times New Roman" w:cs="Times New Roman"/>
          <w:color w:val="auto"/>
        </w:rPr>
        <w:t xml:space="preserve">潜在承包人名称(电子签名) </w:t>
      </w:r>
      <w:r>
        <w:rPr>
          <w:rFonts w:ascii="Times New Roman" w:hAnsi="Times New Roman" w:eastAsia="宋体" w:cs="Times New Roman"/>
          <w:color w:val="auto"/>
          <w:spacing w:val="-4"/>
          <w:sz w:val="22"/>
          <w:szCs w:val="22"/>
        </w:rPr>
        <w:t>：</w:t>
      </w:r>
    </w:p>
    <w:p w14:paraId="298F6EB0">
      <w:pPr>
        <w:spacing w:before="74"/>
        <w:ind w:right="-90"/>
        <w:rPr>
          <w:rFonts w:ascii="Times New Roman" w:hAnsi="Times New Roman" w:cs="Times New Roman"/>
          <w:color w:val="auto"/>
          <w:u w:val="single"/>
        </w:rPr>
      </w:pPr>
      <w:r>
        <w:rPr>
          <w:rFonts w:ascii="Times New Roman" w:hAnsi="Times New Roman" w:eastAsia="宋体" w:cs="Times New Roman"/>
          <w:color w:val="auto"/>
          <w:spacing w:val="-1"/>
          <w:sz w:val="22"/>
          <w:szCs w:val="22"/>
        </w:rPr>
        <w:t>　　　　　　　　　　　　　　　　　　　　　　</w:t>
      </w:r>
      <w:r>
        <w:rPr>
          <w:rFonts w:ascii="Times New Roman" w:hAnsi="Times New Roman" w:cs="Times New Roman"/>
          <w:color w:val="auto"/>
        </w:rPr>
        <w:t>日期：  年   月   日</w:t>
      </w:r>
    </w:p>
    <w:p w14:paraId="73493763">
      <w:pPr>
        <w:spacing w:before="71" w:line="356" w:lineRule="auto"/>
        <w:ind w:right="196"/>
        <w:jc w:val="center"/>
        <w:rPr>
          <w:rFonts w:ascii="Times New Roman" w:hAnsi="Times New Roman" w:eastAsia="宋体" w:cs="Times New Roman"/>
          <w:color w:val="auto"/>
          <w:sz w:val="22"/>
          <w:szCs w:val="22"/>
        </w:rPr>
        <w:sectPr>
          <w:footerReference r:id="rId24" w:type="default"/>
          <w:pgSz w:w="11910" w:h="16840"/>
          <w:pgMar w:top="1440" w:right="1080" w:bottom="1440" w:left="1080" w:header="850" w:footer="850" w:gutter="0"/>
          <w:cols w:space="720" w:num="1"/>
        </w:sectPr>
      </w:pPr>
      <w:r>
        <w:rPr>
          <w:rFonts w:ascii="Times New Roman" w:hAnsi="Times New Roman" w:eastAsia="宋体" w:cs="Times New Roman"/>
          <w:color w:val="auto"/>
          <w:spacing w:val="-1"/>
          <w:sz w:val="22"/>
          <w:szCs w:val="22"/>
        </w:rPr>
        <w:t>　　　　　　　　　　　</w:t>
      </w:r>
    </w:p>
    <w:p w14:paraId="2ECC2FF7">
      <w:pPr>
        <w:spacing w:before="78" w:line="219" w:lineRule="auto"/>
        <w:jc w:val="center"/>
        <w:rPr>
          <w:rFonts w:ascii="Times New Roman" w:hAnsi="Times New Roman" w:eastAsia="宋体" w:cs="Times New Roman"/>
          <w:color w:val="auto"/>
          <w:sz w:val="32"/>
          <w:szCs w:val="32"/>
        </w:rPr>
      </w:pPr>
      <w:r>
        <w:rPr>
          <w:rFonts w:ascii="Times New Roman" w:hAnsi="Times New Roman" w:eastAsia="宋体" w:cs="Times New Roman"/>
          <w:b/>
          <w:bCs/>
          <w:color w:val="auto"/>
          <w:spacing w:val="-6"/>
          <w:sz w:val="32"/>
          <w:szCs w:val="32"/>
        </w:rPr>
        <w:t>表1　项目负责人简历表</w:t>
      </w:r>
    </w:p>
    <w:p w14:paraId="6309C0FF">
      <w:pPr>
        <w:spacing w:line="135" w:lineRule="exact"/>
        <w:rPr>
          <w:rFonts w:ascii="Times New Roman" w:hAnsi="Times New Roman" w:cs="Times New Roman"/>
          <w:color w:val="auto"/>
        </w:rPr>
      </w:pPr>
    </w:p>
    <w:tbl>
      <w:tblPr>
        <w:tblStyle w:val="22"/>
        <w:tblW w:w="90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3"/>
        <w:gridCol w:w="1479"/>
        <w:gridCol w:w="1488"/>
        <w:gridCol w:w="1608"/>
        <w:gridCol w:w="1478"/>
        <w:gridCol w:w="1483"/>
      </w:tblGrid>
      <w:tr w14:paraId="36ACD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473" w:type="dxa"/>
          </w:tcPr>
          <w:p w14:paraId="3E45122B">
            <w:pPr>
              <w:pStyle w:val="25"/>
              <w:spacing w:before="45" w:line="219" w:lineRule="auto"/>
              <w:ind w:left="484"/>
              <w:rPr>
                <w:rFonts w:ascii="Times New Roman" w:hAnsi="Times New Roman" w:cs="Times New Roman"/>
                <w:color w:val="auto"/>
                <w:sz w:val="24"/>
                <w:szCs w:val="24"/>
              </w:rPr>
            </w:pPr>
            <w:r>
              <w:rPr>
                <w:rFonts w:ascii="Times New Roman" w:hAnsi="Times New Roman" w:cs="Times New Roman"/>
                <w:color w:val="auto"/>
                <w:spacing w:val="15"/>
                <w:sz w:val="24"/>
                <w:szCs w:val="24"/>
              </w:rPr>
              <w:t>姓名</w:t>
            </w:r>
          </w:p>
        </w:tc>
        <w:tc>
          <w:tcPr>
            <w:tcW w:w="1479" w:type="dxa"/>
          </w:tcPr>
          <w:p w14:paraId="327709AC">
            <w:pPr>
              <w:rPr>
                <w:rFonts w:ascii="Times New Roman" w:hAnsi="Times New Roman" w:cs="Times New Roman"/>
                <w:color w:val="auto"/>
                <w:sz w:val="21"/>
              </w:rPr>
            </w:pPr>
          </w:p>
        </w:tc>
        <w:tc>
          <w:tcPr>
            <w:tcW w:w="1488" w:type="dxa"/>
          </w:tcPr>
          <w:p w14:paraId="0E230870">
            <w:pPr>
              <w:pStyle w:val="25"/>
              <w:spacing w:before="45" w:line="220" w:lineRule="auto"/>
              <w:ind w:left="492"/>
              <w:rPr>
                <w:rFonts w:ascii="Times New Roman" w:hAnsi="Times New Roman" w:cs="Times New Roman"/>
                <w:color w:val="auto"/>
                <w:sz w:val="24"/>
                <w:szCs w:val="24"/>
              </w:rPr>
            </w:pPr>
            <w:r>
              <w:rPr>
                <w:rFonts w:ascii="Times New Roman" w:hAnsi="Times New Roman" w:cs="Times New Roman"/>
                <w:color w:val="auto"/>
                <w:spacing w:val="9"/>
                <w:sz w:val="24"/>
                <w:szCs w:val="24"/>
              </w:rPr>
              <w:t>性别</w:t>
            </w:r>
          </w:p>
        </w:tc>
        <w:tc>
          <w:tcPr>
            <w:tcW w:w="1608" w:type="dxa"/>
          </w:tcPr>
          <w:p w14:paraId="6D2088C6">
            <w:pPr>
              <w:rPr>
                <w:rFonts w:ascii="Times New Roman" w:hAnsi="Times New Roman" w:cs="Times New Roman"/>
                <w:color w:val="auto"/>
                <w:sz w:val="21"/>
              </w:rPr>
            </w:pPr>
          </w:p>
        </w:tc>
        <w:tc>
          <w:tcPr>
            <w:tcW w:w="1478" w:type="dxa"/>
          </w:tcPr>
          <w:p w14:paraId="0AF9AEF4">
            <w:pPr>
              <w:pStyle w:val="25"/>
              <w:spacing w:before="45" w:line="219" w:lineRule="auto"/>
              <w:ind w:left="496"/>
              <w:rPr>
                <w:rFonts w:ascii="Times New Roman" w:hAnsi="Times New Roman" w:cs="Times New Roman"/>
                <w:color w:val="auto"/>
                <w:sz w:val="24"/>
                <w:szCs w:val="24"/>
              </w:rPr>
            </w:pPr>
            <w:r>
              <w:rPr>
                <w:rFonts w:ascii="Times New Roman" w:hAnsi="Times New Roman" w:cs="Times New Roman"/>
                <w:color w:val="auto"/>
                <w:spacing w:val="-3"/>
                <w:sz w:val="24"/>
                <w:szCs w:val="24"/>
              </w:rPr>
              <w:t>年龄</w:t>
            </w:r>
          </w:p>
        </w:tc>
        <w:tc>
          <w:tcPr>
            <w:tcW w:w="1483" w:type="dxa"/>
          </w:tcPr>
          <w:p w14:paraId="04E1D428">
            <w:pPr>
              <w:rPr>
                <w:rFonts w:ascii="Times New Roman" w:hAnsi="Times New Roman" w:cs="Times New Roman"/>
                <w:color w:val="auto"/>
                <w:sz w:val="21"/>
              </w:rPr>
            </w:pPr>
          </w:p>
        </w:tc>
      </w:tr>
      <w:tr w14:paraId="06748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0" w:hRule="atLeast"/>
        </w:trPr>
        <w:tc>
          <w:tcPr>
            <w:tcW w:w="1473" w:type="dxa"/>
          </w:tcPr>
          <w:p w14:paraId="1EF08A77">
            <w:pPr>
              <w:pStyle w:val="25"/>
              <w:spacing w:before="120" w:line="219" w:lineRule="auto"/>
              <w:ind w:left="484"/>
              <w:rPr>
                <w:rFonts w:ascii="Times New Roman" w:hAnsi="Times New Roman" w:cs="Times New Roman"/>
                <w:color w:val="auto"/>
                <w:sz w:val="24"/>
                <w:szCs w:val="24"/>
              </w:rPr>
            </w:pPr>
            <w:r>
              <w:rPr>
                <w:rFonts w:ascii="Times New Roman" w:hAnsi="Times New Roman" w:cs="Times New Roman"/>
                <w:color w:val="auto"/>
                <w:spacing w:val="5"/>
                <w:sz w:val="24"/>
                <w:szCs w:val="24"/>
              </w:rPr>
              <w:t>职务</w:t>
            </w:r>
          </w:p>
        </w:tc>
        <w:tc>
          <w:tcPr>
            <w:tcW w:w="1479" w:type="dxa"/>
          </w:tcPr>
          <w:p w14:paraId="3701AC8F">
            <w:pPr>
              <w:rPr>
                <w:rFonts w:ascii="Times New Roman" w:hAnsi="Times New Roman" w:cs="Times New Roman"/>
                <w:color w:val="auto"/>
                <w:sz w:val="21"/>
              </w:rPr>
            </w:pPr>
          </w:p>
        </w:tc>
        <w:tc>
          <w:tcPr>
            <w:tcW w:w="1488" w:type="dxa"/>
          </w:tcPr>
          <w:p w14:paraId="2B3148DA">
            <w:pPr>
              <w:pStyle w:val="25"/>
              <w:spacing w:before="123" w:line="221" w:lineRule="auto"/>
              <w:ind w:left="492"/>
              <w:rPr>
                <w:rFonts w:ascii="Times New Roman" w:hAnsi="Times New Roman" w:cs="Times New Roman"/>
                <w:color w:val="auto"/>
                <w:sz w:val="24"/>
                <w:szCs w:val="24"/>
              </w:rPr>
            </w:pPr>
            <w:r>
              <w:rPr>
                <w:rFonts w:ascii="Times New Roman" w:hAnsi="Times New Roman" w:cs="Times New Roman"/>
                <w:color w:val="auto"/>
                <w:spacing w:val="6"/>
                <w:sz w:val="24"/>
                <w:szCs w:val="24"/>
              </w:rPr>
              <w:t>职称</w:t>
            </w:r>
          </w:p>
        </w:tc>
        <w:tc>
          <w:tcPr>
            <w:tcW w:w="1608" w:type="dxa"/>
          </w:tcPr>
          <w:p w14:paraId="640902D7">
            <w:pPr>
              <w:rPr>
                <w:rFonts w:ascii="Times New Roman" w:hAnsi="Times New Roman" w:cs="Times New Roman"/>
                <w:color w:val="auto"/>
                <w:sz w:val="21"/>
              </w:rPr>
            </w:pPr>
          </w:p>
        </w:tc>
        <w:tc>
          <w:tcPr>
            <w:tcW w:w="1478" w:type="dxa"/>
          </w:tcPr>
          <w:p w14:paraId="658A6264">
            <w:pPr>
              <w:pStyle w:val="25"/>
              <w:spacing w:before="121" w:line="221" w:lineRule="auto"/>
              <w:ind w:left="496"/>
              <w:rPr>
                <w:rFonts w:ascii="Times New Roman" w:hAnsi="Times New Roman" w:cs="Times New Roman"/>
                <w:color w:val="auto"/>
                <w:sz w:val="24"/>
                <w:szCs w:val="24"/>
              </w:rPr>
            </w:pPr>
            <w:r>
              <w:rPr>
                <w:rFonts w:ascii="Times New Roman" w:hAnsi="Times New Roman" w:cs="Times New Roman"/>
                <w:color w:val="auto"/>
                <w:spacing w:val="7"/>
                <w:sz w:val="24"/>
                <w:szCs w:val="24"/>
              </w:rPr>
              <w:t>学历</w:t>
            </w:r>
          </w:p>
        </w:tc>
        <w:tc>
          <w:tcPr>
            <w:tcW w:w="1483" w:type="dxa"/>
          </w:tcPr>
          <w:p w14:paraId="26F3D587">
            <w:pPr>
              <w:rPr>
                <w:rFonts w:ascii="Times New Roman" w:hAnsi="Times New Roman" w:cs="Times New Roman"/>
                <w:color w:val="auto"/>
                <w:sz w:val="21"/>
              </w:rPr>
            </w:pPr>
          </w:p>
        </w:tc>
      </w:tr>
      <w:tr w14:paraId="0A415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2952" w:type="dxa"/>
            <w:gridSpan w:val="2"/>
          </w:tcPr>
          <w:p w14:paraId="29A88CB6">
            <w:pPr>
              <w:pStyle w:val="25"/>
              <w:spacing w:before="60" w:line="220" w:lineRule="auto"/>
              <w:ind w:left="744"/>
              <w:rPr>
                <w:rFonts w:ascii="Times New Roman" w:hAnsi="Times New Roman" w:cs="Times New Roman"/>
                <w:color w:val="auto"/>
                <w:sz w:val="24"/>
                <w:szCs w:val="24"/>
              </w:rPr>
            </w:pPr>
            <w:r>
              <w:rPr>
                <w:rFonts w:ascii="Times New Roman" w:hAnsi="Times New Roman" w:cs="Times New Roman"/>
                <w:color w:val="auto"/>
                <w:spacing w:val="3"/>
                <w:sz w:val="24"/>
                <w:szCs w:val="24"/>
              </w:rPr>
              <w:t>参加工作时间</w:t>
            </w:r>
          </w:p>
        </w:tc>
        <w:tc>
          <w:tcPr>
            <w:tcW w:w="1488" w:type="dxa"/>
          </w:tcPr>
          <w:p w14:paraId="39DFE541">
            <w:pPr>
              <w:rPr>
                <w:rFonts w:ascii="Times New Roman" w:hAnsi="Times New Roman" w:cs="Times New Roman"/>
                <w:color w:val="auto"/>
                <w:sz w:val="21"/>
              </w:rPr>
            </w:pPr>
          </w:p>
        </w:tc>
        <w:tc>
          <w:tcPr>
            <w:tcW w:w="3086" w:type="dxa"/>
            <w:gridSpan w:val="2"/>
          </w:tcPr>
          <w:p w14:paraId="1220D47B">
            <w:pPr>
              <w:pStyle w:val="25"/>
              <w:spacing w:before="50" w:line="219" w:lineRule="auto"/>
              <w:ind w:left="484"/>
              <w:rPr>
                <w:rFonts w:ascii="Times New Roman" w:hAnsi="Times New Roman" w:cs="Times New Roman"/>
                <w:color w:val="auto"/>
                <w:sz w:val="24"/>
                <w:szCs w:val="24"/>
              </w:rPr>
            </w:pPr>
            <w:r>
              <w:rPr>
                <w:rFonts w:ascii="Times New Roman" w:hAnsi="Times New Roman" w:cs="Times New Roman"/>
                <w:color w:val="auto"/>
                <w:spacing w:val="1"/>
                <w:sz w:val="24"/>
                <w:szCs w:val="24"/>
              </w:rPr>
              <w:t>从事项目负责人年限</w:t>
            </w:r>
          </w:p>
        </w:tc>
        <w:tc>
          <w:tcPr>
            <w:tcW w:w="1483" w:type="dxa"/>
          </w:tcPr>
          <w:p w14:paraId="5F6C5505">
            <w:pPr>
              <w:rPr>
                <w:rFonts w:ascii="Times New Roman" w:hAnsi="Times New Roman" w:cs="Times New Roman"/>
                <w:color w:val="auto"/>
                <w:sz w:val="21"/>
              </w:rPr>
            </w:pPr>
          </w:p>
        </w:tc>
      </w:tr>
      <w:tr w14:paraId="0C49C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952" w:type="dxa"/>
            <w:gridSpan w:val="2"/>
          </w:tcPr>
          <w:p w14:paraId="46F21A9E">
            <w:pPr>
              <w:pStyle w:val="25"/>
              <w:spacing w:before="119" w:line="219" w:lineRule="auto"/>
              <w:ind w:left="144"/>
              <w:rPr>
                <w:rFonts w:ascii="Times New Roman" w:hAnsi="Times New Roman" w:cs="Times New Roman"/>
                <w:color w:val="auto"/>
                <w:sz w:val="24"/>
                <w:szCs w:val="24"/>
                <w:lang w:eastAsia="zh-CN"/>
              </w:rPr>
            </w:pPr>
            <w:r>
              <w:rPr>
                <w:rFonts w:ascii="Times New Roman" w:hAnsi="Times New Roman" w:cs="Times New Roman"/>
                <w:color w:val="auto"/>
                <w:spacing w:val="1"/>
                <w:sz w:val="24"/>
                <w:szCs w:val="24"/>
                <w:lang w:eastAsia="zh-CN"/>
              </w:rPr>
              <w:t>项目负责人资格证书编号</w:t>
            </w:r>
          </w:p>
        </w:tc>
        <w:tc>
          <w:tcPr>
            <w:tcW w:w="6057" w:type="dxa"/>
            <w:gridSpan w:val="4"/>
          </w:tcPr>
          <w:p w14:paraId="74945DCE">
            <w:pPr>
              <w:rPr>
                <w:rFonts w:ascii="Times New Roman" w:hAnsi="Times New Roman" w:cs="Times New Roman"/>
                <w:color w:val="auto"/>
                <w:sz w:val="21"/>
              </w:rPr>
            </w:pPr>
          </w:p>
        </w:tc>
      </w:tr>
      <w:tr w14:paraId="0A2DD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9009" w:type="dxa"/>
            <w:gridSpan w:val="6"/>
          </w:tcPr>
          <w:p w14:paraId="310AF933">
            <w:pPr>
              <w:pStyle w:val="25"/>
              <w:spacing w:before="60" w:line="219" w:lineRule="auto"/>
              <w:ind w:left="3204"/>
              <w:rPr>
                <w:rFonts w:ascii="Times New Roman" w:hAnsi="Times New Roman" w:cs="Times New Roman"/>
                <w:color w:val="auto"/>
                <w:sz w:val="24"/>
                <w:szCs w:val="24"/>
                <w:lang w:eastAsia="zh-CN"/>
              </w:rPr>
            </w:pPr>
            <w:r>
              <w:rPr>
                <w:rFonts w:ascii="Times New Roman" w:hAnsi="Times New Roman" w:cs="Times New Roman"/>
                <w:color w:val="auto"/>
                <w:spacing w:val="-1"/>
                <w:sz w:val="24"/>
                <w:szCs w:val="24"/>
                <w:lang w:eastAsia="zh-CN"/>
              </w:rPr>
              <w:t>在建和已完工程项目情况</w:t>
            </w:r>
          </w:p>
        </w:tc>
      </w:tr>
      <w:tr w14:paraId="239B9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473" w:type="dxa"/>
          </w:tcPr>
          <w:p w14:paraId="518650B7">
            <w:pPr>
              <w:spacing w:line="271" w:lineRule="auto"/>
              <w:rPr>
                <w:rFonts w:ascii="Times New Roman" w:hAnsi="Times New Roman" w:cs="Times New Roman"/>
                <w:color w:val="auto"/>
                <w:sz w:val="21"/>
              </w:rPr>
            </w:pPr>
          </w:p>
          <w:p w14:paraId="04BACE43">
            <w:pPr>
              <w:pStyle w:val="25"/>
              <w:spacing w:before="78" w:line="220" w:lineRule="auto"/>
              <w:ind w:left="244"/>
              <w:rPr>
                <w:rFonts w:ascii="Times New Roman" w:hAnsi="Times New Roman" w:cs="Times New Roman"/>
                <w:color w:val="auto"/>
                <w:sz w:val="24"/>
                <w:szCs w:val="24"/>
              </w:rPr>
            </w:pPr>
            <w:r>
              <w:rPr>
                <w:rFonts w:ascii="Times New Roman" w:hAnsi="Times New Roman" w:cs="Times New Roman"/>
                <w:color w:val="auto"/>
                <w:spacing w:val="2"/>
                <w:sz w:val="24"/>
                <w:szCs w:val="24"/>
              </w:rPr>
              <w:t>建设单位</w:t>
            </w:r>
          </w:p>
        </w:tc>
        <w:tc>
          <w:tcPr>
            <w:tcW w:w="1479" w:type="dxa"/>
          </w:tcPr>
          <w:p w14:paraId="37D95104">
            <w:pPr>
              <w:spacing w:line="271" w:lineRule="auto"/>
              <w:rPr>
                <w:rFonts w:ascii="Times New Roman" w:hAnsi="Times New Roman" w:cs="Times New Roman"/>
                <w:color w:val="auto"/>
                <w:sz w:val="21"/>
              </w:rPr>
            </w:pPr>
          </w:p>
          <w:p w14:paraId="1261AA16">
            <w:pPr>
              <w:pStyle w:val="25"/>
              <w:spacing w:before="78" w:line="220" w:lineRule="auto"/>
              <w:ind w:left="271"/>
              <w:rPr>
                <w:rFonts w:ascii="Times New Roman" w:hAnsi="Times New Roman" w:cs="Times New Roman"/>
                <w:color w:val="auto"/>
                <w:sz w:val="24"/>
                <w:szCs w:val="24"/>
              </w:rPr>
            </w:pPr>
            <w:r>
              <w:rPr>
                <w:rFonts w:ascii="Times New Roman" w:hAnsi="Times New Roman" w:cs="Times New Roman"/>
                <w:color w:val="auto"/>
                <w:spacing w:val="3"/>
                <w:sz w:val="24"/>
                <w:szCs w:val="24"/>
              </w:rPr>
              <w:t>项目名称</w:t>
            </w:r>
          </w:p>
        </w:tc>
        <w:tc>
          <w:tcPr>
            <w:tcW w:w="1488" w:type="dxa"/>
          </w:tcPr>
          <w:p w14:paraId="7D229351">
            <w:pPr>
              <w:spacing w:line="271" w:lineRule="auto"/>
              <w:rPr>
                <w:rFonts w:ascii="Times New Roman" w:hAnsi="Times New Roman" w:cs="Times New Roman"/>
                <w:color w:val="auto"/>
                <w:sz w:val="21"/>
              </w:rPr>
            </w:pPr>
          </w:p>
          <w:p w14:paraId="4D946752">
            <w:pPr>
              <w:pStyle w:val="25"/>
              <w:spacing w:before="78" w:line="219" w:lineRule="auto"/>
              <w:ind w:left="252"/>
              <w:rPr>
                <w:rFonts w:ascii="Times New Roman" w:hAnsi="Times New Roman" w:cs="Times New Roman"/>
                <w:color w:val="auto"/>
                <w:sz w:val="24"/>
                <w:szCs w:val="24"/>
              </w:rPr>
            </w:pPr>
            <w:r>
              <w:rPr>
                <w:rFonts w:ascii="Times New Roman" w:hAnsi="Times New Roman" w:cs="Times New Roman"/>
                <w:color w:val="auto"/>
                <w:spacing w:val="2"/>
                <w:sz w:val="24"/>
                <w:szCs w:val="24"/>
              </w:rPr>
              <w:t>建设规模</w:t>
            </w:r>
          </w:p>
        </w:tc>
        <w:tc>
          <w:tcPr>
            <w:tcW w:w="1608" w:type="dxa"/>
          </w:tcPr>
          <w:p w14:paraId="231A8B04">
            <w:pPr>
              <w:pStyle w:val="25"/>
              <w:spacing w:before="71" w:line="326" w:lineRule="auto"/>
              <w:ind w:left="674" w:right="159" w:hanging="479"/>
              <w:rPr>
                <w:rFonts w:ascii="Times New Roman" w:hAnsi="Times New Roman" w:cs="Times New Roman"/>
                <w:color w:val="auto"/>
                <w:sz w:val="24"/>
                <w:szCs w:val="24"/>
              </w:rPr>
            </w:pPr>
            <w:r>
              <w:rPr>
                <w:rFonts w:ascii="Times New Roman" w:hAnsi="Times New Roman" w:cs="Times New Roman"/>
                <w:color w:val="auto"/>
                <w:spacing w:val="8"/>
                <w:sz w:val="24"/>
                <w:szCs w:val="24"/>
              </w:rPr>
              <w:t>开、竣工日</w:t>
            </w:r>
            <w:r>
              <w:rPr>
                <w:rFonts w:ascii="Times New Roman" w:hAnsi="Times New Roman" w:cs="Times New Roman"/>
                <w:color w:val="auto"/>
                <w:spacing w:val="2"/>
                <w:sz w:val="24"/>
                <w:szCs w:val="24"/>
              </w:rPr>
              <w:t xml:space="preserve"> </w:t>
            </w:r>
            <w:r>
              <w:rPr>
                <w:rFonts w:ascii="Times New Roman" w:hAnsi="Times New Roman" w:cs="Times New Roman"/>
                <w:color w:val="auto"/>
                <w:sz w:val="24"/>
                <w:szCs w:val="24"/>
              </w:rPr>
              <w:t>期</w:t>
            </w:r>
          </w:p>
        </w:tc>
        <w:tc>
          <w:tcPr>
            <w:tcW w:w="1478" w:type="dxa"/>
          </w:tcPr>
          <w:p w14:paraId="0B6DEF1F">
            <w:pPr>
              <w:spacing w:line="271" w:lineRule="auto"/>
              <w:rPr>
                <w:rFonts w:ascii="Times New Roman" w:hAnsi="Times New Roman" w:cs="Times New Roman"/>
                <w:color w:val="auto"/>
                <w:sz w:val="21"/>
              </w:rPr>
            </w:pPr>
          </w:p>
          <w:p w14:paraId="1D0957EE">
            <w:pPr>
              <w:pStyle w:val="25"/>
              <w:spacing w:before="78" w:line="219" w:lineRule="auto"/>
              <w:ind w:left="136"/>
              <w:rPr>
                <w:rFonts w:ascii="Times New Roman" w:hAnsi="Times New Roman" w:cs="Times New Roman"/>
                <w:color w:val="auto"/>
                <w:sz w:val="24"/>
                <w:szCs w:val="24"/>
              </w:rPr>
            </w:pPr>
            <w:r>
              <w:rPr>
                <w:rFonts w:ascii="Times New Roman" w:hAnsi="Times New Roman" w:cs="Times New Roman"/>
                <w:color w:val="auto"/>
                <w:spacing w:val="2"/>
                <w:sz w:val="24"/>
                <w:szCs w:val="24"/>
              </w:rPr>
              <w:t>在建或已完</w:t>
            </w:r>
          </w:p>
        </w:tc>
        <w:tc>
          <w:tcPr>
            <w:tcW w:w="1483" w:type="dxa"/>
          </w:tcPr>
          <w:p w14:paraId="451583CC">
            <w:pPr>
              <w:spacing w:line="271" w:lineRule="auto"/>
              <w:rPr>
                <w:rFonts w:ascii="Times New Roman" w:hAnsi="Times New Roman" w:cs="Times New Roman"/>
                <w:color w:val="auto"/>
                <w:sz w:val="21"/>
              </w:rPr>
            </w:pPr>
          </w:p>
          <w:p w14:paraId="13708921">
            <w:pPr>
              <w:pStyle w:val="25"/>
              <w:spacing w:before="78" w:line="220" w:lineRule="auto"/>
              <w:ind w:left="278"/>
              <w:rPr>
                <w:rFonts w:ascii="Times New Roman" w:hAnsi="Times New Roman" w:cs="Times New Roman"/>
                <w:color w:val="auto"/>
                <w:sz w:val="24"/>
                <w:szCs w:val="24"/>
              </w:rPr>
            </w:pPr>
            <w:r>
              <w:rPr>
                <w:rFonts w:ascii="Times New Roman" w:hAnsi="Times New Roman" w:cs="Times New Roman"/>
                <w:color w:val="auto"/>
                <w:spacing w:val="2"/>
                <w:sz w:val="24"/>
                <w:szCs w:val="24"/>
              </w:rPr>
              <w:t>工程质量</w:t>
            </w:r>
          </w:p>
        </w:tc>
      </w:tr>
      <w:tr w14:paraId="7E7A8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473" w:type="dxa"/>
          </w:tcPr>
          <w:p w14:paraId="06F97D3A">
            <w:pPr>
              <w:rPr>
                <w:rFonts w:ascii="Times New Roman" w:hAnsi="Times New Roman" w:cs="Times New Roman"/>
                <w:color w:val="auto"/>
                <w:sz w:val="21"/>
              </w:rPr>
            </w:pPr>
          </w:p>
        </w:tc>
        <w:tc>
          <w:tcPr>
            <w:tcW w:w="1479" w:type="dxa"/>
          </w:tcPr>
          <w:p w14:paraId="77ED8952">
            <w:pPr>
              <w:rPr>
                <w:rFonts w:ascii="Times New Roman" w:hAnsi="Times New Roman" w:cs="Times New Roman"/>
                <w:color w:val="auto"/>
                <w:sz w:val="21"/>
              </w:rPr>
            </w:pPr>
          </w:p>
        </w:tc>
        <w:tc>
          <w:tcPr>
            <w:tcW w:w="1488" w:type="dxa"/>
          </w:tcPr>
          <w:p w14:paraId="762273E5">
            <w:pPr>
              <w:rPr>
                <w:rFonts w:ascii="Times New Roman" w:hAnsi="Times New Roman" w:cs="Times New Roman"/>
                <w:color w:val="auto"/>
                <w:sz w:val="21"/>
              </w:rPr>
            </w:pPr>
          </w:p>
        </w:tc>
        <w:tc>
          <w:tcPr>
            <w:tcW w:w="1608" w:type="dxa"/>
          </w:tcPr>
          <w:p w14:paraId="0A4214A0">
            <w:pPr>
              <w:rPr>
                <w:rFonts w:ascii="Times New Roman" w:hAnsi="Times New Roman" w:cs="Times New Roman"/>
                <w:color w:val="auto"/>
                <w:sz w:val="21"/>
              </w:rPr>
            </w:pPr>
          </w:p>
        </w:tc>
        <w:tc>
          <w:tcPr>
            <w:tcW w:w="1478" w:type="dxa"/>
          </w:tcPr>
          <w:p w14:paraId="13D236C9">
            <w:pPr>
              <w:rPr>
                <w:rFonts w:ascii="Times New Roman" w:hAnsi="Times New Roman" w:cs="Times New Roman"/>
                <w:color w:val="auto"/>
                <w:sz w:val="21"/>
              </w:rPr>
            </w:pPr>
          </w:p>
        </w:tc>
        <w:tc>
          <w:tcPr>
            <w:tcW w:w="1483" w:type="dxa"/>
          </w:tcPr>
          <w:p w14:paraId="6644CC20">
            <w:pPr>
              <w:rPr>
                <w:rFonts w:ascii="Times New Roman" w:hAnsi="Times New Roman" w:cs="Times New Roman"/>
                <w:color w:val="auto"/>
                <w:sz w:val="21"/>
              </w:rPr>
            </w:pPr>
          </w:p>
        </w:tc>
      </w:tr>
      <w:tr w14:paraId="7E180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473" w:type="dxa"/>
          </w:tcPr>
          <w:p w14:paraId="1B3A2587">
            <w:pPr>
              <w:rPr>
                <w:rFonts w:ascii="Times New Roman" w:hAnsi="Times New Roman" w:cs="Times New Roman"/>
                <w:color w:val="auto"/>
                <w:sz w:val="21"/>
              </w:rPr>
            </w:pPr>
          </w:p>
        </w:tc>
        <w:tc>
          <w:tcPr>
            <w:tcW w:w="1479" w:type="dxa"/>
          </w:tcPr>
          <w:p w14:paraId="64D912D4">
            <w:pPr>
              <w:rPr>
                <w:rFonts w:ascii="Times New Roman" w:hAnsi="Times New Roman" w:cs="Times New Roman"/>
                <w:color w:val="auto"/>
                <w:sz w:val="21"/>
              </w:rPr>
            </w:pPr>
          </w:p>
        </w:tc>
        <w:tc>
          <w:tcPr>
            <w:tcW w:w="1488" w:type="dxa"/>
          </w:tcPr>
          <w:p w14:paraId="015CBCF6">
            <w:pPr>
              <w:rPr>
                <w:rFonts w:ascii="Times New Roman" w:hAnsi="Times New Roman" w:cs="Times New Roman"/>
                <w:color w:val="auto"/>
                <w:sz w:val="21"/>
              </w:rPr>
            </w:pPr>
          </w:p>
        </w:tc>
        <w:tc>
          <w:tcPr>
            <w:tcW w:w="1608" w:type="dxa"/>
          </w:tcPr>
          <w:p w14:paraId="7D4762FF">
            <w:pPr>
              <w:rPr>
                <w:rFonts w:ascii="Times New Roman" w:hAnsi="Times New Roman" w:cs="Times New Roman"/>
                <w:color w:val="auto"/>
                <w:sz w:val="21"/>
              </w:rPr>
            </w:pPr>
          </w:p>
        </w:tc>
        <w:tc>
          <w:tcPr>
            <w:tcW w:w="1478" w:type="dxa"/>
          </w:tcPr>
          <w:p w14:paraId="7490C10C">
            <w:pPr>
              <w:rPr>
                <w:rFonts w:ascii="Times New Roman" w:hAnsi="Times New Roman" w:cs="Times New Roman"/>
                <w:color w:val="auto"/>
                <w:sz w:val="21"/>
              </w:rPr>
            </w:pPr>
          </w:p>
        </w:tc>
        <w:tc>
          <w:tcPr>
            <w:tcW w:w="1483" w:type="dxa"/>
          </w:tcPr>
          <w:p w14:paraId="45A10C72">
            <w:pPr>
              <w:rPr>
                <w:rFonts w:ascii="Times New Roman" w:hAnsi="Times New Roman" w:cs="Times New Roman"/>
                <w:color w:val="auto"/>
                <w:sz w:val="21"/>
              </w:rPr>
            </w:pPr>
          </w:p>
        </w:tc>
      </w:tr>
      <w:tr w14:paraId="7AED9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473" w:type="dxa"/>
          </w:tcPr>
          <w:p w14:paraId="3009B7E9">
            <w:pPr>
              <w:rPr>
                <w:rFonts w:ascii="Times New Roman" w:hAnsi="Times New Roman" w:cs="Times New Roman"/>
                <w:color w:val="auto"/>
                <w:sz w:val="21"/>
              </w:rPr>
            </w:pPr>
          </w:p>
        </w:tc>
        <w:tc>
          <w:tcPr>
            <w:tcW w:w="1479" w:type="dxa"/>
          </w:tcPr>
          <w:p w14:paraId="1B227B18">
            <w:pPr>
              <w:rPr>
                <w:rFonts w:ascii="Times New Roman" w:hAnsi="Times New Roman" w:cs="Times New Roman"/>
                <w:color w:val="auto"/>
                <w:sz w:val="21"/>
              </w:rPr>
            </w:pPr>
          </w:p>
        </w:tc>
        <w:tc>
          <w:tcPr>
            <w:tcW w:w="1488" w:type="dxa"/>
          </w:tcPr>
          <w:p w14:paraId="0509D84B">
            <w:pPr>
              <w:rPr>
                <w:rFonts w:ascii="Times New Roman" w:hAnsi="Times New Roman" w:cs="Times New Roman"/>
                <w:color w:val="auto"/>
                <w:sz w:val="21"/>
              </w:rPr>
            </w:pPr>
          </w:p>
        </w:tc>
        <w:tc>
          <w:tcPr>
            <w:tcW w:w="1608" w:type="dxa"/>
          </w:tcPr>
          <w:p w14:paraId="471C61EE">
            <w:pPr>
              <w:rPr>
                <w:rFonts w:ascii="Times New Roman" w:hAnsi="Times New Roman" w:cs="Times New Roman"/>
                <w:color w:val="auto"/>
                <w:sz w:val="21"/>
              </w:rPr>
            </w:pPr>
          </w:p>
        </w:tc>
        <w:tc>
          <w:tcPr>
            <w:tcW w:w="1478" w:type="dxa"/>
          </w:tcPr>
          <w:p w14:paraId="526CA1F4">
            <w:pPr>
              <w:rPr>
                <w:rFonts w:ascii="Times New Roman" w:hAnsi="Times New Roman" w:cs="Times New Roman"/>
                <w:color w:val="auto"/>
                <w:sz w:val="21"/>
              </w:rPr>
            </w:pPr>
          </w:p>
        </w:tc>
        <w:tc>
          <w:tcPr>
            <w:tcW w:w="1483" w:type="dxa"/>
          </w:tcPr>
          <w:p w14:paraId="791DCAC9">
            <w:pPr>
              <w:rPr>
                <w:rFonts w:ascii="Times New Roman" w:hAnsi="Times New Roman" w:cs="Times New Roman"/>
                <w:color w:val="auto"/>
                <w:sz w:val="21"/>
              </w:rPr>
            </w:pPr>
          </w:p>
        </w:tc>
      </w:tr>
      <w:tr w14:paraId="49002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473" w:type="dxa"/>
          </w:tcPr>
          <w:p w14:paraId="6DB987C9">
            <w:pPr>
              <w:rPr>
                <w:rFonts w:ascii="Times New Roman" w:hAnsi="Times New Roman" w:cs="Times New Roman"/>
                <w:color w:val="auto"/>
                <w:sz w:val="21"/>
              </w:rPr>
            </w:pPr>
          </w:p>
        </w:tc>
        <w:tc>
          <w:tcPr>
            <w:tcW w:w="1479" w:type="dxa"/>
          </w:tcPr>
          <w:p w14:paraId="42A21149">
            <w:pPr>
              <w:rPr>
                <w:rFonts w:ascii="Times New Roman" w:hAnsi="Times New Roman" w:cs="Times New Roman"/>
                <w:color w:val="auto"/>
                <w:sz w:val="21"/>
              </w:rPr>
            </w:pPr>
          </w:p>
        </w:tc>
        <w:tc>
          <w:tcPr>
            <w:tcW w:w="1488" w:type="dxa"/>
          </w:tcPr>
          <w:p w14:paraId="6B00E8AC">
            <w:pPr>
              <w:rPr>
                <w:rFonts w:ascii="Times New Roman" w:hAnsi="Times New Roman" w:cs="Times New Roman"/>
                <w:color w:val="auto"/>
                <w:sz w:val="21"/>
              </w:rPr>
            </w:pPr>
          </w:p>
        </w:tc>
        <w:tc>
          <w:tcPr>
            <w:tcW w:w="1608" w:type="dxa"/>
          </w:tcPr>
          <w:p w14:paraId="681E0165">
            <w:pPr>
              <w:rPr>
                <w:rFonts w:ascii="Times New Roman" w:hAnsi="Times New Roman" w:cs="Times New Roman"/>
                <w:color w:val="auto"/>
                <w:sz w:val="21"/>
              </w:rPr>
            </w:pPr>
          </w:p>
        </w:tc>
        <w:tc>
          <w:tcPr>
            <w:tcW w:w="1478" w:type="dxa"/>
          </w:tcPr>
          <w:p w14:paraId="6841639A">
            <w:pPr>
              <w:rPr>
                <w:rFonts w:ascii="Times New Roman" w:hAnsi="Times New Roman" w:cs="Times New Roman"/>
                <w:color w:val="auto"/>
                <w:sz w:val="21"/>
              </w:rPr>
            </w:pPr>
          </w:p>
        </w:tc>
        <w:tc>
          <w:tcPr>
            <w:tcW w:w="1483" w:type="dxa"/>
          </w:tcPr>
          <w:p w14:paraId="36A2B420">
            <w:pPr>
              <w:rPr>
                <w:rFonts w:ascii="Times New Roman" w:hAnsi="Times New Roman" w:cs="Times New Roman"/>
                <w:color w:val="auto"/>
                <w:sz w:val="21"/>
              </w:rPr>
            </w:pPr>
          </w:p>
        </w:tc>
      </w:tr>
      <w:tr w14:paraId="7B753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473" w:type="dxa"/>
          </w:tcPr>
          <w:p w14:paraId="21C6FC59">
            <w:pPr>
              <w:rPr>
                <w:rFonts w:ascii="Times New Roman" w:hAnsi="Times New Roman" w:cs="Times New Roman"/>
                <w:color w:val="auto"/>
                <w:sz w:val="21"/>
              </w:rPr>
            </w:pPr>
          </w:p>
        </w:tc>
        <w:tc>
          <w:tcPr>
            <w:tcW w:w="1479" w:type="dxa"/>
          </w:tcPr>
          <w:p w14:paraId="51334F92">
            <w:pPr>
              <w:rPr>
                <w:rFonts w:ascii="Times New Roman" w:hAnsi="Times New Roman" w:cs="Times New Roman"/>
                <w:color w:val="auto"/>
                <w:sz w:val="21"/>
              </w:rPr>
            </w:pPr>
          </w:p>
        </w:tc>
        <w:tc>
          <w:tcPr>
            <w:tcW w:w="1488" w:type="dxa"/>
          </w:tcPr>
          <w:p w14:paraId="0F5BDA72">
            <w:pPr>
              <w:rPr>
                <w:rFonts w:ascii="Times New Roman" w:hAnsi="Times New Roman" w:cs="Times New Roman"/>
                <w:color w:val="auto"/>
                <w:sz w:val="21"/>
              </w:rPr>
            </w:pPr>
          </w:p>
        </w:tc>
        <w:tc>
          <w:tcPr>
            <w:tcW w:w="1608" w:type="dxa"/>
          </w:tcPr>
          <w:p w14:paraId="3208F87E">
            <w:pPr>
              <w:rPr>
                <w:rFonts w:ascii="Times New Roman" w:hAnsi="Times New Roman" w:cs="Times New Roman"/>
                <w:color w:val="auto"/>
                <w:sz w:val="21"/>
              </w:rPr>
            </w:pPr>
          </w:p>
        </w:tc>
        <w:tc>
          <w:tcPr>
            <w:tcW w:w="1478" w:type="dxa"/>
          </w:tcPr>
          <w:p w14:paraId="39AAA75D">
            <w:pPr>
              <w:rPr>
                <w:rFonts w:ascii="Times New Roman" w:hAnsi="Times New Roman" w:cs="Times New Roman"/>
                <w:color w:val="auto"/>
                <w:sz w:val="21"/>
              </w:rPr>
            </w:pPr>
          </w:p>
        </w:tc>
        <w:tc>
          <w:tcPr>
            <w:tcW w:w="1483" w:type="dxa"/>
          </w:tcPr>
          <w:p w14:paraId="383D51C5">
            <w:pPr>
              <w:rPr>
                <w:rFonts w:ascii="Times New Roman" w:hAnsi="Times New Roman" w:cs="Times New Roman"/>
                <w:color w:val="auto"/>
                <w:sz w:val="21"/>
              </w:rPr>
            </w:pPr>
          </w:p>
        </w:tc>
      </w:tr>
      <w:tr w14:paraId="3D740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473" w:type="dxa"/>
          </w:tcPr>
          <w:p w14:paraId="68549001">
            <w:pPr>
              <w:rPr>
                <w:rFonts w:ascii="Times New Roman" w:hAnsi="Times New Roman" w:cs="Times New Roman"/>
                <w:color w:val="auto"/>
                <w:sz w:val="21"/>
              </w:rPr>
            </w:pPr>
          </w:p>
        </w:tc>
        <w:tc>
          <w:tcPr>
            <w:tcW w:w="1479" w:type="dxa"/>
          </w:tcPr>
          <w:p w14:paraId="08F0208F">
            <w:pPr>
              <w:rPr>
                <w:rFonts w:ascii="Times New Roman" w:hAnsi="Times New Roman" w:cs="Times New Roman"/>
                <w:color w:val="auto"/>
                <w:sz w:val="21"/>
              </w:rPr>
            </w:pPr>
          </w:p>
        </w:tc>
        <w:tc>
          <w:tcPr>
            <w:tcW w:w="1488" w:type="dxa"/>
          </w:tcPr>
          <w:p w14:paraId="5A565C1A">
            <w:pPr>
              <w:rPr>
                <w:rFonts w:ascii="Times New Roman" w:hAnsi="Times New Roman" w:cs="Times New Roman"/>
                <w:color w:val="auto"/>
                <w:sz w:val="21"/>
              </w:rPr>
            </w:pPr>
          </w:p>
        </w:tc>
        <w:tc>
          <w:tcPr>
            <w:tcW w:w="1608" w:type="dxa"/>
          </w:tcPr>
          <w:p w14:paraId="04ED7C2F">
            <w:pPr>
              <w:rPr>
                <w:rFonts w:ascii="Times New Roman" w:hAnsi="Times New Roman" w:cs="Times New Roman"/>
                <w:color w:val="auto"/>
                <w:sz w:val="21"/>
              </w:rPr>
            </w:pPr>
          </w:p>
        </w:tc>
        <w:tc>
          <w:tcPr>
            <w:tcW w:w="1478" w:type="dxa"/>
          </w:tcPr>
          <w:p w14:paraId="389F94DD">
            <w:pPr>
              <w:rPr>
                <w:rFonts w:ascii="Times New Roman" w:hAnsi="Times New Roman" w:cs="Times New Roman"/>
                <w:color w:val="auto"/>
                <w:sz w:val="21"/>
              </w:rPr>
            </w:pPr>
          </w:p>
        </w:tc>
        <w:tc>
          <w:tcPr>
            <w:tcW w:w="1483" w:type="dxa"/>
          </w:tcPr>
          <w:p w14:paraId="64D7C85D">
            <w:pPr>
              <w:rPr>
                <w:rFonts w:ascii="Times New Roman" w:hAnsi="Times New Roman" w:cs="Times New Roman"/>
                <w:color w:val="auto"/>
                <w:sz w:val="21"/>
              </w:rPr>
            </w:pPr>
          </w:p>
        </w:tc>
      </w:tr>
      <w:tr w14:paraId="468E1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9" w:hRule="atLeast"/>
        </w:trPr>
        <w:tc>
          <w:tcPr>
            <w:tcW w:w="1473" w:type="dxa"/>
          </w:tcPr>
          <w:p w14:paraId="53E8E72B">
            <w:pPr>
              <w:rPr>
                <w:rFonts w:ascii="Times New Roman" w:hAnsi="Times New Roman" w:cs="Times New Roman"/>
                <w:color w:val="auto"/>
                <w:sz w:val="21"/>
              </w:rPr>
            </w:pPr>
          </w:p>
        </w:tc>
        <w:tc>
          <w:tcPr>
            <w:tcW w:w="1479" w:type="dxa"/>
          </w:tcPr>
          <w:p w14:paraId="454A706F">
            <w:pPr>
              <w:rPr>
                <w:rFonts w:ascii="Times New Roman" w:hAnsi="Times New Roman" w:cs="Times New Roman"/>
                <w:color w:val="auto"/>
                <w:sz w:val="21"/>
              </w:rPr>
            </w:pPr>
          </w:p>
        </w:tc>
        <w:tc>
          <w:tcPr>
            <w:tcW w:w="1488" w:type="dxa"/>
          </w:tcPr>
          <w:p w14:paraId="45696A02">
            <w:pPr>
              <w:rPr>
                <w:rFonts w:ascii="Times New Roman" w:hAnsi="Times New Roman" w:cs="Times New Roman"/>
                <w:color w:val="auto"/>
                <w:sz w:val="21"/>
              </w:rPr>
            </w:pPr>
          </w:p>
        </w:tc>
        <w:tc>
          <w:tcPr>
            <w:tcW w:w="1608" w:type="dxa"/>
          </w:tcPr>
          <w:p w14:paraId="4A0FC7EC">
            <w:pPr>
              <w:rPr>
                <w:rFonts w:ascii="Times New Roman" w:hAnsi="Times New Roman" w:cs="Times New Roman"/>
                <w:color w:val="auto"/>
                <w:sz w:val="21"/>
              </w:rPr>
            </w:pPr>
          </w:p>
        </w:tc>
        <w:tc>
          <w:tcPr>
            <w:tcW w:w="1478" w:type="dxa"/>
          </w:tcPr>
          <w:p w14:paraId="46611317">
            <w:pPr>
              <w:rPr>
                <w:rFonts w:ascii="Times New Roman" w:hAnsi="Times New Roman" w:cs="Times New Roman"/>
                <w:color w:val="auto"/>
                <w:sz w:val="21"/>
              </w:rPr>
            </w:pPr>
          </w:p>
        </w:tc>
        <w:tc>
          <w:tcPr>
            <w:tcW w:w="1483" w:type="dxa"/>
          </w:tcPr>
          <w:p w14:paraId="17FA0467">
            <w:pPr>
              <w:rPr>
                <w:rFonts w:ascii="Times New Roman" w:hAnsi="Times New Roman" w:cs="Times New Roman"/>
                <w:color w:val="auto"/>
                <w:sz w:val="21"/>
              </w:rPr>
            </w:pPr>
          </w:p>
        </w:tc>
      </w:tr>
      <w:tr w14:paraId="72732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473" w:type="dxa"/>
          </w:tcPr>
          <w:p w14:paraId="2BC205C1">
            <w:pPr>
              <w:rPr>
                <w:rFonts w:ascii="Times New Roman" w:hAnsi="Times New Roman" w:cs="Times New Roman"/>
                <w:color w:val="auto"/>
                <w:sz w:val="21"/>
              </w:rPr>
            </w:pPr>
          </w:p>
        </w:tc>
        <w:tc>
          <w:tcPr>
            <w:tcW w:w="1479" w:type="dxa"/>
          </w:tcPr>
          <w:p w14:paraId="76547980">
            <w:pPr>
              <w:rPr>
                <w:rFonts w:ascii="Times New Roman" w:hAnsi="Times New Roman" w:cs="Times New Roman"/>
                <w:color w:val="auto"/>
                <w:sz w:val="21"/>
              </w:rPr>
            </w:pPr>
          </w:p>
        </w:tc>
        <w:tc>
          <w:tcPr>
            <w:tcW w:w="1488" w:type="dxa"/>
          </w:tcPr>
          <w:p w14:paraId="1FF0FBC2">
            <w:pPr>
              <w:rPr>
                <w:rFonts w:ascii="Times New Roman" w:hAnsi="Times New Roman" w:cs="Times New Roman"/>
                <w:color w:val="auto"/>
                <w:sz w:val="21"/>
              </w:rPr>
            </w:pPr>
          </w:p>
        </w:tc>
        <w:tc>
          <w:tcPr>
            <w:tcW w:w="1608" w:type="dxa"/>
          </w:tcPr>
          <w:p w14:paraId="02E95C4A">
            <w:pPr>
              <w:rPr>
                <w:rFonts w:ascii="Times New Roman" w:hAnsi="Times New Roman" w:cs="Times New Roman"/>
                <w:color w:val="auto"/>
                <w:sz w:val="21"/>
              </w:rPr>
            </w:pPr>
          </w:p>
        </w:tc>
        <w:tc>
          <w:tcPr>
            <w:tcW w:w="1478" w:type="dxa"/>
          </w:tcPr>
          <w:p w14:paraId="20791E9E">
            <w:pPr>
              <w:rPr>
                <w:rFonts w:ascii="Times New Roman" w:hAnsi="Times New Roman" w:cs="Times New Roman"/>
                <w:color w:val="auto"/>
                <w:sz w:val="21"/>
              </w:rPr>
            </w:pPr>
          </w:p>
        </w:tc>
        <w:tc>
          <w:tcPr>
            <w:tcW w:w="1483" w:type="dxa"/>
          </w:tcPr>
          <w:p w14:paraId="527A75E9">
            <w:pPr>
              <w:rPr>
                <w:rFonts w:ascii="Times New Roman" w:hAnsi="Times New Roman" w:cs="Times New Roman"/>
                <w:color w:val="auto"/>
                <w:sz w:val="21"/>
              </w:rPr>
            </w:pPr>
          </w:p>
        </w:tc>
      </w:tr>
      <w:tr w14:paraId="5A83A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1473" w:type="dxa"/>
          </w:tcPr>
          <w:p w14:paraId="7A23DF9C">
            <w:pPr>
              <w:rPr>
                <w:rFonts w:ascii="Times New Roman" w:hAnsi="Times New Roman" w:cs="Times New Roman"/>
                <w:color w:val="auto"/>
                <w:sz w:val="21"/>
              </w:rPr>
            </w:pPr>
          </w:p>
        </w:tc>
        <w:tc>
          <w:tcPr>
            <w:tcW w:w="1479" w:type="dxa"/>
          </w:tcPr>
          <w:p w14:paraId="6B4066A0">
            <w:pPr>
              <w:rPr>
                <w:rFonts w:ascii="Times New Roman" w:hAnsi="Times New Roman" w:cs="Times New Roman"/>
                <w:color w:val="auto"/>
                <w:sz w:val="21"/>
              </w:rPr>
            </w:pPr>
          </w:p>
        </w:tc>
        <w:tc>
          <w:tcPr>
            <w:tcW w:w="1488" w:type="dxa"/>
          </w:tcPr>
          <w:p w14:paraId="28433B1A">
            <w:pPr>
              <w:rPr>
                <w:rFonts w:ascii="Times New Roman" w:hAnsi="Times New Roman" w:cs="Times New Roman"/>
                <w:color w:val="auto"/>
                <w:sz w:val="21"/>
              </w:rPr>
            </w:pPr>
          </w:p>
        </w:tc>
        <w:tc>
          <w:tcPr>
            <w:tcW w:w="1608" w:type="dxa"/>
          </w:tcPr>
          <w:p w14:paraId="0C98DBAF">
            <w:pPr>
              <w:rPr>
                <w:rFonts w:ascii="Times New Roman" w:hAnsi="Times New Roman" w:cs="Times New Roman"/>
                <w:color w:val="auto"/>
                <w:sz w:val="21"/>
              </w:rPr>
            </w:pPr>
          </w:p>
        </w:tc>
        <w:tc>
          <w:tcPr>
            <w:tcW w:w="1478" w:type="dxa"/>
          </w:tcPr>
          <w:p w14:paraId="4D82A764">
            <w:pPr>
              <w:rPr>
                <w:rFonts w:ascii="Times New Roman" w:hAnsi="Times New Roman" w:cs="Times New Roman"/>
                <w:color w:val="auto"/>
                <w:sz w:val="21"/>
              </w:rPr>
            </w:pPr>
          </w:p>
        </w:tc>
        <w:tc>
          <w:tcPr>
            <w:tcW w:w="1483" w:type="dxa"/>
          </w:tcPr>
          <w:p w14:paraId="685B58EB">
            <w:pPr>
              <w:rPr>
                <w:rFonts w:ascii="Times New Roman" w:hAnsi="Times New Roman" w:cs="Times New Roman"/>
                <w:color w:val="auto"/>
                <w:sz w:val="21"/>
              </w:rPr>
            </w:pPr>
          </w:p>
        </w:tc>
      </w:tr>
    </w:tbl>
    <w:p w14:paraId="6F20DDE4">
      <w:pPr>
        <w:spacing w:before="78" w:line="219" w:lineRule="auto"/>
        <w:ind w:left="3028"/>
        <w:rPr>
          <w:rFonts w:ascii="Times New Roman" w:hAnsi="Times New Roman" w:eastAsia="宋体" w:cs="Times New Roman"/>
          <w:b/>
          <w:bCs/>
          <w:color w:val="auto"/>
          <w:spacing w:val="-4"/>
          <w:szCs w:val="24"/>
        </w:rPr>
        <w:sectPr>
          <w:footerReference r:id="rId26" w:type="first"/>
          <w:footerReference r:id="rId25" w:type="default"/>
          <w:pgSz w:w="11906" w:h="16838"/>
          <w:pgMar w:top="1440" w:right="1080" w:bottom="1440" w:left="1080" w:header="850" w:footer="992" w:gutter="0"/>
          <w:cols w:space="0" w:num="1"/>
          <w:titlePg/>
          <w:docGrid w:linePitch="312" w:charSpace="0"/>
        </w:sectPr>
      </w:pPr>
    </w:p>
    <w:p w14:paraId="2259728D">
      <w:pPr>
        <w:spacing w:before="78" w:line="219" w:lineRule="auto"/>
        <w:jc w:val="center"/>
        <w:rPr>
          <w:rFonts w:ascii="Times New Roman" w:hAnsi="Times New Roman" w:eastAsia="宋体" w:cs="Times New Roman"/>
          <w:b/>
          <w:bCs/>
          <w:color w:val="auto"/>
          <w:spacing w:val="-6"/>
          <w:sz w:val="32"/>
          <w:szCs w:val="32"/>
        </w:rPr>
      </w:pPr>
      <w:r>
        <w:rPr>
          <w:rFonts w:ascii="Times New Roman" w:hAnsi="Times New Roman" w:eastAsia="宋体" w:cs="Times New Roman"/>
          <w:b/>
          <w:bCs/>
          <w:color w:val="auto"/>
          <w:spacing w:val="-6"/>
          <w:sz w:val="32"/>
          <w:szCs w:val="32"/>
        </w:rPr>
        <w:t>表2　项目技术负责人简历表</w:t>
      </w:r>
    </w:p>
    <w:p w14:paraId="55C0FAA4">
      <w:pPr>
        <w:spacing w:line="145" w:lineRule="exact"/>
        <w:rPr>
          <w:rFonts w:ascii="Times New Roman" w:hAnsi="Times New Roman" w:cs="Times New Roman"/>
          <w:color w:val="auto"/>
        </w:rPr>
      </w:pPr>
    </w:p>
    <w:tbl>
      <w:tblPr>
        <w:tblStyle w:val="22"/>
        <w:tblW w:w="90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3"/>
        <w:gridCol w:w="1488"/>
        <w:gridCol w:w="1468"/>
        <w:gridCol w:w="1608"/>
        <w:gridCol w:w="1479"/>
        <w:gridCol w:w="1493"/>
      </w:tblGrid>
      <w:tr w14:paraId="19BEC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483" w:type="dxa"/>
          </w:tcPr>
          <w:p w14:paraId="1F5B9F4F">
            <w:pPr>
              <w:pStyle w:val="25"/>
              <w:spacing w:before="35" w:line="219" w:lineRule="auto"/>
              <w:ind w:left="494"/>
              <w:rPr>
                <w:rFonts w:ascii="Times New Roman" w:hAnsi="Times New Roman" w:cs="Times New Roman"/>
                <w:color w:val="auto"/>
                <w:sz w:val="24"/>
                <w:szCs w:val="24"/>
              </w:rPr>
            </w:pPr>
            <w:r>
              <w:rPr>
                <w:rFonts w:ascii="Times New Roman" w:hAnsi="Times New Roman" w:cs="Times New Roman"/>
                <w:color w:val="auto"/>
                <w:spacing w:val="15"/>
                <w:sz w:val="24"/>
                <w:szCs w:val="24"/>
              </w:rPr>
              <w:t>姓名</w:t>
            </w:r>
          </w:p>
        </w:tc>
        <w:tc>
          <w:tcPr>
            <w:tcW w:w="1488" w:type="dxa"/>
          </w:tcPr>
          <w:p w14:paraId="633418B8">
            <w:pPr>
              <w:rPr>
                <w:rFonts w:ascii="Times New Roman" w:hAnsi="Times New Roman" w:cs="Times New Roman"/>
                <w:color w:val="auto"/>
                <w:sz w:val="21"/>
              </w:rPr>
            </w:pPr>
          </w:p>
        </w:tc>
        <w:tc>
          <w:tcPr>
            <w:tcW w:w="1468" w:type="dxa"/>
          </w:tcPr>
          <w:p w14:paraId="2E000159">
            <w:pPr>
              <w:pStyle w:val="25"/>
              <w:spacing w:before="35" w:line="220" w:lineRule="auto"/>
              <w:ind w:left="483"/>
              <w:rPr>
                <w:rFonts w:ascii="Times New Roman" w:hAnsi="Times New Roman" w:cs="Times New Roman"/>
                <w:color w:val="auto"/>
                <w:sz w:val="24"/>
                <w:szCs w:val="24"/>
              </w:rPr>
            </w:pPr>
            <w:r>
              <w:rPr>
                <w:rFonts w:ascii="Times New Roman" w:hAnsi="Times New Roman" w:cs="Times New Roman"/>
                <w:color w:val="auto"/>
                <w:spacing w:val="9"/>
                <w:sz w:val="24"/>
                <w:szCs w:val="24"/>
              </w:rPr>
              <w:t>性别</w:t>
            </w:r>
          </w:p>
        </w:tc>
        <w:tc>
          <w:tcPr>
            <w:tcW w:w="1608" w:type="dxa"/>
          </w:tcPr>
          <w:p w14:paraId="4569EA81">
            <w:pPr>
              <w:rPr>
                <w:rFonts w:ascii="Times New Roman" w:hAnsi="Times New Roman" w:cs="Times New Roman"/>
                <w:color w:val="auto"/>
                <w:sz w:val="21"/>
              </w:rPr>
            </w:pPr>
          </w:p>
        </w:tc>
        <w:tc>
          <w:tcPr>
            <w:tcW w:w="1479" w:type="dxa"/>
          </w:tcPr>
          <w:p w14:paraId="3BF5F7B1">
            <w:pPr>
              <w:pStyle w:val="25"/>
              <w:spacing w:before="35" w:line="219" w:lineRule="auto"/>
              <w:ind w:left="498"/>
              <w:rPr>
                <w:rFonts w:ascii="Times New Roman" w:hAnsi="Times New Roman" w:cs="Times New Roman"/>
                <w:color w:val="auto"/>
                <w:sz w:val="24"/>
                <w:szCs w:val="24"/>
              </w:rPr>
            </w:pPr>
            <w:r>
              <w:rPr>
                <w:rFonts w:ascii="Times New Roman" w:hAnsi="Times New Roman" w:cs="Times New Roman"/>
                <w:color w:val="auto"/>
                <w:spacing w:val="-3"/>
                <w:sz w:val="24"/>
                <w:szCs w:val="24"/>
              </w:rPr>
              <w:t>年龄</w:t>
            </w:r>
          </w:p>
        </w:tc>
        <w:tc>
          <w:tcPr>
            <w:tcW w:w="1493" w:type="dxa"/>
          </w:tcPr>
          <w:p w14:paraId="10E0BC50">
            <w:pPr>
              <w:rPr>
                <w:rFonts w:ascii="Times New Roman" w:hAnsi="Times New Roman" w:cs="Times New Roman"/>
                <w:color w:val="auto"/>
                <w:sz w:val="21"/>
              </w:rPr>
            </w:pPr>
          </w:p>
        </w:tc>
      </w:tr>
      <w:tr w14:paraId="429C8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483" w:type="dxa"/>
          </w:tcPr>
          <w:p w14:paraId="4D04EE72">
            <w:pPr>
              <w:pStyle w:val="25"/>
              <w:spacing w:before="121" w:line="219" w:lineRule="auto"/>
              <w:ind w:left="494"/>
              <w:rPr>
                <w:rFonts w:ascii="Times New Roman" w:hAnsi="Times New Roman" w:cs="Times New Roman"/>
                <w:color w:val="auto"/>
                <w:sz w:val="24"/>
                <w:szCs w:val="24"/>
              </w:rPr>
            </w:pPr>
            <w:r>
              <w:rPr>
                <w:rFonts w:ascii="Times New Roman" w:hAnsi="Times New Roman" w:cs="Times New Roman"/>
                <w:color w:val="auto"/>
                <w:spacing w:val="5"/>
                <w:sz w:val="24"/>
                <w:szCs w:val="24"/>
              </w:rPr>
              <w:t>职务</w:t>
            </w:r>
          </w:p>
        </w:tc>
        <w:tc>
          <w:tcPr>
            <w:tcW w:w="1488" w:type="dxa"/>
          </w:tcPr>
          <w:p w14:paraId="60B6A720">
            <w:pPr>
              <w:rPr>
                <w:rFonts w:ascii="Times New Roman" w:hAnsi="Times New Roman" w:cs="Times New Roman"/>
                <w:color w:val="auto"/>
                <w:sz w:val="21"/>
              </w:rPr>
            </w:pPr>
          </w:p>
        </w:tc>
        <w:tc>
          <w:tcPr>
            <w:tcW w:w="1468" w:type="dxa"/>
          </w:tcPr>
          <w:p w14:paraId="075766FF">
            <w:pPr>
              <w:pStyle w:val="25"/>
              <w:spacing w:before="54" w:line="221" w:lineRule="auto"/>
              <w:ind w:left="483"/>
              <w:rPr>
                <w:rFonts w:ascii="Times New Roman" w:hAnsi="Times New Roman" w:cs="Times New Roman"/>
                <w:color w:val="auto"/>
                <w:sz w:val="24"/>
                <w:szCs w:val="24"/>
              </w:rPr>
            </w:pPr>
            <w:r>
              <w:rPr>
                <w:rFonts w:ascii="Times New Roman" w:hAnsi="Times New Roman" w:cs="Times New Roman"/>
                <w:color w:val="auto"/>
                <w:spacing w:val="6"/>
                <w:sz w:val="24"/>
                <w:szCs w:val="24"/>
              </w:rPr>
              <w:t>职称</w:t>
            </w:r>
          </w:p>
        </w:tc>
        <w:tc>
          <w:tcPr>
            <w:tcW w:w="1608" w:type="dxa"/>
          </w:tcPr>
          <w:p w14:paraId="51FAF2E2">
            <w:pPr>
              <w:rPr>
                <w:rFonts w:ascii="Times New Roman" w:hAnsi="Times New Roman" w:cs="Times New Roman"/>
                <w:color w:val="auto"/>
                <w:sz w:val="21"/>
              </w:rPr>
            </w:pPr>
          </w:p>
        </w:tc>
        <w:tc>
          <w:tcPr>
            <w:tcW w:w="1479" w:type="dxa"/>
          </w:tcPr>
          <w:p w14:paraId="4B646BA6">
            <w:pPr>
              <w:pStyle w:val="25"/>
              <w:spacing w:before="42" w:line="221" w:lineRule="auto"/>
              <w:ind w:left="498"/>
              <w:rPr>
                <w:rFonts w:ascii="Times New Roman" w:hAnsi="Times New Roman" w:cs="Times New Roman"/>
                <w:color w:val="auto"/>
                <w:sz w:val="24"/>
                <w:szCs w:val="24"/>
              </w:rPr>
            </w:pPr>
            <w:r>
              <w:rPr>
                <w:rFonts w:ascii="Times New Roman" w:hAnsi="Times New Roman" w:cs="Times New Roman"/>
                <w:color w:val="auto"/>
                <w:spacing w:val="7"/>
                <w:sz w:val="24"/>
                <w:szCs w:val="24"/>
              </w:rPr>
              <w:t>学历</w:t>
            </w:r>
          </w:p>
        </w:tc>
        <w:tc>
          <w:tcPr>
            <w:tcW w:w="1493" w:type="dxa"/>
          </w:tcPr>
          <w:p w14:paraId="58CE53A2">
            <w:pPr>
              <w:rPr>
                <w:rFonts w:ascii="Times New Roman" w:hAnsi="Times New Roman" w:cs="Times New Roman"/>
                <w:color w:val="auto"/>
                <w:sz w:val="21"/>
              </w:rPr>
            </w:pPr>
          </w:p>
        </w:tc>
      </w:tr>
      <w:tr w14:paraId="05767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2971" w:type="dxa"/>
            <w:gridSpan w:val="2"/>
          </w:tcPr>
          <w:p w14:paraId="69B305CC">
            <w:pPr>
              <w:pStyle w:val="25"/>
              <w:spacing w:before="51" w:line="220" w:lineRule="auto"/>
              <w:ind w:left="754"/>
              <w:rPr>
                <w:rFonts w:ascii="Times New Roman" w:hAnsi="Times New Roman" w:cs="Times New Roman"/>
                <w:color w:val="auto"/>
                <w:sz w:val="24"/>
                <w:szCs w:val="24"/>
              </w:rPr>
            </w:pPr>
            <w:r>
              <w:rPr>
                <w:rFonts w:ascii="Times New Roman" w:hAnsi="Times New Roman" w:cs="Times New Roman"/>
                <w:color w:val="auto"/>
                <w:spacing w:val="3"/>
                <w:sz w:val="24"/>
                <w:szCs w:val="24"/>
              </w:rPr>
              <w:t>参加工作时间</w:t>
            </w:r>
          </w:p>
        </w:tc>
        <w:tc>
          <w:tcPr>
            <w:tcW w:w="1468" w:type="dxa"/>
          </w:tcPr>
          <w:p w14:paraId="6FE1B425">
            <w:pPr>
              <w:rPr>
                <w:rFonts w:ascii="Times New Roman" w:hAnsi="Times New Roman" w:cs="Times New Roman"/>
                <w:color w:val="auto"/>
                <w:sz w:val="21"/>
              </w:rPr>
            </w:pPr>
          </w:p>
        </w:tc>
        <w:tc>
          <w:tcPr>
            <w:tcW w:w="3087" w:type="dxa"/>
            <w:gridSpan w:val="2"/>
          </w:tcPr>
          <w:p w14:paraId="25C26068">
            <w:pPr>
              <w:pStyle w:val="25"/>
              <w:spacing w:before="51" w:line="219" w:lineRule="auto"/>
              <w:ind w:left="486"/>
              <w:rPr>
                <w:rFonts w:ascii="Times New Roman" w:hAnsi="Times New Roman" w:cs="Times New Roman"/>
                <w:color w:val="auto"/>
                <w:sz w:val="24"/>
                <w:szCs w:val="24"/>
              </w:rPr>
            </w:pPr>
            <w:r>
              <w:rPr>
                <w:rFonts w:ascii="Times New Roman" w:hAnsi="Times New Roman" w:cs="Times New Roman"/>
                <w:color w:val="auto"/>
                <w:spacing w:val="1"/>
                <w:sz w:val="24"/>
                <w:szCs w:val="24"/>
              </w:rPr>
              <w:t>从事技术负责人年限</w:t>
            </w:r>
          </w:p>
        </w:tc>
        <w:tc>
          <w:tcPr>
            <w:tcW w:w="1493" w:type="dxa"/>
          </w:tcPr>
          <w:p w14:paraId="78433317">
            <w:pPr>
              <w:rPr>
                <w:rFonts w:ascii="Times New Roman" w:hAnsi="Times New Roman" w:cs="Times New Roman"/>
                <w:color w:val="auto"/>
                <w:sz w:val="21"/>
              </w:rPr>
            </w:pPr>
          </w:p>
        </w:tc>
      </w:tr>
      <w:tr w14:paraId="14AD9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971" w:type="dxa"/>
            <w:gridSpan w:val="2"/>
          </w:tcPr>
          <w:p w14:paraId="7E530D3B">
            <w:pPr>
              <w:pStyle w:val="25"/>
              <w:spacing w:before="110" w:line="219" w:lineRule="auto"/>
              <w:ind w:left="394"/>
              <w:rPr>
                <w:rFonts w:ascii="Times New Roman" w:hAnsi="Times New Roman" w:cs="Times New Roman"/>
                <w:color w:val="auto"/>
                <w:sz w:val="24"/>
                <w:szCs w:val="24"/>
              </w:rPr>
            </w:pPr>
            <w:r>
              <w:rPr>
                <w:rFonts w:ascii="Times New Roman" w:hAnsi="Times New Roman" w:cs="Times New Roman"/>
                <w:color w:val="auto"/>
                <w:spacing w:val="1"/>
                <w:sz w:val="24"/>
                <w:szCs w:val="24"/>
              </w:rPr>
              <w:t>资格证书名称及编号</w:t>
            </w:r>
          </w:p>
        </w:tc>
        <w:tc>
          <w:tcPr>
            <w:tcW w:w="6048" w:type="dxa"/>
            <w:gridSpan w:val="4"/>
          </w:tcPr>
          <w:p w14:paraId="5AEDC5D9">
            <w:pPr>
              <w:rPr>
                <w:rFonts w:ascii="Times New Roman" w:hAnsi="Times New Roman" w:cs="Times New Roman"/>
                <w:color w:val="auto"/>
                <w:sz w:val="21"/>
              </w:rPr>
            </w:pPr>
          </w:p>
        </w:tc>
      </w:tr>
      <w:tr w14:paraId="7FEDC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9019" w:type="dxa"/>
            <w:gridSpan w:val="6"/>
          </w:tcPr>
          <w:p w14:paraId="3CBC7953">
            <w:pPr>
              <w:pStyle w:val="25"/>
              <w:spacing w:before="72" w:line="219" w:lineRule="auto"/>
              <w:ind w:left="3214"/>
              <w:rPr>
                <w:rFonts w:ascii="Times New Roman" w:hAnsi="Times New Roman" w:cs="Times New Roman"/>
                <w:color w:val="auto"/>
                <w:sz w:val="24"/>
                <w:szCs w:val="24"/>
                <w:lang w:eastAsia="zh-CN"/>
              </w:rPr>
            </w:pPr>
            <w:r>
              <w:rPr>
                <w:rFonts w:ascii="Times New Roman" w:hAnsi="Times New Roman" w:cs="Times New Roman"/>
                <w:color w:val="auto"/>
                <w:spacing w:val="-1"/>
                <w:sz w:val="24"/>
                <w:szCs w:val="24"/>
                <w:lang w:eastAsia="zh-CN"/>
              </w:rPr>
              <w:t>在建和已完工程项目情况</w:t>
            </w:r>
          </w:p>
        </w:tc>
      </w:tr>
      <w:tr w14:paraId="5DE6B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1483" w:type="dxa"/>
          </w:tcPr>
          <w:p w14:paraId="4B84E807">
            <w:pPr>
              <w:pStyle w:val="25"/>
              <w:spacing w:before="62" w:line="220" w:lineRule="auto"/>
              <w:ind w:left="254"/>
              <w:rPr>
                <w:rFonts w:ascii="Times New Roman" w:hAnsi="Times New Roman" w:cs="Times New Roman"/>
                <w:color w:val="auto"/>
                <w:sz w:val="24"/>
                <w:szCs w:val="24"/>
              </w:rPr>
            </w:pPr>
            <w:r>
              <w:rPr>
                <w:rFonts w:ascii="Times New Roman" w:hAnsi="Times New Roman" w:cs="Times New Roman"/>
                <w:color w:val="auto"/>
                <w:spacing w:val="2"/>
                <w:sz w:val="24"/>
                <w:szCs w:val="24"/>
              </w:rPr>
              <w:t>建设单位</w:t>
            </w:r>
          </w:p>
        </w:tc>
        <w:tc>
          <w:tcPr>
            <w:tcW w:w="1488" w:type="dxa"/>
          </w:tcPr>
          <w:p w14:paraId="71F19F6D">
            <w:pPr>
              <w:pStyle w:val="25"/>
              <w:spacing w:before="62" w:line="220" w:lineRule="auto"/>
              <w:ind w:left="251"/>
              <w:rPr>
                <w:rFonts w:ascii="Times New Roman" w:hAnsi="Times New Roman" w:cs="Times New Roman"/>
                <w:color w:val="auto"/>
                <w:sz w:val="24"/>
                <w:szCs w:val="24"/>
              </w:rPr>
            </w:pPr>
            <w:r>
              <w:rPr>
                <w:rFonts w:ascii="Times New Roman" w:hAnsi="Times New Roman" w:cs="Times New Roman"/>
                <w:color w:val="auto"/>
                <w:spacing w:val="3"/>
                <w:sz w:val="24"/>
                <w:szCs w:val="24"/>
              </w:rPr>
              <w:t>项目名称</w:t>
            </w:r>
          </w:p>
        </w:tc>
        <w:tc>
          <w:tcPr>
            <w:tcW w:w="1468" w:type="dxa"/>
          </w:tcPr>
          <w:p w14:paraId="47554E6C">
            <w:pPr>
              <w:pStyle w:val="25"/>
              <w:spacing w:before="62" w:line="219" w:lineRule="auto"/>
              <w:ind w:left="243"/>
              <w:rPr>
                <w:rFonts w:ascii="Times New Roman" w:hAnsi="Times New Roman" w:cs="Times New Roman"/>
                <w:color w:val="auto"/>
                <w:sz w:val="24"/>
                <w:szCs w:val="24"/>
              </w:rPr>
            </w:pPr>
            <w:r>
              <w:rPr>
                <w:rFonts w:ascii="Times New Roman" w:hAnsi="Times New Roman" w:cs="Times New Roman"/>
                <w:color w:val="auto"/>
                <w:spacing w:val="2"/>
                <w:sz w:val="24"/>
                <w:szCs w:val="24"/>
              </w:rPr>
              <w:t>建设规模</w:t>
            </w:r>
          </w:p>
        </w:tc>
        <w:tc>
          <w:tcPr>
            <w:tcW w:w="1608" w:type="dxa"/>
          </w:tcPr>
          <w:p w14:paraId="32213FDA">
            <w:pPr>
              <w:pStyle w:val="25"/>
              <w:spacing w:before="61" w:line="326" w:lineRule="auto"/>
              <w:ind w:left="675" w:right="158" w:hanging="479"/>
              <w:rPr>
                <w:rFonts w:ascii="Times New Roman" w:hAnsi="Times New Roman" w:cs="Times New Roman"/>
                <w:color w:val="auto"/>
                <w:sz w:val="24"/>
                <w:szCs w:val="24"/>
              </w:rPr>
            </w:pPr>
            <w:r>
              <w:rPr>
                <w:rFonts w:ascii="Times New Roman" w:hAnsi="Times New Roman" w:cs="Times New Roman"/>
                <w:color w:val="auto"/>
                <w:spacing w:val="8"/>
                <w:sz w:val="24"/>
                <w:szCs w:val="24"/>
              </w:rPr>
              <w:t>开、竣工日</w:t>
            </w:r>
            <w:r>
              <w:rPr>
                <w:rFonts w:ascii="Times New Roman" w:hAnsi="Times New Roman" w:cs="Times New Roman"/>
                <w:color w:val="auto"/>
                <w:spacing w:val="2"/>
                <w:sz w:val="24"/>
                <w:szCs w:val="24"/>
              </w:rPr>
              <w:t xml:space="preserve"> </w:t>
            </w:r>
            <w:r>
              <w:rPr>
                <w:rFonts w:ascii="Times New Roman" w:hAnsi="Times New Roman" w:cs="Times New Roman"/>
                <w:color w:val="auto"/>
                <w:sz w:val="24"/>
                <w:szCs w:val="24"/>
              </w:rPr>
              <w:t>期</w:t>
            </w:r>
          </w:p>
        </w:tc>
        <w:tc>
          <w:tcPr>
            <w:tcW w:w="1479" w:type="dxa"/>
          </w:tcPr>
          <w:p w14:paraId="6BB97D28">
            <w:pPr>
              <w:pStyle w:val="25"/>
              <w:spacing w:before="42" w:line="219" w:lineRule="auto"/>
              <w:ind w:left="137"/>
              <w:rPr>
                <w:rFonts w:ascii="Times New Roman" w:hAnsi="Times New Roman" w:cs="Times New Roman"/>
                <w:color w:val="auto"/>
                <w:sz w:val="24"/>
                <w:szCs w:val="24"/>
              </w:rPr>
            </w:pPr>
            <w:r>
              <w:rPr>
                <w:rFonts w:ascii="Times New Roman" w:hAnsi="Times New Roman" w:cs="Times New Roman"/>
                <w:color w:val="auto"/>
                <w:spacing w:val="2"/>
                <w:sz w:val="24"/>
                <w:szCs w:val="24"/>
              </w:rPr>
              <w:t>在建或已完</w:t>
            </w:r>
          </w:p>
        </w:tc>
        <w:tc>
          <w:tcPr>
            <w:tcW w:w="1493" w:type="dxa"/>
          </w:tcPr>
          <w:p w14:paraId="361266DF">
            <w:pPr>
              <w:pStyle w:val="25"/>
              <w:spacing w:before="62" w:line="220" w:lineRule="auto"/>
              <w:ind w:left="278"/>
              <w:rPr>
                <w:rFonts w:ascii="Times New Roman" w:hAnsi="Times New Roman" w:cs="Times New Roman"/>
                <w:color w:val="auto"/>
                <w:sz w:val="24"/>
                <w:szCs w:val="24"/>
              </w:rPr>
            </w:pPr>
            <w:r>
              <w:rPr>
                <w:rFonts w:ascii="Times New Roman" w:hAnsi="Times New Roman" w:cs="Times New Roman"/>
                <w:color w:val="auto"/>
                <w:spacing w:val="2"/>
                <w:sz w:val="24"/>
                <w:szCs w:val="24"/>
              </w:rPr>
              <w:t>工程质量</w:t>
            </w:r>
          </w:p>
        </w:tc>
      </w:tr>
      <w:tr w14:paraId="4C00A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483" w:type="dxa"/>
          </w:tcPr>
          <w:p w14:paraId="2FC2DD8C">
            <w:pPr>
              <w:rPr>
                <w:rFonts w:ascii="Times New Roman" w:hAnsi="Times New Roman" w:cs="Times New Roman"/>
                <w:color w:val="auto"/>
                <w:sz w:val="21"/>
              </w:rPr>
            </w:pPr>
          </w:p>
        </w:tc>
        <w:tc>
          <w:tcPr>
            <w:tcW w:w="1488" w:type="dxa"/>
          </w:tcPr>
          <w:p w14:paraId="2F6EB416">
            <w:pPr>
              <w:rPr>
                <w:rFonts w:ascii="Times New Roman" w:hAnsi="Times New Roman" w:cs="Times New Roman"/>
                <w:color w:val="auto"/>
                <w:sz w:val="21"/>
              </w:rPr>
            </w:pPr>
          </w:p>
        </w:tc>
        <w:tc>
          <w:tcPr>
            <w:tcW w:w="1468" w:type="dxa"/>
          </w:tcPr>
          <w:p w14:paraId="49E4B22E">
            <w:pPr>
              <w:rPr>
                <w:rFonts w:ascii="Times New Roman" w:hAnsi="Times New Roman" w:cs="Times New Roman"/>
                <w:color w:val="auto"/>
                <w:sz w:val="21"/>
              </w:rPr>
            </w:pPr>
          </w:p>
        </w:tc>
        <w:tc>
          <w:tcPr>
            <w:tcW w:w="1608" w:type="dxa"/>
          </w:tcPr>
          <w:p w14:paraId="5A0B5934">
            <w:pPr>
              <w:rPr>
                <w:rFonts w:ascii="Times New Roman" w:hAnsi="Times New Roman" w:cs="Times New Roman"/>
                <w:color w:val="auto"/>
                <w:sz w:val="21"/>
              </w:rPr>
            </w:pPr>
          </w:p>
        </w:tc>
        <w:tc>
          <w:tcPr>
            <w:tcW w:w="1479" w:type="dxa"/>
          </w:tcPr>
          <w:p w14:paraId="3732325D">
            <w:pPr>
              <w:rPr>
                <w:rFonts w:ascii="Times New Roman" w:hAnsi="Times New Roman" w:cs="Times New Roman"/>
                <w:color w:val="auto"/>
                <w:sz w:val="21"/>
              </w:rPr>
            </w:pPr>
          </w:p>
        </w:tc>
        <w:tc>
          <w:tcPr>
            <w:tcW w:w="1493" w:type="dxa"/>
          </w:tcPr>
          <w:p w14:paraId="45D09927">
            <w:pPr>
              <w:rPr>
                <w:rFonts w:ascii="Times New Roman" w:hAnsi="Times New Roman" w:cs="Times New Roman"/>
                <w:color w:val="auto"/>
                <w:sz w:val="21"/>
              </w:rPr>
            </w:pPr>
          </w:p>
        </w:tc>
      </w:tr>
      <w:tr w14:paraId="45B14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483" w:type="dxa"/>
          </w:tcPr>
          <w:p w14:paraId="43A79505">
            <w:pPr>
              <w:rPr>
                <w:rFonts w:ascii="Times New Roman" w:hAnsi="Times New Roman" w:cs="Times New Roman"/>
                <w:color w:val="auto"/>
                <w:sz w:val="21"/>
              </w:rPr>
            </w:pPr>
          </w:p>
        </w:tc>
        <w:tc>
          <w:tcPr>
            <w:tcW w:w="1488" w:type="dxa"/>
          </w:tcPr>
          <w:p w14:paraId="4122BBD4">
            <w:pPr>
              <w:rPr>
                <w:rFonts w:ascii="Times New Roman" w:hAnsi="Times New Roman" w:cs="Times New Roman"/>
                <w:color w:val="auto"/>
                <w:sz w:val="21"/>
              </w:rPr>
            </w:pPr>
          </w:p>
        </w:tc>
        <w:tc>
          <w:tcPr>
            <w:tcW w:w="1468" w:type="dxa"/>
          </w:tcPr>
          <w:p w14:paraId="1CD32E9D">
            <w:pPr>
              <w:rPr>
                <w:rFonts w:ascii="Times New Roman" w:hAnsi="Times New Roman" w:cs="Times New Roman"/>
                <w:color w:val="auto"/>
                <w:sz w:val="21"/>
              </w:rPr>
            </w:pPr>
          </w:p>
        </w:tc>
        <w:tc>
          <w:tcPr>
            <w:tcW w:w="1608" w:type="dxa"/>
          </w:tcPr>
          <w:p w14:paraId="33D5E924">
            <w:pPr>
              <w:rPr>
                <w:rFonts w:ascii="Times New Roman" w:hAnsi="Times New Roman" w:cs="Times New Roman"/>
                <w:color w:val="auto"/>
                <w:sz w:val="21"/>
              </w:rPr>
            </w:pPr>
          </w:p>
        </w:tc>
        <w:tc>
          <w:tcPr>
            <w:tcW w:w="1479" w:type="dxa"/>
          </w:tcPr>
          <w:p w14:paraId="548B0B71">
            <w:pPr>
              <w:rPr>
                <w:rFonts w:ascii="Times New Roman" w:hAnsi="Times New Roman" w:cs="Times New Roman"/>
                <w:color w:val="auto"/>
                <w:sz w:val="21"/>
              </w:rPr>
            </w:pPr>
          </w:p>
        </w:tc>
        <w:tc>
          <w:tcPr>
            <w:tcW w:w="1493" w:type="dxa"/>
          </w:tcPr>
          <w:p w14:paraId="772D00A8">
            <w:pPr>
              <w:rPr>
                <w:rFonts w:ascii="Times New Roman" w:hAnsi="Times New Roman" w:cs="Times New Roman"/>
                <w:color w:val="auto"/>
                <w:sz w:val="21"/>
              </w:rPr>
            </w:pPr>
          </w:p>
        </w:tc>
      </w:tr>
      <w:tr w14:paraId="0FED7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483" w:type="dxa"/>
          </w:tcPr>
          <w:p w14:paraId="19A0D2E5">
            <w:pPr>
              <w:rPr>
                <w:rFonts w:ascii="Times New Roman" w:hAnsi="Times New Roman" w:cs="Times New Roman"/>
                <w:color w:val="auto"/>
                <w:sz w:val="21"/>
              </w:rPr>
            </w:pPr>
          </w:p>
        </w:tc>
        <w:tc>
          <w:tcPr>
            <w:tcW w:w="1488" w:type="dxa"/>
          </w:tcPr>
          <w:p w14:paraId="50DB0DFA">
            <w:pPr>
              <w:rPr>
                <w:rFonts w:ascii="Times New Roman" w:hAnsi="Times New Roman" w:cs="Times New Roman"/>
                <w:color w:val="auto"/>
                <w:sz w:val="21"/>
              </w:rPr>
            </w:pPr>
          </w:p>
        </w:tc>
        <w:tc>
          <w:tcPr>
            <w:tcW w:w="1468" w:type="dxa"/>
          </w:tcPr>
          <w:p w14:paraId="3BFBBF02">
            <w:pPr>
              <w:rPr>
                <w:rFonts w:ascii="Times New Roman" w:hAnsi="Times New Roman" w:cs="Times New Roman"/>
                <w:color w:val="auto"/>
                <w:sz w:val="21"/>
              </w:rPr>
            </w:pPr>
          </w:p>
        </w:tc>
        <w:tc>
          <w:tcPr>
            <w:tcW w:w="1608" w:type="dxa"/>
          </w:tcPr>
          <w:p w14:paraId="6A58FEEE">
            <w:pPr>
              <w:rPr>
                <w:rFonts w:ascii="Times New Roman" w:hAnsi="Times New Roman" w:cs="Times New Roman"/>
                <w:color w:val="auto"/>
                <w:sz w:val="21"/>
              </w:rPr>
            </w:pPr>
          </w:p>
        </w:tc>
        <w:tc>
          <w:tcPr>
            <w:tcW w:w="1479" w:type="dxa"/>
          </w:tcPr>
          <w:p w14:paraId="18BC6F1A">
            <w:pPr>
              <w:rPr>
                <w:rFonts w:ascii="Times New Roman" w:hAnsi="Times New Roman" w:cs="Times New Roman"/>
                <w:color w:val="auto"/>
                <w:sz w:val="21"/>
              </w:rPr>
            </w:pPr>
          </w:p>
        </w:tc>
        <w:tc>
          <w:tcPr>
            <w:tcW w:w="1493" w:type="dxa"/>
          </w:tcPr>
          <w:p w14:paraId="6EEE5DD1">
            <w:pPr>
              <w:rPr>
                <w:rFonts w:ascii="Times New Roman" w:hAnsi="Times New Roman" w:cs="Times New Roman"/>
                <w:color w:val="auto"/>
                <w:sz w:val="21"/>
              </w:rPr>
            </w:pPr>
          </w:p>
        </w:tc>
      </w:tr>
      <w:tr w14:paraId="3DF27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483" w:type="dxa"/>
          </w:tcPr>
          <w:p w14:paraId="16D90217">
            <w:pPr>
              <w:rPr>
                <w:rFonts w:ascii="Times New Roman" w:hAnsi="Times New Roman" w:cs="Times New Roman"/>
                <w:color w:val="auto"/>
                <w:sz w:val="21"/>
              </w:rPr>
            </w:pPr>
          </w:p>
        </w:tc>
        <w:tc>
          <w:tcPr>
            <w:tcW w:w="1488" w:type="dxa"/>
          </w:tcPr>
          <w:p w14:paraId="71F87850">
            <w:pPr>
              <w:rPr>
                <w:rFonts w:ascii="Times New Roman" w:hAnsi="Times New Roman" w:cs="Times New Roman"/>
                <w:color w:val="auto"/>
                <w:sz w:val="21"/>
              </w:rPr>
            </w:pPr>
          </w:p>
        </w:tc>
        <w:tc>
          <w:tcPr>
            <w:tcW w:w="1468" w:type="dxa"/>
          </w:tcPr>
          <w:p w14:paraId="1E4F5D0F">
            <w:pPr>
              <w:rPr>
                <w:rFonts w:ascii="Times New Roman" w:hAnsi="Times New Roman" w:cs="Times New Roman"/>
                <w:color w:val="auto"/>
                <w:sz w:val="21"/>
              </w:rPr>
            </w:pPr>
          </w:p>
        </w:tc>
        <w:tc>
          <w:tcPr>
            <w:tcW w:w="1608" w:type="dxa"/>
          </w:tcPr>
          <w:p w14:paraId="0604B4E8">
            <w:pPr>
              <w:rPr>
                <w:rFonts w:ascii="Times New Roman" w:hAnsi="Times New Roman" w:cs="Times New Roman"/>
                <w:color w:val="auto"/>
                <w:sz w:val="21"/>
              </w:rPr>
            </w:pPr>
          </w:p>
        </w:tc>
        <w:tc>
          <w:tcPr>
            <w:tcW w:w="1479" w:type="dxa"/>
          </w:tcPr>
          <w:p w14:paraId="1A173AA4">
            <w:pPr>
              <w:rPr>
                <w:rFonts w:ascii="Times New Roman" w:hAnsi="Times New Roman" w:cs="Times New Roman"/>
                <w:color w:val="auto"/>
                <w:sz w:val="21"/>
              </w:rPr>
            </w:pPr>
          </w:p>
        </w:tc>
        <w:tc>
          <w:tcPr>
            <w:tcW w:w="1493" w:type="dxa"/>
          </w:tcPr>
          <w:p w14:paraId="2489E289">
            <w:pPr>
              <w:rPr>
                <w:rFonts w:ascii="Times New Roman" w:hAnsi="Times New Roman" w:cs="Times New Roman"/>
                <w:color w:val="auto"/>
                <w:sz w:val="21"/>
              </w:rPr>
            </w:pPr>
          </w:p>
        </w:tc>
      </w:tr>
      <w:tr w14:paraId="4068D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483" w:type="dxa"/>
          </w:tcPr>
          <w:p w14:paraId="1DD49695">
            <w:pPr>
              <w:rPr>
                <w:rFonts w:ascii="Times New Roman" w:hAnsi="Times New Roman" w:cs="Times New Roman"/>
                <w:color w:val="auto"/>
                <w:sz w:val="21"/>
              </w:rPr>
            </w:pPr>
          </w:p>
        </w:tc>
        <w:tc>
          <w:tcPr>
            <w:tcW w:w="1488" w:type="dxa"/>
          </w:tcPr>
          <w:p w14:paraId="61348780">
            <w:pPr>
              <w:rPr>
                <w:rFonts w:ascii="Times New Roman" w:hAnsi="Times New Roman" w:cs="Times New Roman"/>
                <w:color w:val="auto"/>
                <w:sz w:val="21"/>
              </w:rPr>
            </w:pPr>
          </w:p>
        </w:tc>
        <w:tc>
          <w:tcPr>
            <w:tcW w:w="1468" w:type="dxa"/>
          </w:tcPr>
          <w:p w14:paraId="545A7858">
            <w:pPr>
              <w:rPr>
                <w:rFonts w:ascii="Times New Roman" w:hAnsi="Times New Roman" w:cs="Times New Roman"/>
                <w:color w:val="auto"/>
                <w:sz w:val="21"/>
              </w:rPr>
            </w:pPr>
          </w:p>
        </w:tc>
        <w:tc>
          <w:tcPr>
            <w:tcW w:w="1608" w:type="dxa"/>
          </w:tcPr>
          <w:p w14:paraId="357D34E7">
            <w:pPr>
              <w:rPr>
                <w:rFonts w:ascii="Times New Roman" w:hAnsi="Times New Roman" w:cs="Times New Roman"/>
                <w:color w:val="auto"/>
                <w:sz w:val="21"/>
              </w:rPr>
            </w:pPr>
          </w:p>
        </w:tc>
        <w:tc>
          <w:tcPr>
            <w:tcW w:w="1479" w:type="dxa"/>
          </w:tcPr>
          <w:p w14:paraId="02BF3EB5">
            <w:pPr>
              <w:rPr>
                <w:rFonts w:ascii="Times New Roman" w:hAnsi="Times New Roman" w:cs="Times New Roman"/>
                <w:color w:val="auto"/>
                <w:sz w:val="21"/>
              </w:rPr>
            </w:pPr>
          </w:p>
        </w:tc>
        <w:tc>
          <w:tcPr>
            <w:tcW w:w="1493" w:type="dxa"/>
          </w:tcPr>
          <w:p w14:paraId="54AEFD19">
            <w:pPr>
              <w:rPr>
                <w:rFonts w:ascii="Times New Roman" w:hAnsi="Times New Roman" w:cs="Times New Roman"/>
                <w:color w:val="auto"/>
                <w:sz w:val="21"/>
              </w:rPr>
            </w:pPr>
          </w:p>
        </w:tc>
      </w:tr>
      <w:tr w14:paraId="62029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483" w:type="dxa"/>
          </w:tcPr>
          <w:p w14:paraId="51A89F16">
            <w:pPr>
              <w:rPr>
                <w:rFonts w:ascii="Times New Roman" w:hAnsi="Times New Roman" w:cs="Times New Roman"/>
                <w:color w:val="auto"/>
                <w:sz w:val="21"/>
              </w:rPr>
            </w:pPr>
          </w:p>
        </w:tc>
        <w:tc>
          <w:tcPr>
            <w:tcW w:w="1488" w:type="dxa"/>
          </w:tcPr>
          <w:p w14:paraId="5C8F3D16">
            <w:pPr>
              <w:rPr>
                <w:rFonts w:ascii="Times New Roman" w:hAnsi="Times New Roman" w:cs="Times New Roman"/>
                <w:color w:val="auto"/>
                <w:sz w:val="21"/>
              </w:rPr>
            </w:pPr>
          </w:p>
        </w:tc>
        <w:tc>
          <w:tcPr>
            <w:tcW w:w="1468" w:type="dxa"/>
          </w:tcPr>
          <w:p w14:paraId="4E315F61">
            <w:pPr>
              <w:rPr>
                <w:rFonts w:ascii="Times New Roman" w:hAnsi="Times New Roman" w:cs="Times New Roman"/>
                <w:color w:val="auto"/>
                <w:sz w:val="21"/>
              </w:rPr>
            </w:pPr>
          </w:p>
        </w:tc>
        <w:tc>
          <w:tcPr>
            <w:tcW w:w="1608" w:type="dxa"/>
          </w:tcPr>
          <w:p w14:paraId="384061F3">
            <w:pPr>
              <w:rPr>
                <w:rFonts w:ascii="Times New Roman" w:hAnsi="Times New Roman" w:cs="Times New Roman"/>
                <w:color w:val="auto"/>
                <w:sz w:val="21"/>
              </w:rPr>
            </w:pPr>
          </w:p>
        </w:tc>
        <w:tc>
          <w:tcPr>
            <w:tcW w:w="1479" w:type="dxa"/>
          </w:tcPr>
          <w:p w14:paraId="69B4AAE3">
            <w:pPr>
              <w:rPr>
                <w:rFonts w:ascii="Times New Roman" w:hAnsi="Times New Roman" w:cs="Times New Roman"/>
                <w:color w:val="auto"/>
                <w:sz w:val="21"/>
              </w:rPr>
            </w:pPr>
          </w:p>
        </w:tc>
        <w:tc>
          <w:tcPr>
            <w:tcW w:w="1493" w:type="dxa"/>
          </w:tcPr>
          <w:p w14:paraId="1CA4D91C">
            <w:pPr>
              <w:rPr>
                <w:rFonts w:ascii="Times New Roman" w:hAnsi="Times New Roman" w:cs="Times New Roman"/>
                <w:color w:val="auto"/>
                <w:sz w:val="21"/>
              </w:rPr>
            </w:pPr>
          </w:p>
        </w:tc>
      </w:tr>
      <w:tr w14:paraId="161C4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483" w:type="dxa"/>
          </w:tcPr>
          <w:p w14:paraId="527D2ACB">
            <w:pPr>
              <w:rPr>
                <w:rFonts w:ascii="Times New Roman" w:hAnsi="Times New Roman" w:cs="Times New Roman"/>
                <w:color w:val="auto"/>
                <w:sz w:val="21"/>
              </w:rPr>
            </w:pPr>
          </w:p>
        </w:tc>
        <w:tc>
          <w:tcPr>
            <w:tcW w:w="1488" w:type="dxa"/>
          </w:tcPr>
          <w:p w14:paraId="4BC6701F">
            <w:pPr>
              <w:rPr>
                <w:rFonts w:ascii="Times New Roman" w:hAnsi="Times New Roman" w:cs="Times New Roman"/>
                <w:color w:val="auto"/>
                <w:sz w:val="21"/>
              </w:rPr>
            </w:pPr>
          </w:p>
        </w:tc>
        <w:tc>
          <w:tcPr>
            <w:tcW w:w="1468" w:type="dxa"/>
          </w:tcPr>
          <w:p w14:paraId="46BBA256">
            <w:pPr>
              <w:rPr>
                <w:rFonts w:ascii="Times New Roman" w:hAnsi="Times New Roman" w:cs="Times New Roman"/>
                <w:color w:val="auto"/>
                <w:sz w:val="21"/>
              </w:rPr>
            </w:pPr>
          </w:p>
        </w:tc>
        <w:tc>
          <w:tcPr>
            <w:tcW w:w="1608" w:type="dxa"/>
          </w:tcPr>
          <w:p w14:paraId="31647A77">
            <w:pPr>
              <w:rPr>
                <w:rFonts w:ascii="Times New Roman" w:hAnsi="Times New Roman" w:cs="Times New Roman"/>
                <w:color w:val="auto"/>
                <w:sz w:val="21"/>
              </w:rPr>
            </w:pPr>
          </w:p>
        </w:tc>
        <w:tc>
          <w:tcPr>
            <w:tcW w:w="1479" w:type="dxa"/>
          </w:tcPr>
          <w:p w14:paraId="696FFC7F">
            <w:pPr>
              <w:rPr>
                <w:rFonts w:ascii="Times New Roman" w:hAnsi="Times New Roman" w:cs="Times New Roman"/>
                <w:color w:val="auto"/>
                <w:sz w:val="21"/>
              </w:rPr>
            </w:pPr>
          </w:p>
        </w:tc>
        <w:tc>
          <w:tcPr>
            <w:tcW w:w="1493" w:type="dxa"/>
          </w:tcPr>
          <w:p w14:paraId="690B5723">
            <w:pPr>
              <w:rPr>
                <w:rFonts w:ascii="Times New Roman" w:hAnsi="Times New Roman" w:cs="Times New Roman"/>
                <w:color w:val="auto"/>
                <w:sz w:val="21"/>
              </w:rPr>
            </w:pPr>
          </w:p>
        </w:tc>
      </w:tr>
      <w:tr w14:paraId="222CC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1483" w:type="dxa"/>
          </w:tcPr>
          <w:p w14:paraId="3D567BAD">
            <w:pPr>
              <w:rPr>
                <w:rFonts w:ascii="Times New Roman" w:hAnsi="Times New Roman" w:cs="Times New Roman"/>
                <w:color w:val="auto"/>
                <w:sz w:val="21"/>
              </w:rPr>
            </w:pPr>
          </w:p>
        </w:tc>
        <w:tc>
          <w:tcPr>
            <w:tcW w:w="1488" w:type="dxa"/>
          </w:tcPr>
          <w:p w14:paraId="4E662E3B">
            <w:pPr>
              <w:rPr>
                <w:rFonts w:ascii="Times New Roman" w:hAnsi="Times New Roman" w:cs="Times New Roman"/>
                <w:color w:val="auto"/>
                <w:sz w:val="21"/>
              </w:rPr>
            </w:pPr>
          </w:p>
        </w:tc>
        <w:tc>
          <w:tcPr>
            <w:tcW w:w="1468" w:type="dxa"/>
          </w:tcPr>
          <w:p w14:paraId="049B9034">
            <w:pPr>
              <w:rPr>
                <w:rFonts w:ascii="Times New Roman" w:hAnsi="Times New Roman" w:cs="Times New Roman"/>
                <w:color w:val="auto"/>
                <w:sz w:val="21"/>
              </w:rPr>
            </w:pPr>
          </w:p>
        </w:tc>
        <w:tc>
          <w:tcPr>
            <w:tcW w:w="1608" w:type="dxa"/>
          </w:tcPr>
          <w:p w14:paraId="341C14EA">
            <w:pPr>
              <w:rPr>
                <w:rFonts w:ascii="Times New Roman" w:hAnsi="Times New Roman" w:cs="Times New Roman"/>
                <w:color w:val="auto"/>
                <w:sz w:val="21"/>
              </w:rPr>
            </w:pPr>
          </w:p>
        </w:tc>
        <w:tc>
          <w:tcPr>
            <w:tcW w:w="1479" w:type="dxa"/>
          </w:tcPr>
          <w:p w14:paraId="37742BE5">
            <w:pPr>
              <w:rPr>
                <w:rFonts w:ascii="Times New Roman" w:hAnsi="Times New Roman" w:cs="Times New Roman"/>
                <w:color w:val="auto"/>
                <w:sz w:val="21"/>
              </w:rPr>
            </w:pPr>
          </w:p>
        </w:tc>
        <w:tc>
          <w:tcPr>
            <w:tcW w:w="1493" w:type="dxa"/>
          </w:tcPr>
          <w:p w14:paraId="529C3A87">
            <w:pPr>
              <w:rPr>
                <w:rFonts w:ascii="Times New Roman" w:hAnsi="Times New Roman" w:cs="Times New Roman"/>
                <w:color w:val="auto"/>
                <w:sz w:val="21"/>
              </w:rPr>
            </w:pPr>
          </w:p>
        </w:tc>
      </w:tr>
    </w:tbl>
    <w:p w14:paraId="6C499FC9">
      <w:pPr>
        <w:spacing w:before="78" w:line="219" w:lineRule="auto"/>
        <w:ind w:left="2495"/>
        <w:rPr>
          <w:rFonts w:ascii="Times New Roman" w:hAnsi="Times New Roman" w:eastAsia="宋体" w:cs="Times New Roman"/>
          <w:color w:val="auto"/>
          <w:spacing w:val="-3"/>
          <w:szCs w:val="24"/>
        </w:rPr>
      </w:pPr>
    </w:p>
    <w:p w14:paraId="686541F8">
      <w:pPr>
        <w:spacing w:before="78" w:line="219" w:lineRule="auto"/>
        <w:ind w:left="2495"/>
        <w:rPr>
          <w:rFonts w:ascii="Times New Roman" w:hAnsi="Times New Roman" w:eastAsia="宋体" w:cs="Times New Roman"/>
          <w:color w:val="auto"/>
          <w:spacing w:val="-3"/>
          <w:szCs w:val="24"/>
        </w:rPr>
      </w:pPr>
    </w:p>
    <w:p w14:paraId="286F0A14">
      <w:pPr>
        <w:spacing w:before="78" w:line="219" w:lineRule="auto"/>
        <w:ind w:left="2495"/>
        <w:rPr>
          <w:rFonts w:ascii="Times New Roman" w:hAnsi="Times New Roman" w:eastAsia="宋体" w:cs="Times New Roman"/>
          <w:color w:val="auto"/>
          <w:spacing w:val="-3"/>
          <w:szCs w:val="24"/>
        </w:rPr>
      </w:pPr>
    </w:p>
    <w:p w14:paraId="5CF90DE1">
      <w:pPr>
        <w:spacing w:before="78" w:line="219" w:lineRule="auto"/>
        <w:ind w:left="2495"/>
        <w:rPr>
          <w:rFonts w:ascii="Times New Roman" w:hAnsi="Times New Roman" w:eastAsia="宋体" w:cs="Times New Roman"/>
          <w:color w:val="auto"/>
          <w:spacing w:val="-3"/>
          <w:szCs w:val="24"/>
        </w:rPr>
      </w:pPr>
    </w:p>
    <w:p w14:paraId="5DF1CFF8">
      <w:pPr>
        <w:spacing w:before="78" w:line="219" w:lineRule="auto"/>
        <w:ind w:left="2495"/>
        <w:rPr>
          <w:rFonts w:ascii="Times New Roman" w:hAnsi="Times New Roman" w:eastAsia="宋体" w:cs="Times New Roman"/>
          <w:color w:val="auto"/>
          <w:spacing w:val="-3"/>
          <w:szCs w:val="24"/>
        </w:rPr>
      </w:pPr>
    </w:p>
    <w:p w14:paraId="45C12E24">
      <w:pPr>
        <w:spacing w:before="78" w:line="219" w:lineRule="auto"/>
        <w:ind w:left="2495"/>
        <w:rPr>
          <w:rFonts w:ascii="Times New Roman" w:hAnsi="Times New Roman" w:eastAsia="宋体" w:cs="Times New Roman"/>
          <w:color w:val="auto"/>
          <w:spacing w:val="-3"/>
          <w:szCs w:val="24"/>
        </w:rPr>
      </w:pPr>
    </w:p>
    <w:p w14:paraId="41FE2446">
      <w:pPr>
        <w:spacing w:before="78" w:line="219" w:lineRule="auto"/>
        <w:ind w:left="2495"/>
        <w:rPr>
          <w:rFonts w:ascii="Times New Roman" w:hAnsi="Times New Roman" w:eastAsia="宋体" w:cs="Times New Roman"/>
          <w:color w:val="auto"/>
          <w:spacing w:val="-3"/>
          <w:szCs w:val="24"/>
        </w:rPr>
      </w:pPr>
    </w:p>
    <w:p w14:paraId="76C70C12">
      <w:pPr>
        <w:spacing w:before="78" w:line="219" w:lineRule="auto"/>
        <w:ind w:left="2495"/>
        <w:rPr>
          <w:rFonts w:ascii="Times New Roman" w:hAnsi="Times New Roman" w:eastAsia="宋体" w:cs="Times New Roman"/>
          <w:color w:val="auto"/>
          <w:spacing w:val="-3"/>
          <w:szCs w:val="24"/>
        </w:rPr>
      </w:pPr>
    </w:p>
    <w:p w14:paraId="1D435C99">
      <w:pPr>
        <w:spacing w:before="78" w:line="219" w:lineRule="auto"/>
        <w:ind w:left="2495"/>
        <w:rPr>
          <w:rFonts w:ascii="Times New Roman" w:hAnsi="Times New Roman" w:eastAsia="宋体" w:cs="Times New Roman"/>
          <w:color w:val="auto"/>
          <w:spacing w:val="-3"/>
          <w:szCs w:val="24"/>
        </w:rPr>
      </w:pPr>
    </w:p>
    <w:p w14:paraId="0734839C">
      <w:pPr>
        <w:spacing w:before="78" w:line="219" w:lineRule="auto"/>
        <w:jc w:val="center"/>
        <w:rPr>
          <w:rFonts w:ascii="Times New Roman" w:hAnsi="Times New Roman" w:eastAsia="宋体" w:cs="Times New Roman"/>
          <w:b/>
          <w:bCs/>
          <w:color w:val="auto"/>
          <w:spacing w:val="-6"/>
          <w:sz w:val="32"/>
          <w:szCs w:val="32"/>
        </w:rPr>
      </w:pPr>
      <w:r>
        <w:rPr>
          <w:rFonts w:ascii="Times New Roman" w:hAnsi="Times New Roman" w:eastAsia="宋体" w:cs="Times New Roman"/>
          <w:b/>
          <w:bCs/>
          <w:color w:val="auto"/>
          <w:spacing w:val="-6"/>
          <w:sz w:val="32"/>
          <w:szCs w:val="32"/>
        </w:rPr>
        <w:t>表3　项目管理班子配备情况辅助说明资料</w:t>
      </w:r>
    </w:p>
    <w:p w14:paraId="75087D01">
      <w:pPr>
        <w:spacing w:line="133" w:lineRule="exact"/>
        <w:rPr>
          <w:rFonts w:ascii="Times New Roman" w:hAnsi="Times New Roman" w:cs="Times New Roman"/>
          <w:color w:val="auto"/>
        </w:rPr>
      </w:pPr>
    </w:p>
    <w:tbl>
      <w:tblPr>
        <w:tblStyle w:val="22"/>
        <w:tblW w:w="945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59"/>
      </w:tblGrid>
      <w:tr w14:paraId="11712B4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1239" w:hRule="atLeast"/>
        </w:trPr>
        <w:tc>
          <w:tcPr>
            <w:tcW w:w="9459" w:type="dxa"/>
          </w:tcPr>
          <w:p w14:paraId="51BBD783">
            <w:pPr>
              <w:spacing w:before="78" w:line="219" w:lineRule="auto"/>
              <w:jc w:val="center"/>
              <w:rPr>
                <w:rFonts w:ascii="Times New Roman" w:hAnsi="Times New Roman" w:cs="Times New Roman"/>
                <w:color w:val="auto"/>
                <w:sz w:val="21"/>
              </w:rPr>
            </w:pPr>
          </w:p>
        </w:tc>
      </w:tr>
    </w:tbl>
    <w:p w14:paraId="26B75F4F">
      <w:pPr>
        <w:spacing w:before="83" w:line="331" w:lineRule="auto"/>
        <w:ind w:left="134" w:right="234"/>
        <w:rPr>
          <w:rFonts w:ascii="Times New Roman" w:hAnsi="Times New Roman" w:eastAsia="宋体" w:cs="Times New Roman"/>
          <w:color w:val="auto"/>
          <w:szCs w:val="24"/>
        </w:rPr>
      </w:pPr>
      <w:r>
        <w:rPr>
          <w:rFonts w:ascii="Times New Roman" w:hAnsi="Times New Roman" w:eastAsia="宋体" w:cs="Times New Roman"/>
          <w:color w:val="auto"/>
          <w:sz w:val="23"/>
          <w:szCs w:val="23"/>
        </w:rPr>
        <w:t>注：1、辅助说明资料主要包括管理班子机构设置、职责分工、有</w:t>
      </w:r>
      <w:r>
        <w:rPr>
          <w:rFonts w:ascii="Times New Roman" w:hAnsi="Times New Roman" w:eastAsia="宋体" w:cs="Times New Roman"/>
          <w:color w:val="auto"/>
          <w:spacing w:val="-1"/>
          <w:sz w:val="23"/>
          <w:szCs w:val="23"/>
        </w:rPr>
        <w:t>关复制件证明资料以及</w:t>
      </w:r>
      <w:r>
        <w:rPr>
          <w:rFonts w:ascii="Times New Roman" w:hAnsi="Times New Roman" w:eastAsia="宋体" w:cs="Times New Roman"/>
          <w:color w:val="auto"/>
          <w:sz w:val="23"/>
          <w:szCs w:val="23"/>
        </w:rPr>
        <w:t xml:space="preserve">   潜在承包</w:t>
      </w:r>
      <w:r>
        <w:rPr>
          <w:rFonts w:ascii="Times New Roman" w:hAnsi="Times New Roman" w:eastAsia="宋体" w:cs="Times New Roman"/>
          <w:color w:val="auto"/>
          <w:spacing w:val="-1"/>
          <w:szCs w:val="24"/>
        </w:rPr>
        <w:t>人认为有必要提供的资料。辅助说明资料格式不做统一规定，可自行设计。</w:t>
      </w:r>
    </w:p>
    <w:p w14:paraId="3C6AABFB">
      <w:pPr>
        <w:spacing w:before="57" w:line="219" w:lineRule="auto"/>
        <w:ind w:left="474"/>
        <w:rPr>
          <w:rFonts w:ascii="Times New Roman" w:hAnsi="Times New Roman" w:eastAsia="宋体" w:cs="Times New Roman"/>
          <w:color w:val="auto"/>
          <w:szCs w:val="24"/>
        </w:rPr>
      </w:pPr>
      <w:r>
        <w:rPr>
          <w:rFonts w:ascii="Times New Roman" w:hAnsi="Times New Roman" w:eastAsia="宋体" w:cs="Times New Roman"/>
          <w:color w:val="auto"/>
          <w:spacing w:val="7"/>
          <w:szCs w:val="24"/>
        </w:rPr>
        <w:t>2、项目管理班子配备情况辅助说明资料另附(</w:t>
      </w:r>
      <w:r>
        <w:rPr>
          <w:rFonts w:ascii="Times New Roman" w:hAnsi="Times New Roman" w:eastAsia="宋体" w:cs="Times New Roman"/>
          <w:color w:val="auto"/>
          <w:spacing w:val="6"/>
          <w:szCs w:val="24"/>
        </w:rPr>
        <w:t>与本响应文件一起装订)。</w:t>
      </w:r>
    </w:p>
    <w:p w14:paraId="52BBDA7D">
      <w:pPr>
        <w:spacing w:before="104" w:line="219" w:lineRule="auto"/>
        <w:ind w:left="2365"/>
        <w:rPr>
          <w:rFonts w:ascii="Times New Roman" w:hAnsi="Times New Roman" w:eastAsia="宋体" w:cs="Times New Roman"/>
          <w:color w:val="auto"/>
          <w:spacing w:val="-3"/>
          <w:sz w:val="32"/>
          <w:szCs w:val="32"/>
        </w:rPr>
        <w:sectPr>
          <w:footerReference r:id="rId27" w:type="default"/>
          <w:pgSz w:w="11906" w:h="16838"/>
          <w:pgMar w:top="1440" w:right="1080" w:bottom="1440" w:left="1080" w:header="850" w:footer="850" w:gutter="0"/>
          <w:cols w:space="0" w:num="1"/>
          <w:titlePg/>
        </w:sectPr>
      </w:pPr>
    </w:p>
    <w:p w14:paraId="7174F426">
      <w:pPr>
        <w:rPr>
          <w:rFonts w:ascii="Times New Roman" w:hAnsi="Times New Roman" w:cs="Times New Roman"/>
          <w:color w:val="auto"/>
        </w:rPr>
      </w:pPr>
    </w:p>
    <w:p w14:paraId="14E844A9">
      <w:pPr>
        <w:pStyle w:val="3"/>
        <w:kinsoku/>
        <w:topLinePunct/>
        <w:rPr>
          <w:rFonts w:ascii="Times New Roman" w:hAnsi="Times New Roman" w:eastAsia="宋体" w:cs="Times New Roman"/>
          <w:b w:val="0"/>
          <w:bCs w:val="0"/>
          <w:color w:val="auto"/>
          <w:spacing w:val="-1"/>
          <w:sz w:val="44"/>
          <w:szCs w:val="44"/>
          <w14:textOutline w14:w="5448" w14:cap="flat" w14:cmpd="sng" w14:algn="ctr">
            <w14:solidFill>
              <w14:srgbClr w14:val="000000"/>
            </w14:solidFill>
            <w14:prstDash w14:val="solid"/>
            <w14:miter w14:val="0"/>
          </w14:textOutline>
        </w:rPr>
      </w:pPr>
      <w:r>
        <w:rPr>
          <w:rFonts w:ascii="Times New Roman" w:hAnsi="Times New Roman" w:eastAsia="宋体" w:cs="Times New Roman"/>
          <w:b w:val="0"/>
          <w:bCs w:val="0"/>
          <w:color w:val="auto"/>
          <w:spacing w:val="-1"/>
          <w:sz w:val="44"/>
          <w:szCs w:val="44"/>
          <w14:textOutline w14:w="5448" w14:cap="flat" w14:cmpd="sng" w14:algn="ctr">
            <w14:solidFill>
              <w14:srgbClr w14:val="000000"/>
            </w14:solidFill>
            <w14:prstDash w14:val="solid"/>
            <w14:miter w14:val="0"/>
          </w14:textOutline>
        </w:rPr>
        <w:t>业绩汇总表</w:t>
      </w:r>
    </w:p>
    <w:p w14:paraId="32898E27">
      <w:pPr>
        <w:kinsoku/>
        <w:topLinePunct/>
        <w:rPr>
          <w:rFonts w:ascii="Times New Roman" w:hAnsi="Times New Roman" w:cs="Times New Roman"/>
          <w:color w:val="auto"/>
        </w:rPr>
      </w:pPr>
    </w:p>
    <w:p w14:paraId="63193468">
      <w:pPr>
        <w:kinsoku/>
        <w:topLinePunct/>
        <w:rPr>
          <w:rFonts w:ascii="Times New Roman" w:hAnsi="Times New Roman" w:cs="Times New Roman"/>
          <w:color w:val="auto"/>
        </w:rPr>
      </w:pPr>
    </w:p>
    <w:p w14:paraId="0A45945E">
      <w:pPr>
        <w:kinsoku/>
        <w:topLinePunct/>
        <w:spacing w:line="116" w:lineRule="exact"/>
        <w:rPr>
          <w:rFonts w:ascii="Times New Roman" w:hAnsi="Times New Roman" w:cs="Times New Roman"/>
          <w:color w:val="auto"/>
        </w:rPr>
      </w:pPr>
    </w:p>
    <w:tbl>
      <w:tblPr>
        <w:tblStyle w:val="22"/>
        <w:tblW w:w="9686"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1"/>
        <w:gridCol w:w="1841"/>
        <w:gridCol w:w="1407"/>
        <w:gridCol w:w="1273"/>
        <w:gridCol w:w="1736"/>
        <w:gridCol w:w="1258"/>
        <w:gridCol w:w="1430"/>
      </w:tblGrid>
      <w:tr w14:paraId="5DA28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8" w:hRule="atLeast"/>
        </w:trPr>
        <w:tc>
          <w:tcPr>
            <w:tcW w:w="741" w:type="dxa"/>
            <w:tcBorders>
              <w:left w:val="single" w:color="000000" w:sz="12" w:space="0"/>
              <w:right w:val="single" w:color="000000" w:sz="6" w:space="0"/>
            </w:tcBorders>
          </w:tcPr>
          <w:p w14:paraId="3F07102D">
            <w:pPr>
              <w:kinsoku/>
              <w:topLinePunct/>
              <w:spacing w:line="262" w:lineRule="auto"/>
              <w:rPr>
                <w:rFonts w:ascii="Times New Roman" w:hAnsi="Times New Roman" w:cs="Times New Roman"/>
                <w:color w:val="auto"/>
                <w:sz w:val="21"/>
              </w:rPr>
            </w:pPr>
          </w:p>
          <w:p w14:paraId="59510A11">
            <w:pPr>
              <w:kinsoku/>
              <w:topLinePunct/>
              <w:spacing w:line="262" w:lineRule="auto"/>
              <w:rPr>
                <w:rFonts w:ascii="Times New Roman" w:hAnsi="Times New Roman" w:cs="Times New Roman"/>
                <w:color w:val="auto"/>
                <w:sz w:val="21"/>
              </w:rPr>
            </w:pPr>
          </w:p>
          <w:p w14:paraId="5CB0F1F6">
            <w:pPr>
              <w:kinsoku/>
              <w:topLinePunct/>
              <w:spacing w:line="262" w:lineRule="auto"/>
              <w:rPr>
                <w:rFonts w:ascii="Times New Roman" w:hAnsi="Times New Roman" w:cs="Times New Roman"/>
                <w:color w:val="auto"/>
                <w:sz w:val="21"/>
              </w:rPr>
            </w:pPr>
          </w:p>
          <w:p w14:paraId="4346CD71">
            <w:pPr>
              <w:kinsoku/>
              <w:topLinePunct/>
              <w:spacing w:before="78" w:line="221" w:lineRule="auto"/>
              <w:ind w:left="113"/>
              <w:rPr>
                <w:rFonts w:ascii="Times New Roman" w:hAnsi="Times New Roman" w:eastAsia="宋体" w:cs="Times New Roman"/>
                <w:color w:val="auto"/>
                <w:szCs w:val="24"/>
              </w:rPr>
            </w:pPr>
            <w:r>
              <w:rPr>
                <w:rFonts w:ascii="Times New Roman" w:hAnsi="Times New Roman" w:eastAsia="宋体" w:cs="Times New Roman"/>
                <w:color w:val="auto"/>
                <w:spacing w:val="-2"/>
                <w:szCs w:val="24"/>
              </w:rPr>
              <w:t>序号</w:t>
            </w:r>
          </w:p>
        </w:tc>
        <w:tc>
          <w:tcPr>
            <w:tcW w:w="1841" w:type="dxa"/>
            <w:tcBorders>
              <w:left w:val="single" w:color="000000" w:sz="6" w:space="0"/>
              <w:right w:val="single" w:color="000000" w:sz="6" w:space="0"/>
            </w:tcBorders>
          </w:tcPr>
          <w:p w14:paraId="43973E5C">
            <w:pPr>
              <w:kinsoku/>
              <w:topLinePunct/>
              <w:spacing w:line="262" w:lineRule="auto"/>
              <w:rPr>
                <w:rFonts w:ascii="Times New Roman" w:hAnsi="Times New Roman" w:cs="Times New Roman"/>
                <w:color w:val="auto"/>
                <w:sz w:val="21"/>
              </w:rPr>
            </w:pPr>
          </w:p>
          <w:p w14:paraId="0522DB80">
            <w:pPr>
              <w:kinsoku/>
              <w:topLinePunct/>
              <w:spacing w:line="262" w:lineRule="auto"/>
              <w:rPr>
                <w:rFonts w:ascii="Times New Roman" w:hAnsi="Times New Roman" w:cs="Times New Roman"/>
                <w:color w:val="auto"/>
                <w:sz w:val="21"/>
              </w:rPr>
            </w:pPr>
          </w:p>
          <w:p w14:paraId="5C71A284">
            <w:pPr>
              <w:kinsoku/>
              <w:topLinePunct/>
              <w:spacing w:line="262" w:lineRule="auto"/>
              <w:rPr>
                <w:rFonts w:ascii="Times New Roman" w:hAnsi="Times New Roman" w:cs="Times New Roman"/>
                <w:color w:val="auto"/>
                <w:sz w:val="21"/>
              </w:rPr>
            </w:pPr>
          </w:p>
          <w:p w14:paraId="3D7366BD">
            <w:pPr>
              <w:kinsoku/>
              <w:topLinePunct/>
              <w:spacing w:before="78" w:line="217" w:lineRule="auto"/>
              <w:ind w:left="75"/>
              <w:rPr>
                <w:rFonts w:ascii="Times New Roman" w:hAnsi="Times New Roman" w:eastAsia="宋体" w:cs="Times New Roman"/>
                <w:color w:val="auto"/>
                <w:szCs w:val="24"/>
              </w:rPr>
            </w:pPr>
            <w:r>
              <w:rPr>
                <w:rFonts w:ascii="Times New Roman" w:hAnsi="Times New Roman" w:eastAsia="宋体" w:cs="Times New Roman"/>
                <w:color w:val="auto"/>
                <w:spacing w:val="-2"/>
                <w:szCs w:val="24"/>
              </w:rPr>
              <w:t>该业</w:t>
            </w:r>
            <w:r>
              <w:rPr>
                <w:rFonts w:ascii="Times New Roman" w:hAnsi="Times New Roman" w:eastAsia="宋体" w:cs="Times New Roman"/>
                <w:color w:val="auto"/>
                <w:spacing w:val="-1"/>
                <w:szCs w:val="24"/>
              </w:rPr>
              <w:t>绩证明对象</w:t>
            </w:r>
          </w:p>
        </w:tc>
        <w:tc>
          <w:tcPr>
            <w:tcW w:w="1407" w:type="dxa"/>
            <w:tcBorders>
              <w:left w:val="single" w:color="000000" w:sz="6" w:space="0"/>
              <w:right w:val="single" w:color="000000" w:sz="6" w:space="0"/>
            </w:tcBorders>
          </w:tcPr>
          <w:p w14:paraId="1AD123AE">
            <w:pPr>
              <w:kinsoku/>
              <w:topLinePunct/>
              <w:spacing w:line="262" w:lineRule="auto"/>
              <w:rPr>
                <w:rFonts w:ascii="Times New Roman" w:hAnsi="Times New Roman" w:cs="Times New Roman"/>
                <w:color w:val="auto"/>
                <w:sz w:val="21"/>
              </w:rPr>
            </w:pPr>
          </w:p>
          <w:p w14:paraId="50D64DF4">
            <w:pPr>
              <w:kinsoku/>
              <w:topLinePunct/>
              <w:spacing w:line="262" w:lineRule="auto"/>
              <w:rPr>
                <w:rFonts w:ascii="Times New Roman" w:hAnsi="Times New Roman" w:cs="Times New Roman"/>
                <w:color w:val="auto"/>
                <w:sz w:val="21"/>
              </w:rPr>
            </w:pPr>
          </w:p>
          <w:p w14:paraId="00EDF8D2">
            <w:pPr>
              <w:kinsoku/>
              <w:topLinePunct/>
              <w:spacing w:line="262" w:lineRule="auto"/>
              <w:rPr>
                <w:rFonts w:ascii="Times New Roman" w:hAnsi="Times New Roman" w:cs="Times New Roman"/>
                <w:color w:val="auto"/>
                <w:sz w:val="21"/>
              </w:rPr>
            </w:pPr>
          </w:p>
          <w:p w14:paraId="329820E0">
            <w:pPr>
              <w:kinsoku/>
              <w:topLinePunct/>
              <w:spacing w:before="78" w:line="220" w:lineRule="auto"/>
              <w:ind w:left="217"/>
              <w:rPr>
                <w:rFonts w:ascii="Times New Roman" w:hAnsi="Times New Roman" w:eastAsia="宋体" w:cs="Times New Roman"/>
                <w:color w:val="auto"/>
                <w:szCs w:val="24"/>
              </w:rPr>
            </w:pPr>
            <w:r>
              <w:rPr>
                <w:rFonts w:ascii="Times New Roman" w:hAnsi="Times New Roman" w:eastAsia="宋体" w:cs="Times New Roman"/>
                <w:color w:val="auto"/>
                <w:spacing w:val="-3"/>
                <w:szCs w:val="24"/>
              </w:rPr>
              <w:t>项</w:t>
            </w:r>
            <w:r>
              <w:rPr>
                <w:rFonts w:ascii="Times New Roman" w:hAnsi="Times New Roman" w:eastAsia="宋体" w:cs="Times New Roman"/>
                <w:color w:val="auto"/>
                <w:spacing w:val="-2"/>
                <w:szCs w:val="24"/>
              </w:rPr>
              <w:t>目名称</w:t>
            </w:r>
          </w:p>
        </w:tc>
        <w:tc>
          <w:tcPr>
            <w:tcW w:w="1273" w:type="dxa"/>
            <w:tcBorders>
              <w:left w:val="single" w:color="000000" w:sz="6" w:space="0"/>
              <w:right w:val="single" w:color="000000" w:sz="6" w:space="0"/>
            </w:tcBorders>
          </w:tcPr>
          <w:p w14:paraId="26393C66">
            <w:pPr>
              <w:kinsoku/>
              <w:topLinePunct/>
              <w:spacing w:line="311" w:lineRule="auto"/>
              <w:rPr>
                <w:rFonts w:ascii="Times New Roman" w:hAnsi="Times New Roman" w:cs="Times New Roman"/>
                <w:color w:val="auto"/>
                <w:sz w:val="21"/>
              </w:rPr>
            </w:pPr>
          </w:p>
          <w:p w14:paraId="5AFEA6E6">
            <w:pPr>
              <w:kinsoku/>
              <w:topLinePunct/>
              <w:spacing w:line="311" w:lineRule="auto"/>
              <w:rPr>
                <w:rFonts w:ascii="Times New Roman" w:hAnsi="Times New Roman" w:cs="Times New Roman"/>
                <w:color w:val="auto"/>
                <w:sz w:val="21"/>
              </w:rPr>
            </w:pPr>
          </w:p>
          <w:p w14:paraId="434922FF">
            <w:pPr>
              <w:kinsoku/>
              <w:topLinePunct/>
              <w:spacing w:before="78" w:line="257" w:lineRule="auto"/>
              <w:ind w:left="55" w:right="28"/>
              <w:rPr>
                <w:rFonts w:ascii="Times New Roman" w:hAnsi="Times New Roman" w:eastAsia="宋体" w:cs="Times New Roman"/>
                <w:color w:val="auto"/>
                <w:szCs w:val="24"/>
              </w:rPr>
            </w:pPr>
            <w:r>
              <w:rPr>
                <w:rFonts w:ascii="Times New Roman" w:hAnsi="Times New Roman" w:eastAsia="宋体" w:cs="Times New Roman"/>
                <w:color w:val="auto"/>
                <w:spacing w:val="15"/>
                <w:szCs w:val="24"/>
              </w:rPr>
              <w:t>建设单位</w:t>
            </w:r>
            <w:r>
              <w:rPr>
                <w:rFonts w:ascii="Times New Roman" w:hAnsi="Times New Roman" w:eastAsia="宋体" w:cs="Times New Roman"/>
                <w:color w:val="auto"/>
                <w:spacing w:val="14"/>
                <w:szCs w:val="24"/>
              </w:rPr>
              <w:t>(</w:t>
            </w:r>
            <w:r>
              <w:rPr>
                <w:rFonts w:ascii="Times New Roman" w:hAnsi="Times New Roman" w:eastAsia="宋体" w:cs="Times New Roman"/>
                <w:color w:val="auto"/>
                <w:szCs w:val="24"/>
              </w:rPr>
              <w:t xml:space="preserve"> </w:t>
            </w:r>
            <w:r>
              <w:rPr>
                <w:rFonts w:ascii="Times New Roman" w:hAnsi="Times New Roman" w:eastAsia="宋体" w:cs="Times New Roman"/>
                <w:color w:val="auto"/>
                <w:spacing w:val="-8"/>
                <w:szCs w:val="24"/>
              </w:rPr>
              <w:t>项</w:t>
            </w:r>
            <w:r>
              <w:rPr>
                <w:rFonts w:ascii="Times New Roman" w:hAnsi="Times New Roman" w:eastAsia="宋体" w:cs="Times New Roman"/>
                <w:color w:val="auto"/>
                <w:spacing w:val="-5"/>
                <w:szCs w:val="24"/>
              </w:rPr>
              <w:t>目业主)</w:t>
            </w:r>
          </w:p>
        </w:tc>
        <w:tc>
          <w:tcPr>
            <w:tcW w:w="1736" w:type="dxa"/>
            <w:tcBorders>
              <w:left w:val="single" w:color="000000" w:sz="6" w:space="0"/>
              <w:right w:val="single" w:color="000000" w:sz="6" w:space="0"/>
            </w:tcBorders>
          </w:tcPr>
          <w:p w14:paraId="7D766B90">
            <w:pPr>
              <w:kinsoku/>
              <w:topLinePunct/>
              <w:spacing w:line="458" w:lineRule="auto"/>
              <w:rPr>
                <w:rFonts w:ascii="Times New Roman" w:hAnsi="Times New Roman" w:cs="Times New Roman"/>
                <w:color w:val="auto"/>
                <w:sz w:val="21"/>
              </w:rPr>
            </w:pPr>
          </w:p>
          <w:p w14:paraId="4EE0ED48">
            <w:pPr>
              <w:kinsoku/>
              <w:topLinePunct/>
              <w:spacing w:before="78" w:line="257" w:lineRule="auto"/>
              <w:ind w:left="44" w:right="6" w:firstLine="1"/>
              <w:rPr>
                <w:rFonts w:ascii="Times New Roman" w:hAnsi="Times New Roman" w:eastAsia="宋体" w:cs="Times New Roman"/>
                <w:color w:val="auto"/>
                <w:szCs w:val="24"/>
              </w:rPr>
            </w:pPr>
            <w:r>
              <w:rPr>
                <w:rFonts w:ascii="Times New Roman" w:hAnsi="Times New Roman" w:eastAsia="宋体" w:cs="Times New Roman"/>
                <w:color w:val="auto"/>
                <w:spacing w:val="-2"/>
                <w:szCs w:val="24"/>
              </w:rPr>
              <w:t>与评审有关</w:t>
            </w:r>
            <w:r>
              <w:rPr>
                <w:rFonts w:ascii="Times New Roman" w:hAnsi="Times New Roman" w:eastAsia="宋体" w:cs="Times New Roman"/>
                <w:color w:val="auto"/>
                <w:spacing w:val="-1"/>
                <w:szCs w:val="24"/>
              </w:rPr>
              <w:t>的时</w:t>
            </w:r>
            <w:r>
              <w:rPr>
                <w:rFonts w:ascii="Times New Roman" w:hAnsi="Times New Roman" w:eastAsia="宋体" w:cs="Times New Roman"/>
                <w:color w:val="auto"/>
                <w:szCs w:val="24"/>
              </w:rPr>
              <w:t xml:space="preserve"> </w:t>
            </w:r>
            <w:r>
              <w:rPr>
                <w:rFonts w:ascii="Times New Roman" w:hAnsi="Times New Roman" w:eastAsia="宋体" w:cs="Times New Roman"/>
                <w:color w:val="auto"/>
                <w:spacing w:val="-2"/>
                <w:szCs w:val="24"/>
              </w:rPr>
              <w:t>间、规</w:t>
            </w:r>
            <w:r>
              <w:rPr>
                <w:rFonts w:ascii="Times New Roman" w:hAnsi="Times New Roman" w:eastAsia="宋体" w:cs="Times New Roman"/>
                <w:color w:val="auto"/>
                <w:spacing w:val="-1"/>
                <w:szCs w:val="24"/>
              </w:rPr>
              <w:t>模、技术</w:t>
            </w:r>
            <w:r>
              <w:rPr>
                <w:rFonts w:ascii="Times New Roman" w:hAnsi="Times New Roman" w:eastAsia="宋体" w:cs="Times New Roman"/>
                <w:color w:val="auto"/>
                <w:szCs w:val="24"/>
              </w:rPr>
              <w:t xml:space="preserve"> </w:t>
            </w:r>
            <w:r>
              <w:rPr>
                <w:rFonts w:ascii="Times New Roman" w:hAnsi="Times New Roman" w:eastAsia="宋体" w:cs="Times New Roman"/>
                <w:color w:val="auto"/>
                <w:spacing w:val="-2"/>
                <w:szCs w:val="24"/>
              </w:rPr>
              <w:t>指标及</w:t>
            </w:r>
            <w:r>
              <w:rPr>
                <w:rFonts w:ascii="Times New Roman" w:hAnsi="Times New Roman" w:eastAsia="宋体" w:cs="Times New Roman"/>
                <w:color w:val="auto"/>
                <w:spacing w:val="-1"/>
                <w:szCs w:val="24"/>
              </w:rPr>
              <w:t>其他要求</w:t>
            </w:r>
          </w:p>
        </w:tc>
        <w:tc>
          <w:tcPr>
            <w:tcW w:w="1258" w:type="dxa"/>
            <w:tcBorders>
              <w:left w:val="single" w:color="000000" w:sz="6" w:space="0"/>
              <w:right w:val="single" w:color="000000" w:sz="6" w:space="0"/>
            </w:tcBorders>
          </w:tcPr>
          <w:p w14:paraId="4159FA28">
            <w:pPr>
              <w:kinsoku/>
              <w:topLinePunct/>
              <w:spacing w:line="311" w:lineRule="auto"/>
              <w:rPr>
                <w:rFonts w:ascii="Times New Roman" w:hAnsi="Times New Roman" w:cs="Times New Roman"/>
                <w:color w:val="auto"/>
                <w:sz w:val="21"/>
              </w:rPr>
            </w:pPr>
          </w:p>
          <w:p w14:paraId="3AA3E998">
            <w:pPr>
              <w:kinsoku/>
              <w:topLinePunct/>
              <w:spacing w:line="311" w:lineRule="auto"/>
              <w:rPr>
                <w:rFonts w:ascii="Times New Roman" w:hAnsi="Times New Roman" w:cs="Times New Roman"/>
                <w:color w:val="auto"/>
                <w:sz w:val="21"/>
              </w:rPr>
            </w:pPr>
          </w:p>
          <w:p w14:paraId="641AA016">
            <w:pPr>
              <w:kinsoku/>
              <w:topLinePunct/>
              <w:spacing w:before="78" w:line="257" w:lineRule="auto"/>
              <w:ind w:left="287" w:right="3" w:hanging="239"/>
              <w:rPr>
                <w:rFonts w:ascii="Times New Roman" w:hAnsi="Times New Roman" w:eastAsia="宋体" w:cs="Times New Roman"/>
                <w:color w:val="auto"/>
                <w:szCs w:val="24"/>
              </w:rPr>
            </w:pPr>
            <w:r>
              <w:rPr>
                <w:rFonts w:ascii="Times New Roman" w:hAnsi="Times New Roman" w:eastAsia="宋体" w:cs="Times New Roman"/>
                <w:color w:val="auto"/>
                <w:spacing w:val="-2"/>
                <w:szCs w:val="24"/>
              </w:rPr>
              <w:t>提交证明</w:t>
            </w:r>
            <w:r>
              <w:rPr>
                <w:rFonts w:ascii="Times New Roman" w:hAnsi="Times New Roman" w:eastAsia="宋体" w:cs="Times New Roman"/>
                <w:color w:val="auto"/>
                <w:spacing w:val="-1"/>
                <w:szCs w:val="24"/>
              </w:rPr>
              <w:t>材</w:t>
            </w:r>
            <w:r>
              <w:rPr>
                <w:rFonts w:ascii="Times New Roman" w:hAnsi="Times New Roman" w:eastAsia="宋体" w:cs="Times New Roman"/>
                <w:color w:val="auto"/>
                <w:szCs w:val="24"/>
              </w:rPr>
              <w:t xml:space="preserve"> </w:t>
            </w:r>
            <w:r>
              <w:rPr>
                <w:rFonts w:ascii="Times New Roman" w:hAnsi="Times New Roman" w:eastAsia="宋体" w:cs="Times New Roman"/>
                <w:color w:val="auto"/>
                <w:spacing w:val="-2"/>
                <w:szCs w:val="24"/>
              </w:rPr>
              <w:t>料内容</w:t>
            </w:r>
          </w:p>
        </w:tc>
        <w:tc>
          <w:tcPr>
            <w:tcW w:w="1430" w:type="dxa"/>
            <w:tcBorders>
              <w:left w:val="single" w:color="000000" w:sz="6" w:space="0"/>
              <w:right w:val="single" w:color="000000" w:sz="12" w:space="0"/>
            </w:tcBorders>
          </w:tcPr>
          <w:p w14:paraId="4A77A379">
            <w:pPr>
              <w:kinsoku/>
              <w:topLinePunct/>
              <w:spacing w:line="310" w:lineRule="auto"/>
              <w:rPr>
                <w:rFonts w:ascii="Times New Roman" w:hAnsi="Times New Roman" w:cs="Times New Roman"/>
                <w:color w:val="auto"/>
                <w:sz w:val="21"/>
              </w:rPr>
            </w:pPr>
          </w:p>
          <w:p w14:paraId="65B3DBEE">
            <w:pPr>
              <w:kinsoku/>
              <w:topLinePunct/>
              <w:spacing w:line="311" w:lineRule="auto"/>
              <w:rPr>
                <w:rFonts w:ascii="Times New Roman" w:hAnsi="Times New Roman" w:cs="Times New Roman"/>
                <w:color w:val="auto"/>
                <w:sz w:val="21"/>
              </w:rPr>
            </w:pPr>
          </w:p>
          <w:p w14:paraId="64A9FBAC">
            <w:pPr>
              <w:kinsoku/>
              <w:topLinePunct/>
              <w:spacing w:before="78" w:line="258" w:lineRule="auto"/>
              <w:ind w:left="385" w:right="88" w:hanging="260"/>
              <w:rPr>
                <w:rFonts w:ascii="Times New Roman" w:hAnsi="Times New Roman" w:eastAsia="宋体" w:cs="Times New Roman"/>
                <w:color w:val="auto"/>
                <w:szCs w:val="24"/>
              </w:rPr>
            </w:pPr>
            <w:r>
              <w:rPr>
                <w:rFonts w:ascii="Times New Roman" w:hAnsi="Times New Roman" w:eastAsia="宋体" w:cs="Times New Roman"/>
                <w:color w:val="auto"/>
                <w:spacing w:val="-2"/>
                <w:szCs w:val="24"/>
              </w:rPr>
              <w:t>在响应</w:t>
            </w:r>
            <w:r>
              <w:rPr>
                <w:rFonts w:ascii="Times New Roman" w:hAnsi="Times New Roman" w:eastAsia="宋体" w:cs="Times New Roman"/>
                <w:color w:val="auto"/>
                <w:spacing w:val="-1"/>
                <w:szCs w:val="24"/>
              </w:rPr>
              <w:t>文件</w:t>
            </w:r>
            <w:r>
              <w:rPr>
                <w:rFonts w:ascii="Times New Roman" w:hAnsi="Times New Roman" w:eastAsia="宋体" w:cs="Times New Roman"/>
                <w:color w:val="auto"/>
                <w:szCs w:val="24"/>
              </w:rPr>
              <w:t xml:space="preserve"> </w:t>
            </w:r>
            <w:r>
              <w:rPr>
                <w:rFonts w:ascii="Times New Roman" w:hAnsi="Times New Roman" w:eastAsia="宋体" w:cs="Times New Roman"/>
                <w:color w:val="auto"/>
                <w:spacing w:val="-7"/>
                <w:szCs w:val="24"/>
              </w:rPr>
              <w:t>的</w:t>
            </w:r>
            <w:r>
              <w:rPr>
                <w:rFonts w:ascii="Times New Roman" w:hAnsi="Times New Roman" w:eastAsia="宋体" w:cs="Times New Roman"/>
                <w:color w:val="auto"/>
                <w:spacing w:val="-6"/>
                <w:szCs w:val="24"/>
              </w:rPr>
              <w:t>位置</w:t>
            </w:r>
          </w:p>
        </w:tc>
      </w:tr>
      <w:tr w14:paraId="44AB9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0" w:hRule="atLeast"/>
        </w:trPr>
        <w:tc>
          <w:tcPr>
            <w:tcW w:w="741" w:type="dxa"/>
            <w:tcBorders>
              <w:left w:val="single" w:color="000000" w:sz="12" w:space="0"/>
              <w:right w:val="single" w:color="000000" w:sz="6" w:space="0"/>
            </w:tcBorders>
          </w:tcPr>
          <w:p w14:paraId="4ED572F0">
            <w:pPr>
              <w:kinsoku/>
              <w:topLinePunct/>
              <w:spacing w:line="243" w:lineRule="auto"/>
              <w:rPr>
                <w:rFonts w:ascii="Times New Roman" w:hAnsi="Times New Roman" w:cs="Times New Roman"/>
                <w:color w:val="auto"/>
                <w:sz w:val="21"/>
              </w:rPr>
            </w:pPr>
          </w:p>
          <w:p w14:paraId="66D2D86B">
            <w:pPr>
              <w:kinsoku/>
              <w:topLinePunct/>
              <w:spacing w:line="243" w:lineRule="auto"/>
              <w:rPr>
                <w:rFonts w:ascii="Times New Roman" w:hAnsi="Times New Roman" w:cs="Times New Roman"/>
                <w:color w:val="auto"/>
                <w:sz w:val="21"/>
              </w:rPr>
            </w:pPr>
          </w:p>
          <w:p w14:paraId="4F4ACBEF">
            <w:pPr>
              <w:kinsoku/>
              <w:topLinePunct/>
              <w:spacing w:line="244" w:lineRule="auto"/>
              <w:rPr>
                <w:rFonts w:ascii="Times New Roman" w:hAnsi="Times New Roman" w:cs="Times New Roman"/>
                <w:color w:val="auto"/>
                <w:sz w:val="21"/>
              </w:rPr>
            </w:pPr>
          </w:p>
          <w:p w14:paraId="6CE46A47">
            <w:pPr>
              <w:kinsoku/>
              <w:topLinePunct/>
              <w:spacing w:before="78" w:line="185" w:lineRule="auto"/>
              <w:ind w:left="312"/>
              <w:rPr>
                <w:rFonts w:ascii="Times New Roman" w:hAnsi="Times New Roman" w:eastAsia="宋体" w:cs="Times New Roman"/>
                <w:color w:val="auto"/>
                <w:szCs w:val="24"/>
              </w:rPr>
            </w:pPr>
            <w:r>
              <w:rPr>
                <w:rFonts w:ascii="Times New Roman" w:hAnsi="Times New Roman" w:eastAsia="宋体" w:cs="Times New Roman"/>
                <w:color w:val="auto"/>
                <w:szCs w:val="24"/>
              </w:rPr>
              <w:t>1</w:t>
            </w:r>
          </w:p>
        </w:tc>
        <w:tc>
          <w:tcPr>
            <w:tcW w:w="1841" w:type="dxa"/>
            <w:tcBorders>
              <w:left w:val="single" w:color="000000" w:sz="6" w:space="0"/>
              <w:right w:val="single" w:color="000000" w:sz="6" w:space="0"/>
            </w:tcBorders>
          </w:tcPr>
          <w:p w14:paraId="2D7DD094">
            <w:pPr>
              <w:kinsoku/>
              <w:topLinePunct/>
              <w:spacing w:before="293" w:line="220" w:lineRule="auto"/>
              <w:ind w:left="71"/>
              <w:rPr>
                <w:rFonts w:ascii="Times New Roman" w:hAnsi="Times New Roman" w:eastAsia="宋体" w:cs="Times New Roman"/>
                <w:color w:val="auto"/>
                <w:szCs w:val="24"/>
              </w:rPr>
            </w:pPr>
            <w:r>
              <w:rPr>
                <w:rFonts w:ascii="Times New Roman" w:hAnsi="Times New Roman" w:eastAsia="宋体" w:cs="Times New Roman"/>
                <w:color w:val="auto"/>
                <w:spacing w:val="-1"/>
                <w:szCs w:val="24"/>
              </w:rPr>
              <w:t>例如：企业名</w:t>
            </w:r>
            <w:r>
              <w:rPr>
                <w:rFonts w:ascii="Times New Roman" w:hAnsi="Times New Roman" w:eastAsia="宋体" w:cs="Times New Roman"/>
                <w:color w:val="auto"/>
                <w:szCs w:val="24"/>
              </w:rPr>
              <w:t>称</w:t>
            </w:r>
          </w:p>
          <w:p w14:paraId="210FD6F9">
            <w:pPr>
              <w:kinsoku/>
              <w:topLinePunct/>
              <w:spacing w:before="28" w:line="217" w:lineRule="auto"/>
              <w:ind w:left="74"/>
              <w:rPr>
                <w:rFonts w:ascii="Times New Roman" w:hAnsi="Times New Roman" w:eastAsia="宋体" w:cs="Times New Roman"/>
                <w:color w:val="auto"/>
                <w:szCs w:val="24"/>
              </w:rPr>
            </w:pPr>
            <w:r>
              <w:rPr>
                <w:rFonts w:ascii="Times New Roman" w:hAnsi="Times New Roman" w:eastAsia="宋体" w:cs="Times New Roman"/>
                <w:color w:val="auto"/>
                <w:spacing w:val="-2"/>
                <w:szCs w:val="24"/>
              </w:rPr>
              <w:t>或</w:t>
            </w:r>
            <w:r>
              <w:rPr>
                <w:rFonts w:ascii="Times New Roman" w:hAnsi="Times New Roman" w:eastAsia="宋体" w:cs="Times New Roman"/>
                <w:color w:val="auto"/>
                <w:spacing w:val="-1"/>
                <w:szCs w:val="24"/>
              </w:rPr>
              <w:t>项目负责人或</w:t>
            </w:r>
          </w:p>
          <w:p w14:paraId="0C023EAF">
            <w:pPr>
              <w:kinsoku/>
              <w:topLinePunct/>
              <w:spacing w:before="48" w:line="217" w:lineRule="auto"/>
              <w:ind w:left="72"/>
              <w:rPr>
                <w:rFonts w:ascii="Times New Roman" w:hAnsi="Times New Roman" w:eastAsia="宋体" w:cs="Times New Roman"/>
                <w:color w:val="auto"/>
                <w:szCs w:val="24"/>
              </w:rPr>
            </w:pPr>
            <w:r>
              <w:rPr>
                <w:rFonts w:ascii="Times New Roman" w:hAnsi="Times New Roman" w:eastAsia="宋体" w:cs="Times New Roman"/>
                <w:color w:val="auto"/>
                <w:spacing w:val="-1"/>
                <w:szCs w:val="24"/>
              </w:rPr>
              <w:t>技术负责人名字</w:t>
            </w:r>
          </w:p>
          <w:p w14:paraId="4538E197">
            <w:pPr>
              <w:kinsoku/>
              <w:topLinePunct/>
              <w:spacing w:before="32" w:line="220" w:lineRule="auto"/>
              <w:ind w:left="794"/>
              <w:rPr>
                <w:rFonts w:ascii="Times New Roman" w:hAnsi="Times New Roman" w:eastAsia="宋体" w:cs="Times New Roman"/>
                <w:color w:val="auto"/>
                <w:szCs w:val="24"/>
              </w:rPr>
            </w:pPr>
            <w:r>
              <w:rPr>
                <w:rFonts w:ascii="Times New Roman" w:hAnsi="Times New Roman" w:eastAsia="宋体" w:cs="Times New Roman"/>
                <w:color w:val="auto"/>
                <w:szCs w:val="24"/>
              </w:rPr>
              <w:t>等</w:t>
            </w:r>
          </w:p>
        </w:tc>
        <w:tc>
          <w:tcPr>
            <w:tcW w:w="1407" w:type="dxa"/>
            <w:tcBorders>
              <w:left w:val="single" w:color="000000" w:sz="6" w:space="0"/>
              <w:right w:val="single" w:color="000000" w:sz="6" w:space="0"/>
            </w:tcBorders>
          </w:tcPr>
          <w:p w14:paraId="65673EAF">
            <w:pPr>
              <w:kinsoku/>
              <w:topLinePunct/>
              <w:spacing w:line="263" w:lineRule="auto"/>
              <w:rPr>
                <w:rFonts w:ascii="Times New Roman" w:hAnsi="Times New Roman" w:cs="Times New Roman"/>
                <w:color w:val="auto"/>
                <w:sz w:val="21"/>
              </w:rPr>
            </w:pPr>
          </w:p>
          <w:p w14:paraId="2B1BD29D">
            <w:pPr>
              <w:kinsoku/>
              <w:topLinePunct/>
              <w:spacing w:line="264" w:lineRule="auto"/>
              <w:rPr>
                <w:rFonts w:ascii="Times New Roman" w:hAnsi="Times New Roman" w:cs="Times New Roman"/>
                <w:color w:val="auto"/>
                <w:sz w:val="21"/>
              </w:rPr>
            </w:pPr>
          </w:p>
          <w:p w14:paraId="4F9E29ED">
            <w:pPr>
              <w:kinsoku/>
              <w:topLinePunct/>
              <w:spacing w:before="78" w:line="268" w:lineRule="auto"/>
              <w:ind w:left="451" w:right="106" w:hanging="359"/>
              <w:rPr>
                <w:rFonts w:ascii="Times New Roman" w:hAnsi="Times New Roman" w:eastAsia="宋体" w:cs="Times New Roman"/>
                <w:color w:val="auto"/>
                <w:szCs w:val="24"/>
              </w:rPr>
            </w:pPr>
            <w:r>
              <w:rPr>
                <w:rFonts w:ascii="Times New Roman" w:hAnsi="Times New Roman" w:eastAsia="宋体" w:cs="Times New Roman"/>
                <w:color w:val="auto"/>
                <w:spacing w:val="-20"/>
                <w:szCs w:val="24"/>
              </w:rPr>
              <w:t>例</w:t>
            </w:r>
            <w:r>
              <w:rPr>
                <w:rFonts w:ascii="Times New Roman" w:hAnsi="Times New Roman" w:eastAsia="宋体" w:cs="Times New Roman"/>
                <w:color w:val="auto"/>
                <w:spacing w:val="-18"/>
                <w:szCs w:val="24"/>
              </w:rPr>
              <w:t>如： XX工</w:t>
            </w:r>
            <w:r>
              <w:rPr>
                <w:rFonts w:ascii="Times New Roman" w:hAnsi="Times New Roman" w:eastAsia="宋体" w:cs="Times New Roman"/>
                <w:color w:val="auto"/>
                <w:szCs w:val="24"/>
              </w:rPr>
              <w:t xml:space="preserve"> </w:t>
            </w:r>
            <w:r>
              <w:rPr>
                <w:rFonts w:ascii="Times New Roman" w:hAnsi="Times New Roman" w:eastAsia="宋体" w:cs="Times New Roman"/>
                <w:color w:val="auto"/>
                <w:spacing w:val="-2"/>
                <w:szCs w:val="24"/>
              </w:rPr>
              <w:t>程等</w:t>
            </w:r>
          </w:p>
        </w:tc>
        <w:tc>
          <w:tcPr>
            <w:tcW w:w="1273" w:type="dxa"/>
            <w:tcBorders>
              <w:left w:val="single" w:color="000000" w:sz="6" w:space="0"/>
              <w:right w:val="single" w:color="000000" w:sz="6" w:space="0"/>
            </w:tcBorders>
          </w:tcPr>
          <w:p w14:paraId="6D69BE16">
            <w:pPr>
              <w:kinsoku/>
              <w:topLinePunct/>
              <w:spacing w:line="377" w:lineRule="auto"/>
              <w:rPr>
                <w:rFonts w:ascii="Times New Roman" w:hAnsi="Times New Roman" w:cs="Times New Roman"/>
                <w:color w:val="auto"/>
                <w:sz w:val="21"/>
              </w:rPr>
            </w:pPr>
          </w:p>
          <w:p w14:paraId="3E7ADBD3">
            <w:pPr>
              <w:kinsoku/>
              <w:topLinePunct/>
              <w:spacing w:before="78" w:line="220" w:lineRule="auto"/>
              <w:ind w:left="52"/>
              <w:rPr>
                <w:rFonts w:ascii="Times New Roman" w:hAnsi="Times New Roman" w:eastAsia="宋体" w:cs="Times New Roman"/>
                <w:color w:val="auto"/>
                <w:szCs w:val="24"/>
              </w:rPr>
            </w:pPr>
            <w:r>
              <w:rPr>
                <w:rFonts w:ascii="Times New Roman" w:hAnsi="Times New Roman" w:eastAsia="宋体" w:cs="Times New Roman"/>
                <w:color w:val="auto"/>
                <w:spacing w:val="-21"/>
                <w:szCs w:val="24"/>
              </w:rPr>
              <w:t>例</w:t>
            </w:r>
            <w:r>
              <w:rPr>
                <w:rFonts w:ascii="Times New Roman" w:hAnsi="Times New Roman" w:eastAsia="宋体" w:cs="Times New Roman"/>
                <w:color w:val="auto"/>
                <w:spacing w:val="-18"/>
                <w:szCs w:val="24"/>
              </w:rPr>
              <w:t>如： XX公</w:t>
            </w:r>
          </w:p>
          <w:p w14:paraId="09A04B4E">
            <w:pPr>
              <w:kinsoku/>
              <w:topLinePunct/>
              <w:spacing w:before="29" w:line="220" w:lineRule="auto"/>
              <w:ind w:left="62"/>
              <w:rPr>
                <w:rFonts w:ascii="Times New Roman" w:hAnsi="Times New Roman" w:eastAsia="宋体" w:cs="Times New Roman"/>
                <w:color w:val="auto"/>
                <w:szCs w:val="24"/>
              </w:rPr>
            </w:pPr>
            <w:r>
              <w:rPr>
                <w:rFonts w:ascii="Times New Roman" w:hAnsi="Times New Roman" w:eastAsia="宋体" w:cs="Times New Roman"/>
                <w:color w:val="auto"/>
                <w:spacing w:val="-4"/>
                <w:szCs w:val="24"/>
              </w:rPr>
              <w:t>司或</w:t>
            </w:r>
            <w:r>
              <w:rPr>
                <w:rFonts w:ascii="Times New Roman" w:hAnsi="Times New Roman" w:eastAsia="宋体" w:cs="Times New Roman"/>
                <w:color w:val="auto"/>
                <w:spacing w:val="-2"/>
                <w:szCs w:val="24"/>
              </w:rPr>
              <w:t>指挥部</w:t>
            </w:r>
          </w:p>
          <w:p w14:paraId="3D0BCF58">
            <w:pPr>
              <w:kinsoku/>
              <w:topLinePunct/>
              <w:spacing w:before="29" w:line="220" w:lineRule="auto"/>
              <w:ind w:left="535"/>
              <w:rPr>
                <w:rFonts w:ascii="Times New Roman" w:hAnsi="Times New Roman" w:eastAsia="宋体" w:cs="Times New Roman"/>
                <w:color w:val="auto"/>
                <w:szCs w:val="24"/>
              </w:rPr>
            </w:pPr>
            <w:r>
              <w:rPr>
                <w:rFonts w:ascii="Times New Roman" w:hAnsi="Times New Roman" w:eastAsia="宋体" w:cs="Times New Roman"/>
                <w:color w:val="auto"/>
                <w:szCs w:val="24"/>
              </w:rPr>
              <w:t>等</w:t>
            </w:r>
          </w:p>
        </w:tc>
        <w:tc>
          <w:tcPr>
            <w:tcW w:w="1736" w:type="dxa"/>
            <w:tcBorders>
              <w:left w:val="single" w:color="000000" w:sz="6" w:space="0"/>
              <w:right w:val="single" w:color="000000" w:sz="6" w:space="0"/>
            </w:tcBorders>
          </w:tcPr>
          <w:p w14:paraId="5EDD7671">
            <w:pPr>
              <w:kinsoku/>
              <w:topLinePunct/>
              <w:spacing w:line="377" w:lineRule="auto"/>
              <w:rPr>
                <w:rFonts w:ascii="Times New Roman" w:hAnsi="Times New Roman" w:cs="Times New Roman"/>
                <w:color w:val="auto"/>
                <w:sz w:val="21"/>
              </w:rPr>
            </w:pPr>
          </w:p>
          <w:p w14:paraId="450410FD">
            <w:pPr>
              <w:kinsoku/>
              <w:topLinePunct/>
              <w:spacing w:before="78" w:line="220" w:lineRule="auto"/>
              <w:ind w:left="101"/>
              <w:rPr>
                <w:rFonts w:ascii="Times New Roman" w:hAnsi="Times New Roman" w:eastAsia="宋体" w:cs="Times New Roman"/>
                <w:color w:val="auto"/>
                <w:szCs w:val="24"/>
              </w:rPr>
            </w:pPr>
            <w:r>
              <w:rPr>
                <w:rFonts w:ascii="Times New Roman" w:hAnsi="Times New Roman" w:eastAsia="宋体" w:cs="Times New Roman"/>
                <w:color w:val="auto"/>
                <w:spacing w:val="-16"/>
                <w:szCs w:val="24"/>
              </w:rPr>
              <w:t>例</w:t>
            </w:r>
            <w:r>
              <w:rPr>
                <w:rFonts w:ascii="Times New Roman" w:hAnsi="Times New Roman" w:eastAsia="宋体" w:cs="Times New Roman"/>
                <w:color w:val="auto"/>
                <w:spacing w:val="-14"/>
                <w:szCs w:val="24"/>
              </w:rPr>
              <w:t>如： X年X月X</w:t>
            </w:r>
          </w:p>
          <w:p w14:paraId="5733E176">
            <w:pPr>
              <w:kinsoku/>
              <w:topLinePunct/>
              <w:spacing w:before="29" w:line="220" w:lineRule="auto"/>
              <w:ind w:left="82"/>
              <w:rPr>
                <w:rFonts w:ascii="Times New Roman" w:hAnsi="Times New Roman" w:eastAsia="宋体" w:cs="Times New Roman"/>
                <w:color w:val="auto"/>
                <w:szCs w:val="24"/>
              </w:rPr>
            </w:pPr>
            <w:r>
              <w:rPr>
                <w:rFonts w:ascii="Times New Roman" w:hAnsi="Times New Roman" w:eastAsia="宋体" w:cs="Times New Roman"/>
                <w:color w:val="auto"/>
                <w:spacing w:val="-7"/>
                <w:szCs w:val="24"/>
              </w:rPr>
              <w:t>日完成长度或</w:t>
            </w:r>
            <w:r>
              <w:rPr>
                <w:rFonts w:ascii="Times New Roman" w:hAnsi="Times New Roman" w:eastAsia="宋体" w:cs="Times New Roman"/>
                <w:color w:val="auto"/>
                <w:spacing w:val="-6"/>
                <w:szCs w:val="24"/>
              </w:rPr>
              <w:t>深</w:t>
            </w:r>
          </w:p>
          <w:p w14:paraId="11451AAF">
            <w:pPr>
              <w:kinsoku/>
              <w:topLinePunct/>
              <w:spacing w:before="29" w:line="220" w:lineRule="auto"/>
              <w:ind w:left="460"/>
              <w:rPr>
                <w:rFonts w:ascii="Times New Roman" w:hAnsi="Times New Roman" w:eastAsia="宋体" w:cs="Times New Roman"/>
                <w:color w:val="auto"/>
                <w:szCs w:val="24"/>
              </w:rPr>
            </w:pPr>
            <w:r>
              <w:rPr>
                <w:rFonts w:ascii="Times New Roman" w:hAnsi="Times New Roman" w:eastAsia="宋体" w:cs="Times New Roman"/>
                <w:color w:val="auto"/>
                <w:spacing w:val="-2"/>
                <w:szCs w:val="24"/>
              </w:rPr>
              <w:t>度X米等</w:t>
            </w:r>
          </w:p>
        </w:tc>
        <w:tc>
          <w:tcPr>
            <w:tcW w:w="1258" w:type="dxa"/>
            <w:tcBorders>
              <w:left w:val="single" w:color="000000" w:sz="6" w:space="0"/>
              <w:right w:val="single" w:color="000000" w:sz="6" w:space="0"/>
            </w:tcBorders>
          </w:tcPr>
          <w:p w14:paraId="782A159C">
            <w:pPr>
              <w:kinsoku/>
              <w:topLinePunct/>
              <w:spacing w:line="378" w:lineRule="auto"/>
              <w:rPr>
                <w:rFonts w:ascii="Times New Roman" w:hAnsi="Times New Roman" w:cs="Times New Roman"/>
                <w:color w:val="auto"/>
                <w:sz w:val="21"/>
              </w:rPr>
            </w:pPr>
          </w:p>
          <w:p w14:paraId="6790D835">
            <w:pPr>
              <w:kinsoku/>
              <w:topLinePunct/>
              <w:spacing w:before="78" w:line="220" w:lineRule="auto"/>
              <w:ind w:left="47"/>
              <w:rPr>
                <w:rFonts w:ascii="Times New Roman" w:hAnsi="Times New Roman" w:eastAsia="宋体" w:cs="Times New Roman"/>
                <w:color w:val="auto"/>
                <w:szCs w:val="24"/>
              </w:rPr>
            </w:pPr>
            <w:r>
              <w:rPr>
                <w:rFonts w:ascii="Times New Roman" w:hAnsi="Times New Roman" w:eastAsia="宋体" w:cs="Times New Roman"/>
                <w:color w:val="auto"/>
                <w:spacing w:val="-2"/>
                <w:szCs w:val="24"/>
              </w:rPr>
              <w:t>例</w:t>
            </w:r>
            <w:r>
              <w:rPr>
                <w:rFonts w:ascii="Times New Roman" w:hAnsi="Times New Roman" w:eastAsia="宋体" w:cs="Times New Roman"/>
                <w:color w:val="auto"/>
                <w:spacing w:val="-1"/>
                <w:szCs w:val="24"/>
              </w:rPr>
              <w:t>如：施工</w:t>
            </w:r>
          </w:p>
          <w:p w14:paraId="69D24CA2">
            <w:pPr>
              <w:kinsoku/>
              <w:topLinePunct/>
              <w:spacing w:before="29" w:line="220" w:lineRule="auto"/>
              <w:ind w:left="48"/>
              <w:rPr>
                <w:rFonts w:ascii="Times New Roman" w:hAnsi="Times New Roman" w:eastAsia="宋体" w:cs="Times New Roman"/>
                <w:color w:val="auto"/>
                <w:szCs w:val="24"/>
              </w:rPr>
            </w:pPr>
            <w:r>
              <w:rPr>
                <w:rFonts w:ascii="Times New Roman" w:hAnsi="Times New Roman" w:eastAsia="宋体" w:cs="Times New Roman"/>
                <w:color w:val="auto"/>
                <w:spacing w:val="-2"/>
                <w:szCs w:val="24"/>
              </w:rPr>
              <w:t>合同</w:t>
            </w:r>
            <w:r>
              <w:rPr>
                <w:rFonts w:ascii="Times New Roman" w:hAnsi="Times New Roman" w:eastAsia="宋体" w:cs="Times New Roman"/>
                <w:color w:val="auto"/>
                <w:spacing w:val="-1"/>
                <w:szCs w:val="24"/>
              </w:rPr>
              <w:t>或中标</w:t>
            </w:r>
          </w:p>
          <w:p w14:paraId="1031F231">
            <w:pPr>
              <w:kinsoku/>
              <w:topLinePunct/>
              <w:spacing w:before="28" w:line="219" w:lineRule="auto"/>
              <w:ind w:left="167"/>
              <w:rPr>
                <w:rFonts w:ascii="Times New Roman" w:hAnsi="Times New Roman" w:eastAsia="宋体" w:cs="Times New Roman"/>
                <w:color w:val="auto"/>
                <w:szCs w:val="24"/>
              </w:rPr>
            </w:pPr>
            <w:r>
              <w:rPr>
                <w:rFonts w:ascii="Times New Roman" w:hAnsi="Times New Roman" w:eastAsia="宋体" w:cs="Times New Roman"/>
                <w:color w:val="auto"/>
                <w:spacing w:val="-2"/>
                <w:szCs w:val="24"/>
              </w:rPr>
              <w:t>通知</w:t>
            </w:r>
            <w:r>
              <w:rPr>
                <w:rFonts w:ascii="Times New Roman" w:hAnsi="Times New Roman" w:eastAsia="宋体" w:cs="Times New Roman"/>
                <w:color w:val="auto"/>
                <w:spacing w:val="-1"/>
                <w:szCs w:val="24"/>
              </w:rPr>
              <w:t>书等</w:t>
            </w:r>
          </w:p>
        </w:tc>
        <w:tc>
          <w:tcPr>
            <w:tcW w:w="1430" w:type="dxa"/>
            <w:tcBorders>
              <w:left w:val="single" w:color="000000" w:sz="6" w:space="0"/>
              <w:right w:val="single" w:color="000000" w:sz="12" w:space="0"/>
            </w:tcBorders>
          </w:tcPr>
          <w:p w14:paraId="4FCA6B7E">
            <w:pPr>
              <w:kinsoku/>
              <w:topLinePunct/>
              <w:spacing w:line="263" w:lineRule="auto"/>
              <w:rPr>
                <w:rFonts w:ascii="Times New Roman" w:hAnsi="Times New Roman" w:cs="Times New Roman"/>
                <w:color w:val="auto"/>
                <w:sz w:val="21"/>
              </w:rPr>
            </w:pPr>
          </w:p>
          <w:p w14:paraId="41D5166E">
            <w:pPr>
              <w:kinsoku/>
              <w:topLinePunct/>
              <w:spacing w:line="264" w:lineRule="auto"/>
              <w:rPr>
                <w:rFonts w:ascii="Times New Roman" w:hAnsi="Times New Roman" w:cs="Times New Roman"/>
                <w:color w:val="auto"/>
                <w:sz w:val="21"/>
              </w:rPr>
            </w:pPr>
          </w:p>
          <w:p w14:paraId="579AC2F4">
            <w:pPr>
              <w:kinsoku/>
              <w:topLinePunct/>
              <w:spacing w:before="78" w:line="268" w:lineRule="auto"/>
              <w:ind w:left="187" w:right="88" w:hanging="61"/>
              <w:rPr>
                <w:rFonts w:ascii="Times New Roman" w:hAnsi="Times New Roman" w:eastAsia="宋体" w:cs="Times New Roman"/>
                <w:color w:val="auto"/>
                <w:szCs w:val="24"/>
              </w:rPr>
            </w:pPr>
            <w:r>
              <w:rPr>
                <w:rFonts w:ascii="Times New Roman" w:hAnsi="Times New Roman" w:eastAsia="宋体" w:cs="Times New Roman"/>
                <w:color w:val="auto"/>
                <w:spacing w:val="-2"/>
                <w:szCs w:val="24"/>
              </w:rPr>
              <w:t>例如：响应</w:t>
            </w:r>
            <w:r>
              <w:rPr>
                <w:rFonts w:ascii="Times New Roman" w:hAnsi="Times New Roman" w:eastAsia="宋体" w:cs="Times New Roman"/>
                <w:color w:val="auto"/>
                <w:szCs w:val="24"/>
              </w:rPr>
              <w:t xml:space="preserve"> </w:t>
            </w:r>
            <w:r>
              <w:rPr>
                <w:rFonts w:ascii="Times New Roman" w:hAnsi="Times New Roman" w:eastAsia="宋体" w:cs="Times New Roman"/>
                <w:color w:val="auto"/>
                <w:spacing w:val="-3"/>
                <w:szCs w:val="24"/>
              </w:rPr>
              <w:t>文</w:t>
            </w:r>
            <w:r>
              <w:rPr>
                <w:rFonts w:ascii="Times New Roman" w:hAnsi="Times New Roman" w:eastAsia="宋体" w:cs="Times New Roman"/>
                <w:color w:val="auto"/>
                <w:spacing w:val="-2"/>
                <w:szCs w:val="24"/>
              </w:rPr>
              <w:t>件第X页</w:t>
            </w:r>
          </w:p>
        </w:tc>
      </w:tr>
      <w:tr w14:paraId="08A10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741" w:type="dxa"/>
            <w:tcBorders>
              <w:left w:val="single" w:color="000000" w:sz="12" w:space="0"/>
              <w:right w:val="single" w:color="000000" w:sz="6" w:space="0"/>
            </w:tcBorders>
          </w:tcPr>
          <w:p w14:paraId="6C6D9E0A">
            <w:pPr>
              <w:kinsoku/>
              <w:topLinePunct/>
              <w:spacing w:line="375" w:lineRule="auto"/>
              <w:rPr>
                <w:rFonts w:ascii="Times New Roman" w:hAnsi="Times New Roman" w:cs="Times New Roman"/>
                <w:color w:val="auto"/>
                <w:sz w:val="21"/>
              </w:rPr>
            </w:pPr>
          </w:p>
          <w:p w14:paraId="035E1D07">
            <w:pPr>
              <w:kinsoku/>
              <w:topLinePunct/>
              <w:spacing w:before="78" w:line="184" w:lineRule="auto"/>
              <w:ind w:left="297"/>
              <w:rPr>
                <w:rFonts w:ascii="Times New Roman" w:hAnsi="Times New Roman" w:eastAsia="宋体" w:cs="Times New Roman"/>
                <w:color w:val="auto"/>
                <w:szCs w:val="24"/>
              </w:rPr>
            </w:pPr>
            <w:r>
              <w:rPr>
                <w:rFonts w:ascii="Times New Roman" w:hAnsi="Times New Roman" w:eastAsia="宋体" w:cs="Times New Roman"/>
                <w:color w:val="auto"/>
                <w:szCs w:val="24"/>
              </w:rPr>
              <w:t>2</w:t>
            </w:r>
          </w:p>
        </w:tc>
        <w:tc>
          <w:tcPr>
            <w:tcW w:w="1841" w:type="dxa"/>
            <w:tcBorders>
              <w:left w:val="single" w:color="000000" w:sz="6" w:space="0"/>
              <w:right w:val="single" w:color="000000" w:sz="6" w:space="0"/>
            </w:tcBorders>
          </w:tcPr>
          <w:p w14:paraId="41158298">
            <w:pPr>
              <w:kinsoku/>
              <w:topLinePunct/>
              <w:spacing w:line="334" w:lineRule="auto"/>
              <w:rPr>
                <w:rFonts w:ascii="Times New Roman" w:hAnsi="Times New Roman" w:cs="Times New Roman"/>
                <w:color w:val="auto"/>
                <w:sz w:val="21"/>
              </w:rPr>
            </w:pPr>
          </w:p>
          <w:p w14:paraId="625C5006">
            <w:pPr>
              <w:kinsoku/>
              <w:topLinePunct/>
              <w:spacing w:before="78" w:line="377" w:lineRule="exact"/>
              <w:ind w:left="687"/>
              <w:rPr>
                <w:rFonts w:ascii="Times New Roman" w:hAnsi="Times New Roman" w:eastAsia="宋体" w:cs="Times New Roman"/>
                <w:color w:val="auto"/>
                <w:szCs w:val="24"/>
              </w:rPr>
            </w:pPr>
            <w:r>
              <w:rPr>
                <w:rFonts w:ascii="Times New Roman" w:hAnsi="Times New Roman" w:eastAsia="宋体" w:cs="Times New Roman"/>
                <w:color w:val="auto"/>
                <w:spacing w:val="-6"/>
                <w:position w:val="3"/>
                <w:szCs w:val="24"/>
              </w:rPr>
              <w:t>……</w:t>
            </w:r>
          </w:p>
        </w:tc>
        <w:tc>
          <w:tcPr>
            <w:tcW w:w="1407" w:type="dxa"/>
            <w:tcBorders>
              <w:left w:val="single" w:color="000000" w:sz="6" w:space="0"/>
              <w:right w:val="single" w:color="000000" w:sz="6" w:space="0"/>
            </w:tcBorders>
          </w:tcPr>
          <w:p w14:paraId="0C7073AD">
            <w:pPr>
              <w:kinsoku/>
              <w:topLinePunct/>
              <w:rPr>
                <w:rFonts w:ascii="Times New Roman" w:hAnsi="Times New Roman" w:cs="Times New Roman"/>
                <w:color w:val="auto"/>
                <w:sz w:val="21"/>
              </w:rPr>
            </w:pPr>
          </w:p>
        </w:tc>
        <w:tc>
          <w:tcPr>
            <w:tcW w:w="1273" w:type="dxa"/>
            <w:tcBorders>
              <w:left w:val="single" w:color="000000" w:sz="6" w:space="0"/>
              <w:right w:val="single" w:color="000000" w:sz="6" w:space="0"/>
            </w:tcBorders>
          </w:tcPr>
          <w:p w14:paraId="31A48B59">
            <w:pPr>
              <w:kinsoku/>
              <w:topLinePunct/>
              <w:rPr>
                <w:rFonts w:ascii="Times New Roman" w:hAnsi="Times New Roman" w:cs="Times New Roman"/>
                <w:color w:val="auto"/>
                <w:sz w:val="21"/>
              </w:rPr>
            </w:pPr>
          </w:p>
        </w:tc>
        <w:tc>
          <w:tcPr>
            <w:tcW w:w="1736" w:type="dxa"/>
            <w:tcBorders>
              <w:left w:val="single" w:color="000000" w:sz="6" w:space="0"/>
              <w:right w:val="single" w:color="000000" w:sz="6" w:space="0"/>
            </w:tcBorders>
          </w:tcPr>
          <w:p w14:paraId="7C8FB59E">
            <w:pPr>
              <w:kinsoku/>
              <w:topLinePunct/>
              <w:rPr>
                <w:rFonts w:ascii="Times New Roman" w:hAnsi="Times New Roman" w:cs="Times New Roman"/>
                <w:color w:val="auto"/>
                <w:sz w:val="21"/>
              </w:rPr>
            </w:pPr>
          </w:p>
        </w:tc>
        <w:tc>
          <w:tcPr>
            <w:tcW w:w="1258" w:type="dxa"/>
            <w:tcBorders>
              <w:left w:val="single" w:color="000000" w:sz="6" w:space="0"/>
              <w:right w:val="single" w:color="000000" w:sz="6" w:space="0"/>
            </w:tcBorders>
          </w:tcPr>
          <w:p w14:paraId="0786AD30">
            <w:pPr>
              <w:kinsoku/>
              <w:topLinePunct/>
              <w:rPr>
                <w:rFonts w:ascii="Times New Roman" w:hAnsi="Times New Roman" w:cs="Times New Roman"/>
                <w:color w:val="auto"/>
                <w:sz w:val="21"/>
              </w:rPr>
            </w:pPr>
          </w:p>
        </w:tc>
        <w:tc>
          <w:tcPr>
            <w:tcW w:w="1430" w:type="dxa"/>
            <w:tcBorders>
              <w:left w:val="single" w:color="000000" w:sz="6" w:space="0"/>
              <w:right w:val="single" w:color="000000" w:sz="12" w:space="0"/>
            </w:tcBorders>
          </w:tcPr>
          <w:p w14:paraId="50C87A32">
            <w:pPr>
              <w:kinsoku/>
              <w:topLinePunct/>
              <w:rPr>
                <w:rFonts w:ascii="Times New Roman" w:hAnsi="Times New Roman" w:cs="Times New Roman"/>
                <w:color w:val="auto"/>
                <w:sz w:val="21"/>
              </w:rPr>
            </w:pPr>
          </w:p>
        </w:tc>
      </w:tr>
      <w:tr w14:paraId="05BFB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741" w:type="dxa"/>
            <w:tcBorders>
              <w:left w:val="single" w:color="000000" w:sz="12" w:space="0"/>
              <w:right w:val="single" w:color="000000" w:sz="6" w:space="0"/>
            </w:tcBorders>
          </w:tcPr>
          <w:p w14:paraId="1C6DA81E">
            <w:pPr>
              <w:kinsoku/>
              <w:topLinePunct/>
              <w:rPr>
                <w:rFonts w:ascii="Times New Roman" w:hAnsi="Times New Roman" w:cs="Times New Roman"/>
                <w:color w:val="auto"/>
                <w:sz w:val="21"/>
              </w:rPr>
            </w:pPr>
          </w:p>
        </w:tc>
        <w:tc>
          <w:tcPr>
            <w:tcW w:w="1841" w:type="dxa"/>
            <w:tcBorders>
              <w:left w:val="single" w:color="000000" w:sz="6" w:space="0"/>
              <w:right w:val="single" w:color="000000" w:sz="6" w:space="0"/>
            </w:tcBorders>
          </w:tcPr>
          <w:p w14:paraId="42E7CEB7">
            <w:pPr>
              <w:kinsoku/>
              <w:topLinePunct/>
              <w:rPr>
                <w:rFonts w:ascii="Times New Roman" w:hAnsi="Times New Roman" w:cs="Times New Roman"/>
                <w:color w:val="auto"/>
                <w:sz w:val="21"/>
              </w:rPr>
            </w:pPr>
          </w:p>
        </w:tc>
        <w:tc>
          <w:tcPr>
            <w:tcW w:w="1407" w:type="dxa"/>
            <w:tcBorders>
              <w:left w:val="single" w:color="000000" w:sz="6" w:space="0"/>
              <w:right w:val="single" w:color="000000" w:sz="6" w:space="0"/>
            </w:tcBorders>
          </w:tcPr>
          <w:p w14:paraId="0163AE90">
            <w:pPr>
              <w:kinsoku/>
              <w:topLinePunct/>
              <w:rPr>
                <w:rFonts w:ascii="Times New Roman" w:hAnsi="Times New Roman" w:cs="Times New Roman"/>
                <w:color w:val="auto"/>
                <w:sz w:val="21"/>
              </w:rPr>
            </w:pPr>
          </w:p>
        </w:tc>
        <w:tc>
          <w:tcPr>
            <w:tcW w:w="1273" w:type="dxa"/>
            <w:tcBorders>
              <w:left w:val="single" w:color="000000" w:sz="6" w:space="0"/>
              <w:right w:val="single" w:color="000000" w:sz="6" w:space="0"/>
            </w:tcBorders>
          </w:tcPr>
          <w:p w14:paraId="692724AB">
            <w:pPr>
              <w:kinsoku/>
              <w:topLinePunct/>
              <w:rPr>
                <w:rFonts w:ascii="Times New Roman" w:hAnsi="Times New Roman" w:cs="Times New Roman"/>
                <w:color w:val="auto"/>
                <w:sz w:val="21"/>
              </w:rPr>
            </w:pPr>
          </w:p>
        </w:tc>
        <w:tc>
          <w:tcPr>
            <w:tcW w:w="1736" w:type="dxa"/>
            <w:tcBorders>
              <w:left w:val="single" w:color="000000" w:sz="6" w:space="0"/>
              <w:right w:val="single" w:color="000000" w:sz="6" w:space="0"/>
            </w:tcBorders>
          </w:tcPr>
          <w:p w14:paraId="2EBFA74F">
            <w:pPr>
              <w:kinsoku/>
              <w:topLinePunct/>
              <w:rPr>
                <w:rFonts w:ascii="Times New Roman" w:hAnsi="Times New Roman" w:cs="Times New Roman"/>
                <w:color w:val="auto"/>
                <w:sz w:val="21"/>
              </w:rPr>
            </w:pPr>
          </w:p>
        </w:tc>
        <w:tc>
          <w:tcPr>
            <w:tcW w:w="1258" w:type="dxa"/>
            <w:tcBorders>
              <w:left w:val="single" w:color="000000" w:sz="6" w:space="0"/>
              <w:right w:val="single" w:color="000000" w:sz="6" w:space="0"/>
            </w:tcBorders>
          </w:tcPr>
          <w:p w14:paraId="3B366525">
            <w:pPr>
              <w:kinsoku/>
              <w:topLinePunct/>
              <w:rPr>
                <w:rFonts w:ascii="Times New Roman" w:hAnsi="Times New Roman" w:cs="Times New Roman"/>
                <w:color w:val="auto"/>
                <w:sz w:val="21"/>
              </w:rPr>
            </w:pPr>
          </w:p>
        </w:tc>
        <w:tc>
          <w:tcPr>
            <w:tcW w:w="1430" w:type="dxa"/>
            <w:tcBorders>
              <w:left w:val="single" w:color="000000" w:sz="6" w:space="0"/>
              <w:right w:val="single" w:color="000000" w:sz="12" w:space="0"/>
            </w:tcBorders>
          </w:tcPr>
          <w:p w14:paraId="790317B3">
            <w:pPr>
              <w:kinsoku/>
              <w:topLinePunct/>
              <w:rPr>
                <w:rFonts w:ascii="Times New Roman" w:hAnsi="Times New Roman" w:cs="Times New Roman"/>
                <w:color w:val="auto"/>
                <w:sz w:val="21"/>
              </w:rPr>
            </w:pPr>
          </w:p>
        </w:tc>
      </w:tr>
    </w:tbl>
    <w:p w14:paraId="62CD81DE">
      <w:pPr>
        <w:kinsoku/>
        <w:topLinePunct/>
        <w:spacing w:before="108" w:line="217" w:lineRule="auto"/>
        <w:rPr>
          <w:rFonts w:ascii="Times New Roman" w:hAnsi="Times New Roman" w:eastAsia="宋体" w:cs="Times New Roman"/>
          <w:color w:val="auto"/>
          <w:szCs w:val="24"/>
        </w:rPr>
      </w:pPr>
      <w:r>
        <w:rPr>
          <w:rFonts w:ascii="Times New Roman" w:hAnsi="Times New Roman" w:eastAsia="宋体" w:cs="Times New Roman"/>
          <w:color w:val="auto"/>
          <w:spacing w:val="-1"/>
          <w:szCs w:val="24"/>
        </w:rPr>
        <w:t>备</w:t>
      </w:r>
      <w:r>
        <w:rPr>
          <w:rFonts w:ascii="Times New Roman" w:hAnsi="Times New Roman" w:eastAsia="宋体" w:cs="Times New Roman"/>
          <w:color w:val="auto"/>
          <w:szCs w:val="24"/>
        </w:rPr>
        <w:t>注：不填写此表的不作为评审依据，并附上相关附件证明材料。</w:t>
      </w:r>
    </w:p>
    <w:p w14:paraId="5F74B54E">
      <w:pPr>
        <w:kinsoku/>
        <w:topLinePunct/>
        <w:rPr>
          <w:rFonts w:ascii="Times New Roman" w:hAnsi="Times New Roman" w:eastAsia="仿宋_GB2312" w:cs="Times New Roman"/>
          <w:color w:val="auto"/>
          <w:sz w:val="32"/>
          <w:szCs w:val="32"/>
        </w:rPr>
      </w:pPr>
    </w:p>
    <w:p w14:paraId="2EA2F3EB">
      <w:pPr>
        <w:kinsoku/>
        <w:topLinePunct/>
        <w:spacing w:line="360" w:lineRule="auto"/>
        <w:ind w:right="420"/>
        <w:rPr>
          <w:rFonts w:ascii="Times New Roman" w:hAnsi="Times New Roman" w:cs="Times New Roman"/>
          <w:color w:val="auto"/>
        </w:rPr>
      </w:pPr>
    </w:p>
    <w:p w14:paraId="4F28AFEA">
      <w:pPr>
        <w:widowControl w:val="0"/>
        <w:kinsoku/>
        <w:wordWrap w:val="0"/>
        <w:topLinePunct/>
        <w:autoSpaceDE/>
        <w:autoSpaceDN/>
        <w:adjustRightInd/>
        <w:snapToGrid/>
        <w:spacing w:line="360" w:lineRule="auto"/>
        <w:ind w:firstLine="480" w:firstLineChars="200"/>
        <w:jc w:val="center"/>
        <w:rPr>
          <w:rFonts w:ascii="Times New Roman" w:hAnsi="Times New Roman" w:eastAsia="宋体" w:cs="Times New Roman"/>
          <w:color w:val="auto"/>
          <w:szCs w:val="24"/>
        </w:rPr>
      </w:pPr>
      <w:r>
        <w:rPr>
          <w:rFonts w:ascii="Times New Roman" w:hAnsi="Times New Roman" w:eastAsia="宋体" w:cs="Times New Roman"/>
          <w:color w:val="auto"/>
          <w:szCs w:val="24"/>
        </w:rPr>
        <w:t>　　　　　　　　潜在承包人</w:t>
      </w:r>
      <w:r>
        <w:rPr>
          <w:rFonts w:ascii="Times New Roman" w:hAnsi="Times New Roman" w:cs="Times New Roman"/>
          <w:color w:val="auto"/>
        </w:rPr>
        <w:t>名称</w:t>
      </w:r>
      <w:r>
        <w:rPr>
          <w:rFonts w:ascii="Times New Roman" w:hAnsi="Times New Roman" w:eastAsia="宋体" w:cs="Times New Roman"/>
          <w:color w:val="auto"/>
          <w:spacing w:val="-6"/>
          <w:szCs w:val="24"/>
        </w:rPr>
        <w:t>(电子签名)</w:t>
      </w:r>
      <w:r>
        <w:rPr>
          <w:rFonts w:ascii="Times New Roman" w:hAnsi="Times New Roman" w:eastAsia="宋体" w:cs="Times New Roman"/>
          <w:color w:val="auto"/>
          <w:spacing w:val="-12"/>
          <w:szCs w:val="24"/>
        </w:rPr>
        <w:t>：</w:t>
      </w:r>
    </w:p>
    <w:p w14:paraId="0C7123CA">
      <w:pPr>
        <w:widowControl w:val="0"/>
        <w:kinsoku/>
        <w:wordWrap w:val="0"/>
        <w:topLinePunct/>
        <w:autoSpaceDE/>
        <w:autoSpaceDN/>
        <w:adjustRightInd/>
        <w:snapToGrid/>
        <w:spacing w:before="36" w:beforeLines="15" w:line="308" w:lineRule="auto"/>
        <w:ind w:firstLine="512" w:firstLineChars="200"/>
        <w:jc w:val="center"/>
        <w:rPr>
          <w:rFonts w:ascii="Times New Roman" w:hAnsi="Times New Roman" w:eastAsia="宋体" w:cs="Times New Roman"/>
          <w:color w:val="auto"/>
          <w:spacing w:val="4"/>
          <w:szCs w:val="24"/>
        </w:rPr>
      </w:pPr>
      <w:r>
        <w:rPr>
          <w:rFonts w:ascii="Times New Roman" w:hAnsi="Times New Roman" w:eastAsia="宋体" w:cs="Times New Roman"/>
          <w:color w:val="auto"/>
          <w:spacing w:val="8"/>
          <w:szCs w:val="24"/>
        </w:rPr>
        <w:t xml:space="preserve">             日期：　　年</w:t>
      </w:r>
      <w:r>
        <w:rPr>
          <w:rFonts w:ascii="Times New Roman" w:hAnsi="Times New Roman" w:eastAsia="宋体" w:cs="Times New Roman"/>
          <w:color w:val="auto"/>
          <w:spacing w:val="6"/>
          <w:szCs w:val="24"/>
        </w:rPr>
        <w:t xml:space="preserve"> </w:t>
      </w:r>
      <w:r>
        <w:rPr>
          <w:rFonts w:ascii="Times New Roman" w:hAnsi="Times New Roman" w:eastAsia="宋体" w:cs="Times New Roman"/>
          <w:color w:val="auto"/>
          <w:spacing w:val="4"/>
          <w:szCs w:val="24"/>
        </w:rPr>
        <w:t xml:space="preserve">  月    日</w:t>
      </w:r>
    </w:p>
    <w:p w14:paraId="07209623">
      <w:pPr>
        <w:kinsoku/>
        <w:topLinePunct/>
        <w:rPr>
          <w:rFonts w:ascii="Times New Roman" w:hAnsi="Times New Roman" w:eastAsia="仿宋_GB2312" w:cs="Times New Roman"/>
          <w:color w:val="auto"/>
          <w:sz w:val="32"/>
          <w:szCs w:val="32"/>
        </w:rPr>
        <w:sectPr>
          <w:pgSz w:w="11906" w:h="16838"/>
          <w:pgMar w:top="1440" w:right="1080" w:bottom="1440" w:left="1080" w:header="850" w:footer="992" w:gutter="0"/>
          <w:cols w:space="0" w:num="1"/>
          <w:titlePg/>
          <w:docGrid w:linePitch="312" w:charSpace="0"/>
        </w:sectPr>
      </w:pPr>
    </w:p>
    <w:p w14:paraId="03EC4535">
      <w:pPr>
        <w:pStyle w:val="3"/>
        <w:kinsoku/>
        <w:topLinePunct/>
        <w:rPr>
          <w:rFonts w:ascii="Times New Roman" w:hAnsi="Times New Roman" w:eastAsia="宋体" w:cs="Times New Roman"/>
          <w:b w:val="0"/>
          <w:bCs w:val="0"/>
          <w:color w:val="auto"/>
          <w:spacing w:val="-1"/>
          <w:sz w:val="44"/>
          <w:szCs w:val="44"/>
          <w14:textOutline w14:w="5448" w14:cap="flat" w14:cmpd="sng" w14:algn="ctr">
            <w14:solidFill>
              <w14:srgbClr w14:val="000000"/>
            </w14:solidFill>
            <w14:prstDash w14:val="solid"/>
            <w14:miter w14:val="0"/>
          </w14:textOutline>
        </w:rPr>
      </w:pPr>
      <w:r>
        <w:rPr>
          <w:rFonts w:ascii="Times New Roman" w:hAnsi="Times New Roman" w:eastAsia="宋体" w:cs="Times New Roman"/>
          <w:b w:val="0"/>
          <w:bCs w:val="0"/>
          <w:color w:val="auto"/>
          <w:spacing w:val="-1"/>
          <w:sz w:val="44"/>
          <w:szCs w:val="44"/>
          <w14:textOutline w14:w="5448" w14:cap="flat" w14:cmpd="sng" w14:algn="ctr">
            <w14:solidFill>
              <w14:srgbClr w14:val="000000"/>
            </w14:solidFill>
            <w14:prstDash w14:val="solid"/>
            <w14:miter w14:val="0"/>
          </w14:textOutline>
        </w:rPr>
        <w:t>符合性审查资料汇总表</w:t>
      </w:r>
    </w:p>
    <w:p w14:paraId="706FDE00">
      <w:pPr>
        <w:kinsoku/>
        <w:topLinePunct/>
        <w:jc w:val="center"/>
        <w:rPr>
          <w:rFonts w:ascii="Times New Roman" w:hAnsi="Times New Roman" w:cs="Times New Roman"/>
          <w:b/>
          <w:color w:val="auto"/>
          <w:sz w:val="32"/>
          <w:szCs w:val="32"/>
        </w:rPr>
      </w:pPr>
    </w:p>
    <w:tbl>
      <w:tblPr>
        <w:tblStyle w:val="16"/>
        <w:tblW w:w="94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412"/>
        <w:gridCol w:w="1440"/>
      </w:tblGrid>
      <w:tr w14:paraId="4E13D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04ECF108">
            <w:pPr>
              <w:kinsoku/>
              <w:topLinePunct/>
              <w:snapToGrid/>
              <w:jc w:val="center"/>
              <w:rPr>
                <w:rFonts w:ascii="Times New Roman" w:hAnsi="Times New Roman" w:cs="Times New Roman"/>
                <w:b/>
                <w:color w:val="auto"/>
              </w:rPr>
            </w:pPr>
            <w:r>
              <w:rPr>
                <w:rFonts w:ascii="Times New Roman" w:hAnsi="Times New Roman" w:cs="Times New Roman"/>
                <w:b/>
                <w:color w:val="auto"/>
              </w:rPr>
              <w:t>序号</w:t>
            </w:r>
          </w:p>
        </w:tc>
        <w:tc>
          <w:tcPr>
            <w:tcW w:w="4991" w:type="dxa"/>
            <w:vAlign w:val="center"/>
          </w:tcPr>
          <w:p w14:paraId="455A698E">
            <w:pPr>
              <w:kinsoku/>
              <w:topLinePunct/>
              <w:snapToGrid/>
              <w:jc w:val="center"/>
              <w:rPr>
                <w:rFonts w:ascii="Times New Roman" w:hAnsi="Times New Roman" w:cs="Times New Roman"/>
                <w:b/>
                <w:color w:val="auto"/>
              </w:rPr>
            </w:pPr>
            <w:r>
              <w:rPr>
                <w:rFonts w:ascii="Times New Roman" w:hAnsi="Times New Roman" w:cs="Times New Roman"/>
                <w:b/>
                <w:color w:val="auto"/>
              </w:rPr>
              <w:t>审查内容</w:t>
            </w:r>
          </w:p>
        </w:tc>
        <w:tc>
          <w:tcPr>
            <w:tcW w:w="2412" w:type="dxa"/>
            <w:vAlign w:val="center"/>
          </w:tcPr>
          <w:p w14:paraId="3C3341E2">
            <w:pPr>
              <w:kinsoku/>
              <w:topLinePunct/>
              <w:snapToGrid/>
              <w:jc w:val="center"/>
              <w:rPr>
                <w:rFonts w:ascii="Times New Roman" w:hAnsi="Times New Roman" w:cs="Times New Roman"/>
                <w:b/>
                <w:color w:val="auto"/>
              </w:rPr>
            </w:pPr>
            <w:r>
              <w:rPr>
                <w:rFonts w:ascii="Times New Roman" w:hAnsi="Times New Roman" w:cs="Times New Roman"/>
                <w:b/>
                <w:color w:val="auto"/>
              </w:rPr>
              <w:t>需要提供的审查资料</w:t>
            </w:r>
          </w:p>
        </w:tc>
        <w:tc>
          <w:tcPr>
            <w:tcW w:w="1440" w:type="dxa"/>
            <w:vAlign w:val="center"/>
          </w:tcPr>
          <w:p w14:paraId="4A5BA682">
            <w:pPr>
              <w:kinsoku/>
              <w:topLinePunct/>
              <w:snapToGrid/>
              <w:jc w:val="center"/>
              <w:rPr>
                <w:rFonts w:ascii="Times New Roman" w:hAnsi="Times New Roman" w:cs="Times New Roman"/>
                <w:b/>
                <w:color w:val="auto"/>
              </w:rPr>
            </w:pPr>
            <w:r>
              <w:rPr>
                <w:rFonts w:ascii="Times New Roman" w:hAnsi="Times New Roman" w:cs="Times New Roman"/>
                <w:b/>
                <w:color w:val="auto"/>
              </w:rPr>
              <w:t>响应文件中的页码位置</w:t>
            </w:r>
          </w:p>
        </w:tc>
      </w:tr>
      <w:tr w14:paraId="66245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080DA182">
            <w:pPr>
              <w:kinsoku/>
              <w:topLinePunct/>
              <w:snapToGrid/>
              <w:jc w:val="center"/>
              <w:rPr>
                <w:rFonts w:ascii="Times New Roman" w:hAnsi="Times New Roman" w:cs="Times New Roman"/>
                <w:b/>
                <w:color w:val="auto"/>
              </w:rPr>
            </w:pPr>
            <w:r>
              <w:rPr>
                <w:rFonts w:ascii="Times New Roman" w:hAnsi="Times New Roman" w:cs="Times New Roman"/>
                <w:b/>
                <w:color w:val="auto"/>
              </w:rPr>
              <w:t>1</w:t>
            </w:r>
          </w:p>
        </w:tc>
        <w:tc>
          <w:tcPr>
            <w:tcW w:w="4991" w:type="dxa"/>
            <w:vAlign w:val="center"/>
          </w:tcPr>
          <w:p w14:paraId="46BD9212">
            <w:pPr>
              <w:spacing w:line="360" w:lineRule="auto"/>
              <w:jc w:val="both"/>
              <w:rPr>
                <w:rFonts w:ascii="Times New Roman" w:hAnsi="Times New Roman" w:cs="Times New Roman"/>
                <w:b/>
                <w:color w:val="auto"/>
              </w:rPr>
            </w:pPr>
            <w:r>
              <w:rPr>
                <w:rFonts w:ascii="Times New Roman" w:hAnsi="Times New Roman" w:cs="Times New Roman"/>
                <w:color w:val="auto"/>
              </w:rPr>
              <w:t>响应文件按照交易文件要求签署、盖章。</w:t>
            </w:r>
          </w:p>
        </w:tc>
        <w:tc>
          <w:tcPr>
            <w:tcW w:w="2412" w:type="dxa"/>
            <w:vAlign w:val="center"/>
          </w:tcPr>
          <w:p w14:paraId="0B4FDD2C">
            <w:pPr>
              <w:rPr>
                <w:rFonts w:ascii="Times New Roman" w:hAnsi="Times New Roman" w:cs="Times New Roman"/>
                <w:b/>
                <w:color w:val="auto"/>
              </w:rPr>
            </w:pPr>
            <w:r>
              <w:rPr>
                <w:rFonts w:ascii="Times New Roman" w:hAnsi="Times New Roman" w:cs="Times New Roman"/>
                <w:color w:val="auto"/>
              </w:rPr>
              <w:t>需要使用电子签名或者签字盖章的响应文件的组成部分</w:t>
            </w:r>
          </w:p>
        </w:tc>
        <w:tc>
          <w:tcPr>
            <w:tcW w:w="1440" w:type="dxa"/>
            <w:vAlign w:val="center"/>
          </w:tcPr>
          <w:p w14:paraId="7B02B9DA">
            <w:pPr>
              <w:kinsoku/>
              <w:topLinePunct/>
              <w:snapToGrid/>
              <w:jc w:val="center"/>
              <w:rPr>
                <w:rFonts w:ascii="Times New Roman" w:hAnsi="Times New Roman" w:cs="Times New Roman"/>
                <w:b/>
                <w:color w:val="auto"/>
              </w:rPr>
            </w:pPr>
            <w:r>
              <w:rPr>
                <w:rFonts w:ascii="Times New Roman" w:hAnsi="Times New Roman" w:cs="Times New Roman"/>
                <w:color w:val="auto"/>
              </w:rPr>
              <w:t>见响应文件第</w:t>
            </w:r>
            <w:r>
              <w:rPr>
                <w:rFonts w:ascii="Times New Roman" w:hAnsi="Times New Roman" w:cs="Times New Roman"/>
                <w:color w:val="auto"/>
                <w:u w:val="single"/>
              </w:rPr>
              <w:t xml:space="preserve">  </w:t>
            </w:r>
            <w:r>
              <w:rPr>
                <w:rFonts w:ascii="Times New Roman" w:hAnsi="Times New Roman" w:cs="Times New Roman"/>
                <w:color w:val="auto"/>
              </w:rPr>
              <w:t>页</w:t>
            </w:r>
          </w:p>
        </w:tc>
      </w:tr>
      <w:tr w14:paraId="64DC6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70CC811A">
            <w:pPr>
              <w:kinsoku/>
              <w:topLinePunct/>
              <w:snapToGrid/>
              <w:jc w:val="center"/>
              <w:rPr>
                <w:rFonts w:ascii="Times New Roman" w:hAnsi="Times New Roman" w:cs="Times New Roman"/>
                <w:b/>
                <w:color w:val="auto"/>
              </w:rPr>
            </w:pPr>
            <w:r>
              <w:rPr>
                <w:rFonts w:ascii="Times New Roman" w:hAnsi="Times New Roman" w:cs="Times New Roman"/>
                <w:b/>
                <w:color w:val="auto"/>
              </w:rPr>
              <w:t>2</w:t>
            </w:r>
          </w:p>
        </w:tc>
        <w:tc>
          <w:tcPr>
            <w:tcW w:w="4991" w:type="dxa"/>
            <w:vAlign w:val="center"/>
          </w:tcPr>
          <w:p w14:paraId="487A32B1">
            <w:pPr>
              <w:spacing w:line="360" w:lineRule="auto"/>
              <w:jc w:val="both"/>
              <w:rPr>
                <w:rFonts w:ascii="Times New Roman" w:hAnsi="Times New Roman" w:eastAsia="宋体" w:cs="Times New Roman"/>
                <w:color w:val="auto"/>
                <w:lang w:val="zh-CN"/>
              </w:rPr>
            </w:pPr>
            <w:r>
              <w:rPr>
                <w:rFonts w:ascii="Times New Roman" w:hAnsi="Times New Roman" w:cs="Times New Roman"/>
                <w:color w:val="auto"/>
              </w:rPr>
              <w:t>响应文件中承诺的响应有效期不少于交易文件中载明的响应有效期。</w:t>
            </w:r>
          </w:p>
        </w:tc>
        <w:tc>
          <w:tcPr>
            <w:tcW w:w="2412" w:type="dxa"/>
            <w:vAlign w:val="center"/>
          </w:tcPr>
          <w:p w14:paraId="2D1ABBBF">
            <w:pPr>
              <w:rPr>
                <w:rFonts w:ascii="Times New Roman" w:hAnsi="Times New Roman" w:cs="Times New Roman"/>
                <w:b/>
                <w:color w:val="auto"/>
              </w:rPr>
            </w:pPr>
            <w:r>
              <w:rPr>
                <w:rFonts w:ascii="Times New Roman" w:hAnsi="Times New Roman" w:cs="Times New Roman"/>
                <w:color w:val="auto"/>
              </w:rPr>
              <w:t>响应函</w:t>
            </w:r>
          </w:p>
        </w:tc>
        <w:tc>
          <w:tcPr>
            <w:tcW w:w="1440" w:type="dxa"/>
            <w:vAlign w:val="center"/>
          </w:tcPr>
          <w:p w14:paraId="3C723510">
            <w:pPr>
              <w:kinsoku/>
              <w:topLinePunct/>
              <w:snapToGrid/>
              <w:jc w:val="center"/>
              <w:rPr>
                <w:rFonts w:ascii="Times New Roman" w:hAnsi="Times New Roman" w:cs="Times New Roman"/>
                <w:color w:val="auto"/>
              </w:rPr>
            </w:pPr>
            <w:r>
              <w:rPr>
                <w:rFonts w:ascii="Times New Roman" w:hAnsi="Times New Roman" w:cs="Times New Roman"/>
                <w:color w:val="auto"/>
              </w:rPr>
              <w:t>见响应文件</w:t>
            </w:r>
          </w:p>
          <w:p w14:paraId="20859DB2">
            <w:pPr>
              <w:kinsoku/>
              <w:topLinePunct/>
              <w:snapToGrid/>
              <w:jc w:val="center"/>
              <w:rPr>
                <w:rFonts w:ascii="Times New Roman" w:hAnsi="Times New Roman" w:cs="Times New Roman"/>
                <w:b/>
                <w:color w:val="auto"/>
              </w:rPr>
            </w:pPr>
            <w:r>
              <w:rPr>
                <w:rFonts w:ascii="Times New Roman" w:hAnsi="Times New Roman" w:cs="Times New Roman"/>
                <w:color w:val="auto"/>
              </w:rPr>
              <w:t>第</w:t>
            </w:r>
            <w:r>
              <w:rPr>
                <w:rFonts w:ascii="Times New Roman" w:hAnsi="Times New Roman" w:cs="Times New Roman"/>
                <w:color w:val="auto"/>
                <w:u w:val="single"/>
              </w:rPr>
              <w:t xml:space="preserve">  </w:t>
            </w:r>
            <w:r>
              <w:rPr>
                <w:rFonts w:ascii="Times New Roman" w:hAnsi="Times New Roman" w:cs="Times New Roman"/>
                <w:color w:val="auto"/>
              </w:rPr>
              <w:t>页</w:t>
            </w:r>
          </w:p>
        </w:tc>
      </w:tr>
      <w:tr w14:paraId="21C73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17AD378F">
            <w:pPr>
              <w:kinsoku/>
              <w:topLinePunct/>
              <w:snapToGrid/>
              <w:jc w:val="center"/>
              <w:rPr>
                <w:rFonts w:ascii="Times New Roman" w:hAnsi="Times New Roman" w:cs="Times New Roman"/>
                <w:b/>
                <w:color w:val="auto"/>
              </w:rPr>
            </w:pPr>
            <w:r>
              <w:rPr>
                <w:rFonts w:ascii="Times New Roman" w:hAnsi="Times New Roman" w:cs="Times New Roman"/>
                <w:b/>
                <w:color w:val="auto"/>
              </w:rPr>
              <w:t>3</w:t>
            </w:r>
          </w:p>
        </w:tc>
        <w:tc>
          <w:tcPr>
            <w:tcW w:w="4991" w:type="dxa"/>
            <w:vAlign w:val="center"/>
          </w:tcPr>
          <w:p w14:paraId="596D6047">
            <w:pPr>
              <w:spacing w:line="360" w:lineRule="auto"/>
              <w:jc w:val="both"/>
              <w:rPr>
                <w:rFonts w:ascii="Times New Roman" w:hAnsi="Times New Roman" w:eastAsia="宋体" w:cs="Times New Roman"/>
                <w:color w:val="auto"/>
              </w:rPr>
            </w:pPr>
            <w:r>
              <w:rPr>
                <w:rFonts w:ascii="Times New Roman" w:hAnsi="Times New Roman" w:cs="Times New Roman"/>
                <w:color w:val="auto"/>
              </w:rPr>
              <w:t>其他实质性要求1：</w:t>
            </w:r>
          </w:p>
        </w:tc>
        <w:tc>
          <w:tcPr>
            <w:tcW w:w="2412" w:type="dxa"/>
            <w:vMerge w:val="restart"/>
            <w:vAlign w:val="center"/>
          </w:tcPr>
          <w:p w14:paraId="594A08FD">
            <w:pPr>
              <w:rPr>
                <w:rFonts w:ascii="Times New Roman" w:hAnsi="Times New Roman" w:cs="Times New Roman"/>
                <w:b/>
                <w:color w:val="auto"/>
              </w:rPr>
            </w:pPr>
            <w:r>
              <w:rPr>
                <w:rFonts w:ascii="Times New Roman" w:hAnsi="Times New Roman" w:cs="Times New Roman"/>
                <w:color w:val="auto"/>
              </w:rPr>
              <w:t>交易文件其他实质性要求相应的材料(“▲” 系指实质性要求条款，交易文件无其他实质性要求的，无需提供)</w:t>
            </w:r>
          </w:p>
        </w:tc>
        <w:tc>
          <w:tcPr>
            <w:tcW w:w="1440" w:type="dxa"/>
            <w:vAlign w:val="center"/>
          </w:tcPr>
          <w:p w14:paraId="5D68085A">
            <w:pPr>
              <w:kinsoku/>
              <w:topLinePunct/>
              <w:snapToGrid/>
              <w:jc w:val="center"/>
              <w:rPr>
                <w:rFonts w:ascii="Times New Roman" w:hAnsi="Times New Roman" w:cs="Times New Roman"/>
                <w:b/>
                <w:color w:val="auto"/>
              </w:rPr>
            </w:pPr>
            <w:r>
              <w:rPr>
                <w:rFonts w:ascii="Times New Roman" w:hAnsi="Times New Roman" w:cs="Times New Roman"/>
                <w:color w:val="auto"/>
              </w:rPr>
              <w:t>见响应文件第</w:t>
            </w:r>
            <w:r>
              <w:rPr>
                <w:rFonts w:ascii="Times New Roman" w:hAnsi="Times New Roman" w:cs="Times New Roman"/>
                <w:color w:val="auto"/>
                <w:u w:val="single"/>
              </w:rPr>
              <w:t xml:space="preserve">  </w:t>
            </w:r>
            <w:r>
              <w:rPr>
                <w:rFonts w:ascii="Times New Roman" w:hAnsi="Times New Roman" w:cs="Times New Roman"/>
                <w:color w:val="auto"/>
              </w:rPr>
              <w:t>页</w:t>
            </w:r>
          </w:p>
        </w:tc>
      </w:tr>
      <w:tr w14:paraId="256FE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6DE12DC3">
            <w:pPr>
              <w:kinsoku/>
              <w:topLinePunct/>
              <w:snapToGrid/>
              <w:jc w:val="center"/>
              <w:rPr>
                <w:rFonts w:ascii="Times New Roman" w:hAnsi="Times New Roman" w:cs="Times New Roman"/>
                <w:b/>
                <w:color w:val="auto"/>
              </w:rPr>
            </w:pPr>
            <w:r>
              <w:rPr>
                <w:rFonts w:ascii="Times New Roman" w:hAnsi="Times New Roman" w:cs="Times New Roman"/>
                <w:b/>
                <w:color w:val="auto"/>
              </w:rPr>
              <w:t>4</w:t>
            </w:r>
          </w:p>
        </w:tc>
        <w:tc>
          <w:tcPr>
            <w:tcW w:w="4991" w:type="dxa"/>
            <w:vAlign w:val="center"/>
          </w:tcPr>
          <w:p w14:paraId="0E5DA461">
            <w:pPr>
              <w:spacing w:line="360" w:lineRule="auto"/>
              <w:jc w:val="both"/>
              <w:rPr>
                <w:rFonts w:ascii="Times New Roman" w:hAnsi="Times New Roman" w:eastAsia="宋体" w:cs="Times New Roman"/>
                <w:color w:val="auto"/>
              </w:rPr>
            </w:pPr>
            <w:r>
              <w:rPr>
                <w:rFonts w:ascii="Times New Roman" w:hAnsi="Times New Roman" w:cs="Times New Roman"/>
                <w:color w:val="auto"/>
              </w:rPr>
              <w:t>其他实质性要求2：</w:t>
            </w:r>
          </w:p>
        </w:tc>
        <w:tc>
          <w:tcPr>
            <w:tcW w:w="2412" w:type="dxa"/>
            <w:vMerge w:val="continue"/>
            <w:vAlign w:val="center"/>
          </w:tcPr>
          <w:p w14:paraId="6D52AB08">
            <w:pPr>
              <w:rPr>
                <w:rFonts w:ascii="Times New Roman" w:hAnsi="Times New Roman" w:cs="Times New Roman"/>
                <w:b/>
                <w:color w:val="auto"/>
              </w:rPr>
            </w:pPr>
          </w:p>
        </w:tc>
        <w:tc>
          <w:tcPr>
            <w:tcW w:w="1440" w:type="dxa"/>
            <w:vAlign w:val="center"/>
          </w:tcPr>
          <w:p w14:paraId="0ADEE364">
            <w:pPr>
              <w:kinsoku/>
              <w:topLinePunct/>
              <w:snapToGrid/>
              <w:jc w:val="center"/>
              <w:rPr>
                <w:rFonts w:ascii="Times New Roman" w:hAnsi="Times New Roman" w:cs="Times New Roman"/>
                <w:b/>
                <w:color w:val="auto"/>
              </w:rPr>
            </w:pPr>
            <w:r>
              <w:rPr>
                <w:rFonts w:ascii="Times New Roman" w:hAnsi="Times New Roman" w:cs="Times New Roman"/>
                <w:color w:val="auto"/>
              </w:rPr>
              <w:t>见响应文件第</w:t>
            </w:r>
            <w:r>
              <w:rPr>
                <w:rFonts w:ascii="Times New Roman" w:hAnsi="Times New Roman" w:cs="Times New Roman"/>
                <w:color w:val="auto"/>
                <w:u w:val="single"/>
              </w:rPr>
              <w:t xml:space="preserve">  </w:t>
            </w:r>
            <w:r>
              <w:rPr>
                <w:rFonts w:ascii="Times New Roman" w:hAnsi="Times New Roman" w:cs="Times New Roman"/>
                <w:color w:val="auto"/>
              </w:rPr>
              <w:t>页</w:t>
            </w:r>
          </w:p>
        </w:tc>
      </w:tr>
      <w:tr w14:paraId="79022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646" w:type="dxa"/>
            <w:vAlign w:val="center"/>
          </w:tcPr>
          <w:p w14:paraId="747C981A">
            <w:pPr>
              <w:kinsoku/>
              <w:topLinePunct/>
              <w:snapToGrid/>
              <w:jc w:val="center"/>
              <w:rPr>
                <w:rFonts w:ascii="Times New Roman" w:hAnsi="Times New Roman" w:cs="Times New Roman"/>
                <w:b/>
                <w:color w:val="auto"/>
              </w:rPr>
            </w:pPr>
            <w:r>
              <w:rPr>
                <w:rFonts w:ascii="Times New Roman" w:hAnsi="Times New Roman" w:cs="Times New Roman"/>
                <w:color w:val="auto"/>
              </w:rPr>
              <w:t>…</w:t>
            </w:r>
          </w:p>
        </w:tc>
        <w:tc>
          <w:tcPr>
            <w:tcW w:w="4991" w:type="dxa"/>
            <w:vAlign w:val="center"/>
          </w:tcPr>
          <w:p w14:paraId="106C2CD3">
            <w:pPr>
              <w:spacing w:line="360" w:lineRule="auto"/>
              <w:jc w:val="both"/>
              <w:rPr>
                <w:rFonts w:ascii="Times New Roman" w:hAnsi="Times New Roman" w:eastAsia="宋体" w:cs="Times New Roman"/>
                <w:color w:val="auto"/>
                <w:lang w:val="zh-CN"/>
              </w:rPr>
            </w:pPr>
            <w:r>
              <w:rPr>
                <w:rFonts w:ascii="Times New Roman" w:hAnsi="Times New Roman" w:cs="Times New Roman"/>
                <w:color w:val="auto"/>
              </w:rPr>
              <w:t>其他实质性要求……：</w:t>
            </w:r>
          </w:p>
        </w:tc>
        <w:tc>
          <w:tcPr>
            <w:tcW w:w="2412" w:type="dxa"/>
            <w:vMerge w:val="continue"/>
            <w:vAlign w:val="center"/>
          </w:tcPr>
          <w:p w14:paraId="1D33CEDF">
            <w:pPr>
              <w:rPr>
                <w:rFonts w:ascii="Times New Roman" w:hAnsi="Times New Roman" w:cs="Times New Roman"/>
                <w:color w:val="auto"/>
              </w:rPr>
            </w:pPr>
          </w:p>
        </w:tc>
        <w:tc>
          <w:tcPr>
            <w:tcW w:w="1440" w:type="dxa"/>
            <w:vAlign w:val="center"/>
          </w:tcPr>
          <w:p w14:paraId="76EC80FE">
            <w:pPr>
              <w:kinsoku/>
              <w:topLinePunct/>
              <w:snapToGrid/>
              <w:jc w:val="center"/>
              <w:rPr>
                <w:rFonts w:ascii="Times New Roman" w:hAnsi="Times New Roman" w:cs="Times New Roman"/>
                <w:color w:val="auto"/>
              </w:rPr>
            </w:pPr>
            <w:r>
              <w:rPr>
                <w:rFonts w:ascii="Times New Roman" w:hAnsi="Times New Roman" w:cs="Times New Roman"/>
                <w:color w:val="auto"/>
              </w:rPr>
              <w:t>见响应文件第</w:t>
            </w:r>
            <w:r>
              <w:rPr>
                <w:rFonts w:ascii="Times New Roman" w:hAnsi="Times New Roman" w:cs="Times New Roman"/>
                <w:color w:val="auto"/>
                <w:u w:val="single"/>
              </w:rPr>
              <w:t xml:space="preserve">  </w:t>
            </w:r>
            <w:r>
              <w:rPr>
                <w:rFonts w:ascii="Times New Roman" w:hAnsi="Times New Roman" w:cs="Times New Roman"/>
                <w:color w:val="auto"/>
              </w:rPr>
              <w:t>页</w:t>
            </w:r>
          </w:p>
        </w:tc>
      </w:tr>
    </w:tbl>
    <w:p w14:paraId="7619D8D5">
      <w:pPr>
        <w:kinsoku/>
        <w:topLinePunct/>
        <w:spacing w:line="360" w:lineRule="auto"/>
        <w:ind w:right="420"/>
        <w:rPr>
          <w:rFonts w:ascii="Times New Roman" w:hAnsi="Times New Roman" w:cs="Times New Roman"/>
          <w:color w:val="auto"/>
        </w:rPr>
      </w:pPr>
      <w:r>
        <w:rPr>
          <w:rFonts w:ascii="Times New Roman" w:hAnsi="Times New Roman" w:cs="Times New Roman"/>
          <w:color w:val="auto"/>
        </w:rPr>
        <w:t>注：参照本格式和要求提供。</w:t>
      </w:r>
    </w:p>
    <w:p w14:paraId="475766BF">
      <w:pPr>
        <w:kinsoku/>
        <w:topLinePunct/>
        <w:spacing w:line="360" w:lineRule="auto"/>
        <w:ind w:right="420"/>
        <w:rPr>
          <w:rFonts w:ascii="Times New Roman" w:hAnsi="Times New Roman" w:cs="Times New Roman"/>
          <w:color w:val="auto"/>
        </w:rPr>
      </w:pPr>
    </w:p>
    <w:p w14:paraId="4D7876AD">
      <w:pPr>
        <w:widowControl w:val="0"/>
        <w:kinsoku/>
        <w:wordWrap w:val="0"/>
        <w:topLinePunct/>
        <w:autoSpaceDE/>
        <w:autoSpaceDN/>
        <w:adjustRightInd/>
        <w:snapToGrid/>
        <w:spacing w:line="360" w:lineRule="auto"/>
        <w:ind w:firstLine="480" w:firstLineChars="200"/>
        <w:jc w:val="center"/>
        <w:rPr>
          <w:rFonts w:ascii="Times New Roman" w:hAnsi="Times New Roman" w:eastAsia="宋体" w:cs="Times New Roman"/>
          <w:color w:val="auto"/>
          <w:szCs w:val="24"/>
        </w:rPr>
      </w:pPr>
      <w:r>
        <w:rPr>
          <w:rFonts w:ascii="Times New Roman" w:hAnsi="Times New Roman" w:eastAsia="宋体" w:cs="Times New Roman"/>
          <w:color w:val="auto"/>
          <w:szCs w:val="24"/>
        </w:rPr>
        <w:t>　　　　　　　　潜在承包人</w:t>
      </w:r>
      <w:r>
        <w:rPr>
          <w:rFonts w:ascii="Times New Roman" w:hAnsi="Times New Roman" w:cs="Times New Roman"/>
          <w:color w:val="auto"/>
        </w:rPr>
        <w:t>名称</w:t>
      </w:r>
      <w:r>
        <w:rPr>
          <w:rFonts w:ascii="Times New Roman" w:hAnsi="Times New Roman" w:eastAsia="宋体" w:cs="Times New Roman"/>
          <w:color w:val="auto"/>
          <w:spacing w:val="-6"/>
          <w:szCs w:val="24"/>
        </w:rPr>
        <w:t>(电子签名)</w:t>
      </w:r>
      <w:r>
        <w:rPr>
          <w:rFonts w:ascii="Times New Roman" w:hAnsi="Times New Roman" w:eastAsia="宋体" w:cs="Times New Roman"/>
          <w:color w:val="auto"/>
          <w:spacing w:val="-12"/>
          <w:szCs w:val="24"/>
        </w:rPr>
        <w:t>：</w:t>
      </w:r>
    </w:p>
    <w:p w14:paraId="77691ED5">
      <w:pPr>
        <w:widowControl w:val="0"/>
        <w:kinsoku/>
        <w:wordWrap w:val="0"/>
        <w:topLinePunct/>
        <w:autoSpaceDE/>
        <w:autoSpaceDN/>
        <w:adjustRightInd/>
        <w:snapToGrid/>
        <w:spacing w:before="36" w:beforeLines="15" w:line="308" w:lineRule="auto"/>
        <w:ind w:firstLine="512" w:firstLineChars="200"/>
        <w:jc w:val="center"/>
        <w:rPr>
          <w:rFonts w:ascii="Times New Roman" w:hAnsi="Times New Roman" w:eastAsia="宋体" w:cs="Times New Roman"/>
          <w:color w:val="auto"/>
          <w:spacing w:val="4"/>
          <w:szCs w:val="24"/>
        </w:rPr>
      </w:pPr>
      <w:r>
        <w:rPr>
          <w:rFonts w:ascii="Times New Roman" w:hAnsi="Times New Roman" w:eastAsia="宋体" w:cs="Times New Roman"/>
          <w:color w:val="auto"/>
          <w:spacing w:val="8"/>
          <w:szCs w:val="24"/>
        </w:rPr>
        <w:t xml:space="preserve">             日期：　　年</w:t>
      </w:r>
      <w:r>
        <w:rPr>
          <w:rFonts w:ascii="Times New Roman" w:hAnsi="Times New Roman" w:eastAsia="宋体" w:cs="Times New Roman"/>
          <w:color w:val="auto"/>
          <w:spacing w:val="6"/>
          <w:szCs w:val="24"/>
        </w:rPr>
        <w:t xml:space="preserve"> </w:t>
      </w:r>
      <w:r>
        <w:rPr>
          <w:rFonts w:ascii="Times New Roman" w:hAnsi="Times New Roman" w:eastAsia="宋体" w:cs="Times New Roman"/>
          <w:color w:val="auto"/>
          <w:spacing w:val="4"/>
          <w:szCs w:val="24"/>
        </w:rPr>
        <w:t xml:space="preserve">  月    日</w:t>
      </w:r>
    </w:p>
    <w:p w14:paraId="771D1006">
      <w:pPr>
        <w:kinsoku/>
        <w:topLinePunct/>
        <w:spacing w:line="360" w:lineRule="auto"/>
        <w:ind w:right="420"/>
        <w:rPr>
          <w:rFonts w:ascii="Times New Roman" w:hAnsi="Times New Roman" w:cs="Times New Roman"/>
          <w:color w:val="auto"/>
        </w:rPr>
      </w:pPr>
    </w:p>
    <w:p w14:paraId="4CC3C834">
      <w:pPr>
        <w:kinsoku/>
        <w:topLinePunct/>
        <w:spacing w:line="360" w:lineRule="auto"/>
        <w:ind w:right="420"/>
        <w:rPr>
          <w:rFonts w:ascii="Times New Roman" w:hAnsi="Times New Roman" w:cs="Times New Roman"/>
          <w:color w:val="auto"/>
        </w:rPr>
      </w:pPr>
    </w:p>
    <w:p w14:paraId="2FA3BE58">
      <w:pPr>
        <w:kinsoku/>
        <w:topLinePunct/>
        <w:spacing w:line="360" w:lineRule="auto"/>
        <w:ind w:right="420"/>
        <w:rPr>
          <w:rFonts w:ascii="Times New Roman" w:hAnsi="Times New Roman" w:cs="Times New Roman"/>
          <w:color w:val="auto"/>
        </w:rPr>
      </w:pPr>
    </w:p>
    <w:p w14:paraId="14D25D77">
      <w:pPr>
        <w:pStyle w:val="3"/>
        <w:kinsoku/>
        <w:topLinePunct/>
        <w:rPr>
          <w:rFonts w:ascii="Times New Roman" w:hAnsi="Times New Roman" w:eastAsia="宋体" w:cs="Times New Roman"/>
          <w:b w:val="0"/>
          <w:bCs w:val="0"/>
          <w:color w:val="auto"/>
          <w:spacing w:val="-1"/>
          <w:sz w:val="44"/>
          <w:szCs w:val="44"/>
          <w:lang w:val="zh-CN"/>
          <w14:textOutline w14:w="5448" w14:cap="flat" w14:cmpd="sng" w14:algn="ctr">
            <w14:solidFill>
              <w14:srgbClr w14:val="000000"/>
            </w14:solidFill>
            <w14:prstDash w14:val="solid"/>
            <w14:miter w14:val="0"/>
          </w14:textOutline>
        </w:rPr>
      </w:pPr>
      <w:r>
        <w:rPr>
          <w:rFonts w:ascii="Times New Roman" w:hAnsi="Times New Roman" w:eastAsia="宋体" w:cs="Times New Roman"/>
          <w:b w:val="0"/>
          <w:bCs w:val="0"/>
          <w:color w:val="auto"/>
          <w:spacing w:val="-1"/>
          <w:sz w:val="44"/>
          <w:szCs w:val="44"/>
          <w:lang w:val="zh-CN"/>
          <w14:textOutline w14:w="5448" w14:cap="flat" w14:cmpd="sng" w14:algn="ctr">
            <w14:solidFill>
              <w14:srgbClr w14:val="000000"/>
            </w14:solidFill>
            <w14:prstDash w14:val="solid"/>
            <w14:miter w14:val="0"/>
          </w14:textOutline>
        </w:rPr>
        <w:t>资格要求、评审标准相应的资信资料</w:t>
      </w:r>
    </w:p>
    <w:p w14:paraId="4520A5B6">
      <w:pPr>
        <w:rPr>
          <w:rFonts w:ascii="Times New Roman" w:hAnsi="Times New Roman" w:cs="Times New Roman"/>
          <w:color w:val="auto"/>
        </w:rPr>
      </w:pPr>
    </w:p>
    <w:p w14:paraId="3F22BDC0">
      <w:pPr>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(由潜在承包人根据项目需求自行编制)</w:t>
      </w:r>
    </w:p>
    <w:p w14:paraId="3FD8DFD5">
      <w:pPr>
        <w:spacing w:line="360" w:lineRule="auto"/>
        <w:rPr>
          <w:rFonts w:ascii="Times New Roman" w:hAnsi="Times New Roman" w:eastAsia="宋体" w:cs="Times New Roman"/>
          <w:color w:val="auto"/>
        </w:rPr>
      </w:pPr>
    </w:p>
    <w:p w14:paraId="4E0DC51E">
      <w:pPr>
        <w:rPr>
          <w:rFonts w:ascii="Times New Roman" w:hAnsi="Times New Roman" w:eastAsia="宋体" w:cs="Times New Roman"/>
          <w:color w:val="auto"/>
        </w:rPr>
      </w:pPr>
      <w:r>
        <w:rPr>
          <w:rFonts w:ascii="Times New Roman" w:hAnsi="Times New Roman" w:eastAsia="宋体" w:cs="Times New Roman"/>
          <w:color w:val="auto"/>
        </w:rPr>
        <w:t>　　　　　　　　　　　　　　　　　　潜在承包人名称(</w:t>
      </w:r>
      <w:r>
        <w:rPr>
          <w:rFonts w:ascii="Times New Roman" w:hAnsi="Times New Roman" w:eastAsia="宋体" w:cs="Times New Roman"/>
          <w:color w:val="auto"/>
          <w:lang w:val="zh-CN"/>
        </w:rPr>
        <w:t>电子签名</w:t>
      </w:r>
      <w:r>
        <w:rPr>
          <w:rFonts w:ascii="Times New Roman" w:hAnsi="Times New Roman" w:eastAsia="宋体" w:cs="Times New Roman"/>
          <w:color w:val="auto"/>
        </w:rPr>
        <w:t>)：</w:t>
      </w:r>
    </w:p>
    <w:p w14:paraId="0B79A866">
      <w:pPr>
        <w:widowControl w:val="0"/>
        <w:kinsoku/>
        <w:snapToGrid/>
        <w:spacing w:line="360" w:lineRule="auto"/>
        <w:jc w:val="both"/>
        <w:rPr>
          <w:rFonts w:ascii="Times New Roman" w:hAnsi="Times New Roman" w:cs="Times New Roman"/>
          <w:color w:val="auto"/>
          <w:u w:val="single"/>
        </w:rPr>
      </w:pPr>
      <w:r>
        <w:rPr>
          <w:rFonts w:ascii="Times New Roman" w:hAnsi="Times New Roman" w:eastAsia="宋体" w:cs="Times New Roman"/>
          <w:color w:val="auto"/>
        </w:rPr>
        <w:t>　　　　　　　　　　　　</w:t>
      </w:r>
    </w:p>
    <w:p w14:paraId="1D127C95">
      <w:pPr>
        <w:rPr>
          <w:rFonts w:ascii="Times New Roman" w:hAnsi="Times New Roman" w:eastAsia="宋体" w:cs="Times New Roman"/>
          <w:color w:val="auto"/>
        </w:rPr>
      </w:pPr>
    </w:p>
    <w:p w14:paraId="6B1E3B84">
      <w:pPr>
        <w:rPr>
          <w:rFonts w:ascii="Times New Roman" w:hAnsi="Times New Roman" w:cs="Times New Roman"/>
          <w:color w:val="auto"/>
        </w:rPr>
      </w:pPr>
    </w:p>
    <w:p w14:paraId="0182BCE6">
      <w:pPr>
        <w:rPr>
          <w:rFonts w:ascii="Times New Roman" w:hAnsi="Times New Roman" w:cs="Times New Roman"/>
          <w:color w:val="auto"/>
        </w:rPr>
      </w:pPr>
    </w:p>
    <w:p w14:paraId="395C95A9">
      <w:pPr>
        <w:kinsoku/>
        <w:topLinePunct/>
        <w:spacing w:line="360" w:lineRule="auto"/>
        <w:ind w:right="420"/>
        <w:rPr>
          <w:rFonts w:ascii="Times New Roman" w:hAnsi="Times New Roman" w:cs="Times New Roman"/>
          <w:color w:val="auto"/>
        </w:rPr>
      </w:pPr>
    </w:p>
    <w:p w14:paraId="3A6C0E3E">
      <w:pPr>
        <w:kinsoku/>
        <w:topLinePunct/>
        <w:ind w:firstLine="480" w:firstLineChars="200"/>
        <w:rPr>
          <w:rFonts w:ascii="Times New Roman" w:hAnsi="Times New Roman" w:eastAsia="宋体" w:cs="Times New Roman"/>
          <w:color w:val="auto"/>
          <w:spacing w:val="-2"/>
          <w:szCs w:val="24"/>
        </w:rPr>
      </w:pPr>
      <w:r>
        <w:rPr>
          <w:rFonts w:ascii="Times New Roman" w:hAnsi="Times New Roman" w:cs="Times New Roman"/>
          <w:color w:val="auto"/>
        </w:rPr>
        <w:t>　</w:t>
      </w:r>
    </w:p>
    <w:p w14:paraId="0FC45F7F">
      <w:pPr>
        <w:rPr>
          <w:rFonts w:ascii="Times New Roman" w:hAnsi="Times New Roman" w:cs="Times New Roman"/>
          <w:color w:val="auto"/>
        </w:rPr>
        <w:sectPr>
          <w:pgSz w:w="11906" w:h="16838"/>
          <w:pgMar w:top="1440" w:right="1080" w:bottom="1440" w:left="1080" w:header="850" w:footer="992" w:gutter="0"/>
          <w:cols w:space="0" w:num="1"/>
          <w:titlePg/>
          <w:docGrid w:linePitch="312" w:charSpace="0"/>
        </w:sectPr>
      </w:pPr>
    </w:p>
    <w:p w14:paraId="5B0E75FD">
      <w:pPr>
        <w:kinsoku/>
        <w:topLinePunct/>
        <w:rPr>
          <w:rFonts w:ascii="Times New Roman" w:hAnsi="Times New Roman" w:eastAsia="仿宋_GB2312" w:cs="Times New Roman"/>
          <w:color w:val="auto"/>
          <w:sz w:val="32"/>
          <w:szCs w:val="32"/>
        </w:rPr>
      </w:pPr>
    </w:p>
    <w:p w14:paraId="1A776754">
      <w:pPr>
        <w:kinsoku/>
        <w:topLinePunct/>
        <w:rPr>
          <w:rFonts w:ascii="Times New Roman" w:hAnsi="Times New Roman" w:eastAsia="仿宋_GB2312" w:cs="Times New Roman"/>
          <w:color w:val="auto"/>
          <w:sz w:val="32"/>
          <w:szCs w:val="32"/>
        </w:rPr>
      </w:pPr>
    </w:p>
    <w:p w14:paraId="6A0C66BA">
      <w:pPr>
        <w:kinsoku/>
        <w:topLinePunct/>
        <w:spacing w:line="360" w:lineRule="auto"/>
        <w:ind w:right="480"/>
        <w:jc w:val="center"/>
        <w:rPr>
          <w:rFonts w:ascii="Times New Roman" w:hAnsi="Times New Roman" w:eastAsia="宋体" w:cs="Times New Roman"/>
          <w:b/>
          <w:bCs/>
          <w:color w:val="auto"/>
          <w:szCs w:val="24"/>
        </w:rPr>
      </w:pPr>
    </w:p>
    <w:p w14:paraId="4EB42B05">
      <w:pPr>
        <w:kinsoku/>
        <w:wordWrap w:val="0"/>
        <w:topLinePunct/>
        <w:autoSpaceDE/>
        <w:autoSpaceDN/>
        <w:adjustRightInd/>
        <w:snapToGrid/>
        <w:jc w:val="center"/>
        <w:rPr>
          <w:rFonts w:ascii="Times New Roman" w:hAnsi="Times New Roman" w:eastAsia="黑体" w:cs="Times New Roman"/>
          <w:color w:val="auto"/>
          <w:sz w:val="52"/>
          <w:szCs w:val="52"/>
        </w:rPr>
      </w:pPr>
      <w:r>
        <w:rPr>
          <w:rFonts w:ascii="Times New Roman" w:hAnsi="Times New Roman" w:eastAsia="黑体" w:cs="Times New Roman"/>
          <w:color w:val="auto"/>
          <w:spacing w:val="-4"/>
          <w:sz w:val="52"/>
          <w:szCs w:val="52"/>
          <w14:textOutline w14:w="8712" w14:cap="flat" w14:cmpd="sng" w14:algn="ctr">
            <w14:solidFill>
              <w14:srgbClr w14:val="000000"/>
            </w14:solidFill>
            <w14:prstDash w14:val="solid"/>
            <w14:miter w14:val="0"/>
          </w14:textOutline>
        </w:rPr>
        <w:t>小额项目工程施工响应文件</w:t>
      </w:r>
    </w:p>
    <w:p w14:paraId="34BB2833">
      <w:pPr>
        <w:kinsoku/>
        <w:topLinePunct/>
        <w:jc w:val="center"/>
        <w:rPr>
          <w:rFonts w:ascii="Times New Roman" w:hAnsi="Times New Roman" w:cs="Times New Roman"/>
          <w:color w:val="auto"/>
        </w:rPr>
      </w:pPr>
    </w:p>
    <w:p w14:paraId="6EC2D7C0">
      <w:pPr>
        <w:kinsoku/>
        <w:topLinePunct/>
        <w:jc w:val="center"/>
        <w:rPr>
          <w:rFonts w:ascii="Times New Roman" w:hAnsi="Times New Roman" w:cs="Times New Roman"/>
          <w:color w:val="auto"/>
        </w:rPr>
      </w:pPr>
    </w:p>
    <w:p w14:paraId="6869FE56">
      <w:pPr>
        <w:pStyle w:val="3"/>
        <w:rPr>
          <w:rFonts w:ascii="Times New Roman" w:hAnsi="Times New Roman" w:cs="Times New Roman"/>
          <w:color w:val="auto"/>
        </w:rPr>
      </w:pPr>
      <w:r>
        <w:rPr>
          <w:rFonts w:ascii="Times New Roman" w:hAnsi="Times New Roman" w:cs="Times New Roman"/>
          <w:color w:val="auto"/>
        </w:rPr>
        <w:t>(封面)</w:t>
      </w:r>
    </w:p>
    <w:p w14:paraId="10C12339">
      <w:pPr>
        <w:kinsoku/>
        <w:topLinePunct/>
        <w:rPr>
          <w:rFonts w:ascii="Times New Roman" w:hAnsi="Times New Roman" w:cs="Times New Roman"/>
          <w:color w:val="auto"/>
        </w:rPr>
      </w:pPr>
    </w:p>
    <w:p w14:paraId="1283A212">
      <w:pPr>
        <w:kinsoku/>
        <w:wordWrap w:val="0"/>
        <w:topLinePunct/>
        <w:autoSpaceDE/>
        <w:autoSpaceDN/>
        <w:adjustRightInd/>
        <w:snapToGrid/>
        <w:rPr>
          <w:rFonts w:ascii="Times New Roman" w:hAnsi="Times New Roman" w:cs="Times New Roman"/>
          <w:color w:val="auto"/>
          <w:sz w:val="21"/>
        </w:rPr>
      </w:pPr>
    </w:p>
    <w:p w14:paraId="64F2C432">
      <w:pPr>
        <w:kinsoku/>
        <w:wordWrap w:val="0"/>
        <w:topLinePunct/>
        <w:autoSpaceDE/>
        <w:autoSpaceDN/>
        <w:adjustRightInd/>
        <w:snapToGrid/>
        <w:rPr>
          <w:rFonts w:ascii="Times New Roman" w:hAnsi="Times New Roman" w:cs="Times New Roman"/>
          <w:color w:val="auto"/>
          <w:sz w:val="21"/>
        </w:rPr>
      </w:pPr>
    </w:p>
    <w:p w14:paraId="39349DEE">
      <w:pPr>
        <w:kinsoku/>
        <w:wordWrap w:val="0"/>
        <w:topLinePunct/>
        <w:autoSpaceDE/>
        <w:autoSpaceDN/>
        <w:adjustRightInd/>
        <w:snapToGrid/>
        <w:spacing w:line="580" w:lineRule="exact"/>
        <w:rPr>
          <w:rFonts w:ascii="Times New Roman" w:hAnsi="Times New Roman" w:cs="Times New Roman"/>
          <w:color w:val="auto"/>
          <w:sz w:val="21"/>
        </w:rPr>
      </w:pPr>
    </w:p>
    <w:p w14:paraId="2ACC9435">
      <w:pPr>
        <w:kinsoku/>
        <w:wordWrap w:val="0"/>
        <w:topLinePunct/>
        <w:autoSpaceDE/>
        <w:autoSpaceDN/>
        <w:adjustRightInd/>
        <w:snapToGrid/>
        <w:spacing w:before="240" w:beforeLines="100" w:after="240" w:afterLines="100" w:line="580" w:lineRule="exact"/>
        <w:ind w:firstLine="1160" w:firstLineChars="400"/>
        <w:rPr>
          <w:rFonts w:ascii="Times New Roman" w:hAnsi="Times New Roman" w:eastAsia="仿宋" w:cs="Times New Roman"/>
          <w:color w:val="auto"/>
        </w:rPr>
      </w:pPr>
      <w:r>
        <w:rPr>
          <w:rFonts w:ascii="Times New Roman" w:hAnsi="Times New Roman" w:eastAsia="仿宋" w:cs="Times New Roman"/>
          <w:color w:val="auto"/>
          <w:spacing w:val="-5"/>
          <w:sz w:val="30"/>
          <w:szCs w:val="30"/>
        </w:rPr>
        <w:t>项目名称：</w:t>
      </w:r>
      <w:r>
        <w:rPr>
          <w:rFonts w:ascii="Times New Roman" w:hAnsi="Times New Roman" w:eastAsia="仿宋" w:cs="Times New Roman"/>
          <w:color w:val="auto"/>
          <w:sz w:val="30"/>
          <w:szCs w:val="30"/>
          <w:u w:val="single"/>
        </w:rPr>
        <w:t xml:space="preserve">                        </w:t>
      </w:r>
      <w:r>
        <w:rPr>
          <w:rFonts w:hint="eastAsia" w:ascii="Times New Roman" w:hAnsi="Times New Roman" w:eastAsia="仿宋" w:cs="Times New Roman"/>
          <w:color w:val="auto"/>
          <w:sz w:val="30"/>
          <w:szCs w:val="30"/>
          <w:u w:val="single"/>
        </w:rPr>
        <w:t xml:space="preserve">                                        </w:t>
      </w:r>
      <w:r>
        <w:rPr>
          <w:rFonts w:ascii="Times New Roman" w:hAnsi="Times New Roman" w:eastAsia="仿宋" w:cs="Times New Roman"/>
          <w:color w:val="auto"/>
          <w:sz w:val="30"/>
          <w:szCs w:val="30"/>
          <w:u w:val="single"/>
        </w:rPr>
        <w:t xml:space="preserve">                </w:t>
      </w:r>
    </w:p>
    <w:p w14:paraId="70859217">
      <w:pPr>
        <w:kinsoku/>
        <w:wordWrap w:val="0"/>
        <w:topLinePunct/>
        <w:autoSpaceDE/>
        <w:autoSpaceDN/>
        <w:adjustRightInd/>
        <w:snapToGrid/>
        <w:spacing w:before="240" w:beforeLines="100" w:after="240" w:afterLines="100" w:line="580" w:lineRule="exact"/>
        <w:ind w:firstLine="1184" w:firstLineChars="400"/>
        <w:rPr>
          <w:rFonts w:ascii="Times New Roman" w:hAnsi="Times New Roman" w:eastAsia="仿宋" w:cs="Times New Roman"/>
          <w:color w:val="auto"/>
          <w:spacing w:val="-2"/>
          <w:sz w:val="30"/>
          <w:szCs w:val="30"/>
          <w:u w:val="single"/>
        </w:rPr>
      </w:pPr>
      <w:r>
        <w:rPr>
          <w:rFonts w:ascii="Times New Roman" w:hAnsi="Times New Roman" w:eastAsia="仿宋" w:cs="Times New Roman"/>
          <w:color w:val="auto"/>
          <w:spacing w:val="-2"/>
          <w:sz w:val="30"/>
          <w:szCs w:val="30"/>
        </w:rPr>
        <w:t>文件内容：</w:t>
      </w:r>
      <w:r>
        <w:rPr>
          <w:rFonts w:ascii="Times New Roman" w:hAnsi="Times New Roman" w:eastAsia="仿宋" w:cs="Times New Roman"/>
          <w:color w:val="auto"/>
          <w:spacing w:val="-2"/>
          <w:sz w:val="30"/>
          <w:szCs w:val="30"/>
          <w:u w:val="single"/>
        </w:rPr>
        <w:t>　　　　技术标文件　　　　　　　　　　　</w:t>
      </w:r>
    </w:p>
    <w:p w14:paraId="4AFB8ED8">
      <w:pPr>
        <w:kinsoku/>
        <w:wordWrap w:val="0"/>
        <w:topLinePunct/>
        <w:autoSpaceDE/>
        <w:autoSpaceDN/>
        <w:adjustRightInd/>
        <w:snapToGrid/>
        <w:spacing w:before="240" w:beforeLines="100" w:after="240" w:afterLines="100" w:line="580" w:lineRule="exact"/>
        <w:ind w:firstLine="1184" w:firstLineChars="400"/>
        <w:rPr>
          <w:rFonts w:ascii="Times New Roman" w:hAnsi="Times New Roman" w:cs="Times New Roman"/>
          <w:color w:val="auto"/>
          <w:sz w:val="21"/>
        </w:rPr>
      </w:pPr>
      <w:r>
        <w:rPr>
          <w:rFonts w:ascii="Times New Roman" w:hAnsi="Times New Roman" w:eastAsia="仿宋" w:cs="Times New Roman"/>
          <w:color w:val="auto"/>
          <w:spacing w:val="-2"/>
          <w:sz w:val="30"/>
          <w:szCs w:val="30"/>
        </w:rPr>
        <w:t>潜在承包人：</w:t>
      </w:r>
      <w:r>
        <w:rPr>
          <w:rFonts w:ascii="Times New Roman" w:hAnsi="Times New Roman" w:eastAsia="仿宋" w:cs="Times New Roman"/>
          <w:color w:val="auto"/>
          <w:spacing w:val="-2"/>
          <w:sz w:val="30"/>
          <w:szCs w:val="30"/>
          <w:u w:val="single"/>
        </w:rPr>
        <w:t xml:space="preserve">              </w:t>
      </w:r>
      <w:r>
        <w:rPr>
          <w:rFonts w:ascii="Times New Roman" w:hAnsi="Times New Roman" w:eastAsia="仿宋" w:cs="Times New Roman"/>
          <w:color w:val="auto"/>
          <w:spacing w:val="-1"/>
          <w:sz w:val="30"/>
          <w:szCs w:val="30"/>
          <w:u w:val="single"/>
        </w:rPr>
        <w:t xml:space="preserve">    </w:t>
      </w:r>
      <w:r>
        <w:rPr>
          <w:rFonts w:hint="eastAsia" w:ascii="Times New Roman" w:hAnsi="Times New Roman" w:eastAsia="仿宋" w:cs="Times New Roman"/>
          <w:color w:val="auto"/>
          <w:spacing w:val="-1"/>
          <w:sz w:val="30"/>
          <w:szCs w:val="30"/>
          <w:u w:val="single"/>
        </w:rPr>
        <w:t xml:space="preserve">                             </w:t>
      </w:r>
      <w:r>
        <w:rPr>
          <w:rFonts w:ascii="Times New Roman" w:hAnsi="Times New Roman" w:eastAsia="仿宋" w:cs="Times New Roman"/>
          <w:color w:val="auto"/>
          <w:spacing w:val="-1"/>
          <w:sz w:val="30"/>
          <w:szCs w:val="30"/>
          <w:u w:val="single"/>
        </w:rPr>
        <w:t xml:space="preserve">         (电子签名)</w:t>
      </w:r>
      <w:r>
        <w:rPr>
          <w:rFonts w:hint="eastAsia" w:ascii="Times New Roman" w:hAnsi="Times New Roman" w:eastAsia="仿宋" w:cs="Times New Roman"/>
          <w:color w:val="auto"/>
          <w:spacing w:val="-1"/>
          <w:sz w:val="30"/>
          <w:szCs w:val="30"/>
          <w:u w:val="single"/>
        </w:rPr>
        <w:t xml:space="preserve"> </w:t>
      </w:r>
      <w:r>
        <w:rPr>
          <w:rFonts w:ascii="Times New Roman" w:hAnsi="Times New Roman" w:eastAsia="仿宋" w:cs="Times New Roman"/>
          <w:color w:val="auto"/>
          <w:sz w:val="30"/>
          <w:szCs w:val="30"/>
          <w:u w:val="single"/>
        </w:rPr>
        <w:t xml:space="preserve"> </w:t>
      </w:r>
    </w:p>
    <w:p w14:paraId="22243ECE">
      <w:pPr>
        <w:kinsoku/>
        <w:wordWrap w:val="0"/>
        <w:topLinePunct/>
        <w:autoSpaceDE/>
        <w:autoSpaceDN/>
        <w:adjustRightInd/>
        <w:snapToGrid/>
        <w:spacing w:before="240" w:beforeLines="100" w:after="240" w:afterLines="100" w:line="580" w:lineRule="exact"/>
        <w:ind w:firstLine="1168" w:firstLineChars="400"/>
        <w:rPr>
          <w:rFonts w:ascii="Times New Roman" w:hAnsi="Times New Roman" w:eastAsia="仿宋" w:cs="Times New Roman"/>
          <w:color w:val="auto"/>
          <w:sz w:val="30"/>
          <w:szCs w:val="30"/>
        </w:rPr>
      </w:pPr>
      <w:r>
        <w:rPr>
          <w:rFonts w:ascii="Times New Roman" w:hAnsi="Times New Roman" w:eastAsia="仿宋" w:cs="Times New Roman"/>
          <w:color w:val="auto"/>
          <w:spacing w:val="-4"/>
          <w:sz w:val="30"/>
          <w:szCs w:val="30"/>
        </w:rPr>
        <w:t>法定代</w:t>
      </w:r>
      <w:r>
        <w:rPr>
          <w:rFonts w:ascii="Times New Roman" w:hAnsi="Times New Roman" w:eastAsia="仿宋" w:cs="Times New Roman"/>
          <w:color w:val="auto"/>
          <w:spacing w:val="-3"/>
          <w:sz w:val="30"/>
          <w:szCs w:val="30"/>
        </w:rPr>
        <w:t>表</w:t>
      </w:r>
      <w:r>
        <w:rPr>
          <w:rFonts w:ascii="Times New Roman" w:hAnsi="Times New Roman" w:eastAsia="仿宋" w:cs="Times New Roman"/>
          <w:color w:val="auto"/>
          <w:spacing w:val="-2"/>
          <w:sz w:val="30"/>
          <w:szCs w:val="30"/>
        </w:rPr>
        <w:t>人或其委托代理人：</w:t>
      </w:r>
      <w:r>
        <w:rPr>
          <w:rFonts w:ascii="Times New Roman" w:hAnsi="Times New Roman" w:eastAsia="仿宋" w:cs="Times New Roman"/>
          <w:color w:val="auto"/>
          <w:spacing w:val="-2"/>
          <w:sz w:val="30"/>
          <w:szCs w:val="30"/>
          <w:u w:val="single"/>
        </w:rPr>
        <w:t xml:space="preserve">        </w:t>
      </w:r>
      <w:r>
        <w:rPr>
          <w:rFonts w:hint="eastAsia" w:ascii="Times New Roman" w:hAnsi="Times New Roman" w:eastAsia="仿宋" w:cs="Times New Roman"/>
          <w:color w:val="auto"/>
          <w:spacing w:val="-2"/>
          <w:sz w:val="30"/>
          <w:szCs w:val="30"/>
          <w:u w:val="single"/>
        </w:rPr>
        <w:t xml:space="preserve">             </w:t>
      </w:r>
      <w:r>
        <w:rPr>
          <w:rFonts w:ascii="Times New Roman" w:hAnsi="Times New Roman" w:eastAsia="仿宋" w:cs="Times New Roman"/>
          <w:color w:val="auto"/>
          <w:spacing w:val="-2"/>
          <w:sz w:val="30"/>
          <w:szCs w:val="30"/>
          <w:u w:val="single"/>
        </w:rPr>
        <w:t xml:space="preserve">   　(</w:t>
      </w:r>
      <w:r>
        <w:rPr>
          <w:rFonts w:ascii="Times New Roman" w:hAnsi="Times New Roman" w:eastAsia="仿宋" w:cs="Times New Roman"/>
          <w:color w:val="auto"/>
          <w:spacing w:val="-1"/>
          <w:sz w:val="30"/>
          <w:szCs w:val="30"/>
          <w:u w:val="single"/>
        </w:rPr>
        <w:t>电子签名</w:t>
      </w:r>
      <w:r>
        <w:rPr>
          <w:rFonts w:ascii="Times New Roman" w:hAnsi="Times New Roman" w:eastAsia="仿宋" w:cs="Times New Roman"/>
          <w:color w:val="auto"/>
          <w:spacing w:val="-2"/>
          <w:sz w:val="30"/>
          <w:szCs w:val="30"/>
          <w:u w:val="single"/>
        </w:rPr>
        <w:t>)</w:t>
      </w:r>
      <w:r>
        <w:rPr>
          <w:rFonts w:hint="eastAsia" w:ascii="Times New Roman" w:hAnsi="Times New Roman" w:eastAsia="仿宋" w:cs="Times New Roman"/>
          <w:color w:val="auto"/>
          <w:spacing w:val="-2"/>
          <w:sz w:val="30"/>
          <w:szCs w:val="30"/>
          <w:u w:val="single"/>
        </w:rPr>
        <w:t xml:space="preserve">  </w:t>
      </w:r>
      <w:r>
        <w:rPr>
          <w:rFonts w:ascii="Times New Roman" w:hAnsi="Times New Roman" w:eastAsia="仿宋" w:cs="Times New Roman"/>
          <w:color w:val="auto"/>
          <w:sz w:val="30"/>
          <w:szCs w:val="30"/>
          <w:u w:val="single"/>
        </w:rPr>
        <w:t xml:space="preserve"> </w:t>
      </w:r>
    </w:p>
    <w:p w14:paraId="27A2126C">
      <w:pPr>
        <w:kinsoku/>
        <w:wordWrap w:val="0"/>
        <w:topLinePunct/>
        <w:autoSpaceDE/>
        <w:autoSpaceDN/>
        <w:adjustRightInd/>
        <w:snapToGrid/>
        <w:ind w:firstLine="420" w:firstLineChars="200"/>
        <w:rPr>
          <w:rFonts w:ascii="Times New Roman" w:hAnsi="Times New Roman" w:cs="Times New Roman"/>
          <w:color w:val="auto"/>
          <w:sz w:val="21"/>
        </w:rPr>
      </w:pPr>
    </w:p>
    <w:p w14:paraId="2ACD84E5">
      <w:pPr>
        <w:kinsoku/>
        <w:wordWrap w:val="0"/>
        <w:topLinePunct/>
        <w:autoSpaceDE/>
        <w:autoSpaceDN/>
        <w:adjustRightInd/>
        <w:snapToGrid/>
        <w:ind w:firstLine="420" w:firstLineChars="200"/>
        <w:rPr>
          <w:rFonts w:ascii="Times New Roman" w:hAnsi="Times New Roman" w:cs="Times New Roman"/>
          <w:color w:val="auto"/>
          <w:sz w:val="21"/>
        </w:rPr>
      </w:pPr>
    </w:p>
    <w:p w14:paraId="7BFEF7DA">
      <w:pPr>
        <w:kinsoku/>
        <w:wordWrap w:val="0"/>
        <w:topLinePunct/>
        <w:autoSpaceDE/>
        <w:autoSpaceDN/>
        <w:adjustRightInd/>
        <w:snapToGrid/>
        <w:ind w:firstLine="420" w:firstLineChars="200"/>
        <w:rPr>
          <w:rFonts w:ascii="Times New Roman" w:hAnsi="Times New Roman" w:cs="Times New Roman"/>
          <w:color w:val="auto"/>
          <w:sz w:val="21"/>
        </w:rPr>
      </w:pPr>
    </w:p>
    <w:p w14:paraId="434F69F5">
      <w:pPr>
        <w:kinsoku/>
        <w:wordWrap w:val="0"/>
        <w:topLinePunct/>
        <w:autoSpaceDE/>
        <w:autoSpaceDN/>
        <w:adjustRightInd/>
        <w:snapToGrid/>
        <w:ind w:firstLine="420" w:firstLineChars="200"/>
        <w:rPr>
          <w:rFonts w:ascii="Times New Roman" w:hAnsi="Times New Roman" w:cs="Times New Roman"/>
          <w:color w:val="auto"/>
          <w:sz w:val="21"/>
        </w:rPr>
      </w:pPr>
    </w:p>
    <w:p w14:paraId="12DF6109">
      <w:pPr>
        <w:kinsoku/>
        <w:wordWrap w:val="0"/>
        <w:topLinePunct/>
        <w:autoSpaceDE/>
        <w:autoSpaceDN/>
        <w:adjustRightInd/>
        <w:snapToGrid/>
        <w:ind w:firstLine="420" w:firstLineChars="200"/>
        <w:rPr>
          <w:rFonts w:ascii="Times New Roman" w:hAnsi="Times New Roman" w:cs="Times New Roman"/>
          <w:color w:val="auto"/>
          <w:sz w:val="21"/>
        </w:rPr>
      </w:pPr>
    </w:p>
    <w:p w14:paraId="66999F30">
      <w:pPr>
        <w:kinsoku/>
        <w:wordWrap w:val="0"/>
        <w:topLinePunct/>
        <w:autoSpaceDE/>
        <w:autoSpaceDN/>
        <w:adjustRightInd/>
        <w:snapToGrid/>
        <w:ind w:firstLine="420" w:firstLineChars="200"/>
        <w:rPr>
          <w:rFonts w:ascii="Times New Roman" w:hAnsi="Times New Roman" w:cs="Times New Roman"/>
          <w:color w:val="auto"/>
          <w:sz w:val="21"/>
        </w:rPr>
      </w:pPr>
    </w:p>
    <w:p w14:paraId="49405F3E">
      <w:pPr>
        <w:kinsoku/>
        <w:wordWrap w:val="0"/>
        <w:topLinePunct/>
        <w:autoSpaceDE/>
        <w:autoSpaceDN/>
        <w:adjustRightInd/>
        <w:snapToGrid/>
        <w:ind w:firstLine="420" w:firstLineChars="200"/>
        <w:rPr>
          <w:rFonts w:ascii="Times New Roman" w:hAnsi="Times New Roman" w:cs="Times New Roman"/>
          <w:color w:val="auto"/>
          <w:sz w:val="21"/>
        </w:rPr>
      </w:pPr>
    </w:p>
    <w:p w14:paraId="4400D622">
      <w:pPr>
        <w:kinsoku/>
        <w:wordWrap w:val="0"/>
        <w:topLinePunct/>
        <w:autoSpaceDE/>
        <w:autoSpaceDN/>
        <w:adjustRightInd/>
        <w:snapToGrid/>
        <w:ind w:firstLine="572" w:firstLineChars="200"/>
        <w:jc w:val="center"/>
        <w:rPr>
          <w:rFonts w:ascii="Times New Roman" w:hAnsi="Times New Roman" w:eastAsia="仿宋" w:cs="Times New Roman"/>
          <w:color w:val="auto"/>
          <w:sz w:val="30"/>
          <w:szCs w:val="30"/>
        </w:rPr>
      </w:pPr>
      <w:r>
        <w:rPr>
          <w:rFonts w:ascii="Times New Roman" w:hAnsi="Times New Roman" w:eastAsia="仿宋" w:cs="Times New Roman"/>
          <w:color w:val="auto"/>
          <w:spacing w:val="-7"/>
          <w:sz w:val="30"/>
          <w:szCs w:val="30"/>
        </w:rPr>
        <w:t xml:space="preserve">日期：      年     月     </w:t>
      </w:r>
      <w:r>
        <w:rPr>
          <w:rFonts w:ascii="Times New Roman" w:hAnsi="Times New Roman" w:eastAsia="仿宋" w:cs="Times New Roman"/>
          <w:color w:val="auto"/>
          <w:spacing w:val="-5"/>
          <w:sz w:val="30"/>
          <w:szCs w:val="30"/>
        </w:rPr>
        <w:t>日</w:t>
      </w:r>
    </w:p>
    <w:p w14:paraId="75B24635">
      <w:pPr>
        <w:kinsoku/>
        <w:topLinePunct/>
        <w:adjustRightInd/>
        <w:spacing w:before="1" w:line="218" w:lineRule="auto"/>
        <w:jc w:val="center"/>
        <w:rPr>
          <w:rFonts w:ascii="Times New Roman" w:hAnsi="Times New Roman" w:eastAsia="宋体" w:cs="Times New Roman"/>
          <w:color w:val="auto"/>
          <w:spacing w:val="-1"/>
          <w:sz w:val="44"/>
          <w:szCs w:val="44"/>
          <w14:textOutline w14:w="5448" w14:cap="flat" w14:cmpd="sng" w14:algn="ctr">
            <w14:solidFill>
              <w14:srgbClr w14:val="000000"/>
            </w14:solidFill>
            <w14:prstDash w14:val="solid"/>
            <w14:miter w14:val="0"/>
          </w14:textOutline>
        </w:rPr>
        <w:sectPr>
          <w:pgSz w:w="11906" w:h="16838"/>
          <w:pgMar w:top="1440" w:right="1083" w:bottom="1440" w:left="1083" w:header="850" w:footer="850" w:gutter="0"/>
          <w:cols w:space="0" w:num="1"/>
        </w:sectPr>
      </w:pPr>
    </w:p>
    <w:p w14:paraId="79301552">
      <w:pPr>
        <w:pStyle w:val="3"/>
        <w:kinsoku/>
        <w:topLinePunct/>
        <w:rPr>
          <w:rFonts w:ascii="Times New Roman" w:hAnsi="Times New Roman" w:cs="Times New Roman"/>
          <w:b w:val="0"/>
          <w:bCs w:val="0"/>
          <w:color w:val="auto"/>
          <w:spacing w:val="-1"/>
          <w:sz w:val="44"/>
          <w:szCs w:val="44"/>
          <w14:textOutline w14:w="5448" w14:cap="flat" w14:cmpd="sng" w14:algn="ctr">
            <w14:solidFill>
              <w14:srgbClr w14:val="000000"/>
            </w14:solidFill>
            <w14:prstDash w14:val="solid"/>
            <w14:miter w14:val="0"/>
          </w14:textOutline>
        </w:rPr>
      </w:pPr>
      <w:r>
        <w:rPr>
          <w:rFonts w:ascii="Times New Roman" w:hAnsi="Times New Roman" w:cs="Times New Roman"/>
          <w:b w:val="0"/>
          <w:bCs w:val="0"/>
          <w:color w:val="auto"/>
          <w:spacing w:val="-1"/>
          <w:sz w:val="44"/>
          <w:szCs w:val="44"/>
          <w14:textOutline w14:w="5448" w14:cap="flat" w14:cmpd="sng" w14:algn="ctr">
            <w14:solidFill>
              <w14:srgbClr w14:val="000000"/>
            </w14:solidFill>
            <w14:prstDash w14:val="solid"/>
            <w14:miter w14:val="0"/>
          </w14:textOutline>
        </w:rPr>
        <w:t>目   录</w:t>
      </w:r>
    </w:p>
    <w:p w14:paraId="7230E29A">
      <w:pPr>
        <w:widowControl w:val="0"/>
        <w:ind w:firstLine="422" w:firstLineChars="150"/>
        <w:rPr>
          <w:rFonts w:ascii="Times New Roman" w:hAnsi="Times New Roman" w:eastAsia="仿宋_GB2312" w:cs="Times New Roman"/>
          <w:b/>
          <w:bCs/>
          <w:color w:val="auto"/>
          <w:sz w:val="28"/>
          <w:szCs w:val="28"/>
        </w:rPr>
      </w:pPr>
    </w:p>
    <w:p w14:paraId="2F0AC774">
      <w:pPr>
        <w:widowControl w:val="0"/>
        <w:spacing w:line="360" w:lineRule="auto"/>
        <w:ind w:firstLine="360" w:firstLineChars="150"/>
        <w:jc w:val="distribute"/>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1</w:t>
      </w:r>
      <w:r>
        <w:rPr>
          <w:rFonts w:ascii="Times New Roman" w:hAnsi="Times New Roman" w:eastAsia="宋体" w:cs="Times New Roman"/>
          <w:color w:val="auto"/>
        </w:rPr>
        <w:t>.技术响应承诺书(如智能评审)…………………………………………………(页码)</w:t>
      </w:r>
    </w:p>
    <w:p w14:paraId="4EAB04A5">
      <w:pPr>
        <w:kinsoku/>
        <w:rPr>
          <w:rFonts w:ascii="Times New Roman" w:hAnsi="Times New Roman" w:eastAsia="宋体" w:cs="Times New Roman"/>
          <w:b/>
          <w:bCs/>
          <w:color w:val="auto"/>
        </w:rPr>
      </w:pPr>
    </w:p>
    <w:p w14:paraId="0C7F9557">
      <w:pPr>
        <w:kinsoku/>
        <w:rPr>
          <w:rFonts w:ascii="Times New Roman" w:hAnsi="Times New Roman" w:eastAsia="宋体" w:cs="Times New Roman"/>
          <w:b/>
          <w:bCs/>
          <w:color w:val="auto"/>
        </w:rPr>
      </w:pPr>
    </w:p>
    <w:p w14:paraId="7538C9F6">
      <w:pPr>
        <w:kinsoku/>
        <w:spacing w:line="400" w:lineRule="exact"/>
        <w:rPr>
          <w:rFonts w:ascii="Times New Roman" w:hAnsi="Times New Roman" w:eastAsia="宋体" w:cs="Times New Roman"/>
          <w:b/>
          <w:color w:val="auto"/>
          <w:sz w:val="32"/>
          <w:szCs w:val="32"/>
        </w:rPr>
      </w:pPr>
      <w:r>
        <w:rPr>
          <w:rFonts w:ascii="Times New Roman" w:hAnsi="Times New Roman" w:eastAsia="宋体" w:cs="Times New Roman"/>
          <w:b/>
          <w:bCs/>
          <w:color w:val="auto"/>
        </w:rPr>
        <w:t>注：以上目录是编制潜在承包人响应文件的基本格式要求，各潜在承包人可根据自身情况进一步细化。各潜在承包人请务必在投标工具中对应评审标准关联相应文件。</w:t>
      </w:r>
    </w:p>
    <w:p w14:paraId="5C10CD2B"/>
    <w:p w14:paraId="58D6406E"/>
    <w:p w14:paraId="06CE144E"/>
    <w:p w14:paraId="00D77F51"/>
    <w:p w14:paraId="5561EF5B"/>
    <w:p w14:paraId="54C7F90C"/>
    <w:p w14:paraId="559F91C3"/>
    <w:p w14:paraId="11C57BE8"/>
    <w:p w14:paraId="0E25ADC3"/>
    <w:p w14:paraId="3AA3025A"/>
    <w:p w14:paraId="2D62E372"/>
    <w:p w14:paraId="5459491E"/>
    <w:p w14:paraId="40EDE24F"/>
    <w:p w14:paraId="31769931"/>
    <w:p w14:paraId="38C384B8"/>
    <w:p w14:paraId="21CA5C65"/>
    <w:p w14:paraId="2710FD9F"/>
    <w:p w14:paraId="66289A93"/>
    <w:p w14:paraId="5E9A8996"/>
    <w:p w14:paraId="4A647E3E"/>
    <w:p w14:paraId="18D8F93F"/>
    <w:p w14:paraId="1F35A802"/>
    <w:p w14:paraId="7A44BC06"/>
    <w:p w14:paraId="4A78F853"/>
    <w:p w14:paraId="470AC871"/>
    <w:p w14:paraId="7A0B2F30"/>
    <w:p w14:paraId="6BAC32C4"/>
    <w:p w14:paraId="3004002B"/>
    <w:p w14:paraId="196D5A71"/>
    <w:p w14:paraId="1D4C506E"/>
    <w:p w14:paraId="2E22A8A9"/>
    <w:p w14:paraId="30AEE02C"/>
    <w:p w14:paraId="18472C63"/>
    <w:p w14:paraId="2F29BB75"/>
    <w:p w14:paraId="7794817D"/>
    <w:p w14:paraId="7989C161"/>
    <w:p w14:paraId="2034C007"/>
    <w:p w14:paraId="195E9941">
      <w:pPr>
        <w:rPr>
          <w:rFonts w:ascii="Times New Roman" w:hAnsi="Times New Roman" w:eastAsia="宋体" w:cs="Times New Roman"/>
          <w:b w:val="0"/>
          <w:bCs w:val="0"/>
          <w:color w:val="auto"/>
          <w:spacing w:val="-1"/>
          <w:sz w:val="44"/>
          <w:szCs w:val="44"/>
          <w14:textOutline w14:w="5448" w14:cap="flat" w14:cmpd="sng" w14:algn="ctr">
            <w14:solidFill>
              <w14:srgbClr w14:val="000000"/>
            </w14:solidFill>
            <w14:prstDash w14:val="solid"/>
            <w14:miter w14:val="0"/>
          </w14:textOutline>
        </w:rPr>
      </w:pPr>
      <w:r>
        <w:rPr>
          <w:rFonts w:ascii="Times New Roman" w:hAnsi="Times New Roman" w:eastAsia="宋体" w:cs="Times New Roman"/>
          <w:b w:val="0"/>
          <w:bCs w:val="0"/>
          <w:color w:val="auto"/>
          <w:spacing w:val="-1"/>
          <w:sz w:val="44"/>
          <w:szCs w:val="44"/>
          <w14:textOutline w14:w="5448" w14:cap="flat" w14:cmpd="sng" w14:algn="ctr">
            <w14:solidFill>
              <w14:srgbClr w14:val="000000"/>
            </w14:solidFill>
            <w14:prstDash w14:val="solid"/>
            <w14:miter w14:val="0"/>
          </w14:textOutline>
        </w:rPr>
        <w:br w:type="page"/>
      </w:r>
    </w:p>
    <w:p w14:paraId="5B9B0BEA">
      <w:pPr>
        <w:pStyle w:val="3"/>
        <w:kinsoku/>
        <w:topLinePunct/>
        <w:rPr>
          <w:rFonts w:ascii="Times New Roman" w:hAnsi="Times New Roman" w:eastAsia="宋体" w:cs="Times New Roman"/>
          <w:b w:val="0"/>
          <w:bCs w:val="0"/>
          <w:color w:val="auto"/>
          <w:spacing w:val="-1"/>
          <w:sz w:val="44"/>
          <w:szCs w:val="44"/>
          <w14:textOutline w14:w="5448" w14:cap="flat" w14:cmpd="sng" w14:algn="ctr">
            <w14:solidFill>
              <w14:srgbClr w14:val="000000"/>
            </w14:solidFill>
            <w14:prstDash w14:val="solid"/>
            <w14:miter w14:val="0"/>
          </w14:textOutline>
        </w:rPr>
      </w:pPr>
      <w:r>
        <w:rPr>
          <w:rFonts w:ascii="Times New Roman" w:hAnsi="Times New Roman" w:eastAsia="宋体" w:cs="Times New Roman"/>
          <w:b w:val="0"/>
          <w:bCs w:val="0"/>
          <w:color w:val="auto"/>
          <w:spacing w:val="-1"/>
          <w:sz w:val="44"/>
          <w:szCs w:val="44"/>
          <w14:textOutline w14:w="5448" w14:cap="flat" w14:cmpd="sng" w14:algn="ctr">
            <w14:solidFill>
              <w14:srgbClr w14:val="000000"/>
            </w14:solidFill>
            <w14:prstDash w14:val="solid"/>
            <w14:miter w14:val="0"/>
          </w14:textOutline>
        </w:rPr>
        <w:t>技术响应承诺书</w:t>
      </w:r>
    </w:p>
    <w:p w14:paraId="75CA7E28">
      <w:pPr>
        <w:kinsoku/>
        <w:topLinePunct/>
        <w:spacing w:line="360" w:lineRule="auto"/>
        <w:ind w:right="480"/>
        <w:jc w:val="center"/>
        <w:rPr>
          <w:rFonts w:ascii="Times New Roman" w:hAnsi="Times New Roman" w:eastAsia="黑体" w:cs="Times New Roman"/>
          <w:b/>
          <w:color w:val="auto"/>
          <w:szCs w:val="24"/>
        </w:rPr>
      </w:pPr>
      <w:r>
        <w:rPr>
          <w:rFonts w:ascii="Times New Roman" w:hAnsi="Times New Roman" w:eastAsia="宋体" w:cs="Times New Roman"/>
          <w:color w:val="auto"/>
        </w:rPr>
        <w:t>(宜适用于最低价法、合理低价法工程施工项目)</w:t>
      </w:r>
    </w:p>
    <w:p w14:paraId="32BC2173">
      <w:pPr>
        <w:kinsoku/>
        <w:topLinePunct/>
        <w:snapToGrid/>
        <w:spacing w:line="360" w:lineRule="auto"/>
        <w:ind w:firstLine="480" w:firstLineChars="200"/>
        <w:rPr>
          <w:rFonts w:ascii="Times New Roman" w:hAnsi="Times New Roman" w:eastAsia="宋体" w:cs="Times New Roman"/>
          <w:color w:val="auto"/>
          <w:szCs w:val="24"/>
        </w:rPr>
      </w:pPr>
    </w:p>
    <w:p w14:paraId="230CA1CB">
      <w:pPr>
        <w:kinsoku/>
        <w:topLinePunct/>
        <w:snapToGrid/>
        <w:spacing w:line="400" w:lineRule="exact"/>
        <w:ind w:firstLine="480" w:firstLineChars="200"/>
        <w:rPr>
          <w:rFonts w:ascii="Times New Roman" w:hAnsi="Times New Roman" w:cs="Times New Roman"/>
          <w:color w:val="auto"/>
          <w:szCs w:val="24"/>
        </w:rPr>
      </w:pPr>
      <w:r>
        <w:rPr>
          <w:rFonts w:ascii="Times New Roman" w:hAnsi="Times New Roman" w:eastAsia="宋体" w:cs="Times New Roman"/>
          <w:color w:val="auto"/>
          <w:szCs w:val="24"/>
        </w:rPr>
        <w:t xml:space="preserve">我公司一旦成为成交人，针对项目特点，在施工技术方面做如下承诺： </w:t>
      </w:r>
    </w:p>
    <w:p w14:paraId="433CA530">
      <w:pPr>
        <w:kinsoku/>
        <w:topLinePunct/>
        <w:snapToGrid/>
        <w:spacing w:line="400" w:lineRule="exact"/>
        <w:ind w:firstLine="480" w:firstLineChars="200"/>
        <w:rPr>
          <w:rFonts w:ascii="Times New Roman" w:hAnsi="Times New Roman" w:cs="Times New Roman"/>
          <w:color w:val="auto"/>
          <w:szCs w:val="24"/>
        </w:rPr>
      </w:pPr>
      <w:r>
        <w:rPr>
          <w:rFonts w:ascii="Times New Roman" w:hAnsi="Times New Roman" w:eastAsia="宋体" w:cs="Times New Roman"/>
          <w:color w:val="auto"/>
          <w:szCs w:val="24"/>
        </w:rPr>
        <w:t xml:space="preserve">1.我公司将响应交易文件的发包需求，结合项目实际情况，制定详细的施工技术方案，合理配置施工机械设备及布置施工总平面图，满足各个施工阶段的要求。 </w:t>
      </w:r>
    </w:p>
    <w:p w14:paraId="2B7A4C20">
      <w:pPr>
        <w:kinsoku/>
        <w:topLinePunct/>
        <w:snapToGrid/>
        <w:spacing w:line="400" w:lineRule="exact"/>
        <w:ind w:firstLine="480" w:firstLineChars="200"/>
        <w:rPr>
          <w:rFonts w:ascii="Times New Roman" w:hAnsi="Times New Roman" w:cs="Times New Roman"/>
          <w:color w:val="auto"/>
          <w:szCs w:val="24"/>
        </w:rPr>
      </w:pPr>
      <w:r>
        <w:rPr>
          <w:rFonts w:ascii="Times New Roman" w:hAnsi="Times New Roman" w:eastAsia="宋体" w:cs="Times New Roman"/>
          <w:color w:val="auto"/>
          <w:szCs w:val="24"/>
        </w:rPr>
        <w:t xml:space="preserve">2.我公司将统一安排施工进度计划，按交易文件要求，在保证质量、安全的前提下，选择合理的施工方案，精心组织立体交叉施工，并将在资金、劳动力的投入上编制计划书，确保在合同工期内完成全部工程内容。 </w:t>
      </w:r>
    </w:p>
    <w:p w14:paraId="41603C8C">
      <w:pPr>
        <w:kinsoku/>
        <w:topLinePunct/>
        <w:snapToGrid/>
        <w:spacing w:line="400" w:lineRule="exact"/>
        <w:ind w:firstLine="480" w:firstLineChars="200"/>
        <w:rPr>
          <w:rFonts w:ascii="Times New Roman" w:hAnsi="Times New Roman" w:cs="Times New Roman"/>
          <w:color w:val="auto"/>
          <w:szCs w:val="24"/>
        </w:rPr>
      </w:pPr>
      <w:r>
        <w:rPr>
          <w:rFonts w:ascii="Times New Roman" w:hAnsi="Times New Roman" w:eastAsia="宋体" w:cs="Times New Roman"/>
          <w:color w:val="auto"/>
          <w:szCs w:val="24"/>
        </w:rPr>
        <w:t xml:space="preserve">3.我公司将建立严格的质量保证体系，确保项目质量，加强施工质量验收制度，绝不违章施工，绝不使用不合格材料，严格执行国家、省、市现行的有关施工验收规范和质量检验评定标准，服从业主和监理的管理，并在施工过程中诚恳地接受各级政府质量监督部门和社会各界人士的监督，确保项目质量验收合格或一次性验收合格。 </w:t>
      </w:r>
    </w:p>
    <w:p w14:paraId="438FA0C2">
      <w:pPr>
        <w:kinsoku/>
        <w:topLinePunct/>
        <w:snapToGrid/>
        <w:spacing w:line="400" w:lineRule="exact"/>
        <w:ind w:firstLine="480" w:firstLineChars="200"/>
        <w:rPr>
          <w:rFonts w:ascii="Times New Roman" w:hAnsi="Times New Roman" w:cs="Times New Roman"/>
          <w:color w:val="auto"/>
          <w:szCs w:val="24"/>
        </w:rPr>
      </w:pPr>
      <w:r>
        <w:rPr>
          <w:rFonts w:ascii="Times New Roman" w:hAnsi="Times New Roman" w:eastAsia="宋体" w:cs="Times New Roman"/>
          <w:color w:val="auto"/>
          <w:szCs w:val="24"/>
        </w:rPr>
        <w:t xml:space="preserve">4.我公司将建立严格的安全及文明施工和环保措施，认真遵守和执行国家、地方和行业部门颁发的建设工程管理规定和条例，确保工程无重大安全事故，安全等级达到合格工地标准，争创文明标化工地。 </w:t>
      </w:r>
    </w:p>
    <w:p w14:paraId="1444A9C1">
      <w:pPr>
        <w:kinsoku/>
        <w:topLinePunct/>
        <w:snapToGrid/>
        <w:spacing w:line="400" w:lineRule="exact"/>
        <w:ind w:firstLine="480" w:firstLineChars="200"/>
        <w:rPr>
          <w:rFonts w:ascii="Times New Roman" w:hAnsi="Times New Roman" w:eastAsia="宋体" w:cs="Times New Roman"/>
          <w:color w:val="auto"/>
          <w:szCs w:val="24"/>
        </w:rPr>
      </w:pPr>
      <w:r>
        <w:rPr>
          <w:rFonts w:ascii="Times New Roman" w:hAnsi="Times New Roman" w:eastAsia="宋体" w:cs="Times New Roman"/>
          <w:color w:val="auto"/>
          <w:szCs w:val="24"/>
        </w:rPr>
        <w:t xml:space="preserve">5.我公司一旦成交，将在成交通知书领取时提供施工组织设计。 </w:t>
      </w:r>
    </w:p>
    <w:p w14:paraId="42E9F94C">
      <w:pPr>
        <w:kinsoku/>
        <w:topLinePunct/>
        <w:snapToGrid/>
        <w:spacing w:line="400" w:lineRule="exact"/>
        <w:ind w:left="2" w:leftChars="1" w:firstLine="480" w:firstLineChars="200"/>
        <w:rPr>
          <w:rFonts w:ascii="Times New Roman" w:hAnsi="Times New Roman" w:cs="Times New Roman"/>
          <w:color w:val="auto"/>
        </w:rPr>
      </w:pPr>
      <w:r>
        <w:rPr>
          <w:rFonts w:ascii="Times New Roman" w:hAnsi="Times New Roman" w:eastAsia="宋体" w:cs="Times New Roman"/>
          <w:color w:val="auto"/>
          <w:szCs w:val="24"/>
        </w:rPr>
        <w:t>我公司在确定为成交人后若未能完成以上承诺，同意</w:t>
      </w:r>
      <w:r>
        <w:rPr>
          <w:rFonts w:ascii="Times New Roman" w:hAnsi="Times New Roman" w:eastAsia="宋体" w:cs="Times New Roman"/>
          <w:color w:val="auto"/>
          <w:szCs w:val="24"/>
          <w:lang w:val="zh-CN"/>
        </w:rPr>
        <w:t>你单位</w:t>
      </w:r>
      <w:r>
        <w:rPr>
          <w:rFonts w:ascii="Times New Roman" w:hAnsi="Times New Roman" w:eastAsia="宋体" w:cs="Times New Roman"/>
          <w:color w:val="auto"/>
          <w:szCs w:val="24"/>
        </w:rPr>
        <w:t>取消我单位成交资格的处理。</w:t>
      </w:r>
      <w:r>
        <w:rPr>
          <w:rFonts w:ascii="Times New Roman" w:hAnsi="Times New Roman" w:eastAsia="宋体" w:cs="Times New Roman"/>
          <w:color w:val="auto"/>
          <w:szCs w:val="24"/>
          <w:lang w:val="zh-CN"/>
        </w:rPr>
        <w:t>有权拒绝我单位在一定时期内进入你单位进行项目建设或其他经营活动，并接受因失信行为限制参加</w:t>
      </w:r>
      <w:r>
        <w:rPr>
          <w:rFonts w:ascii="Times New Roman" w:hAnsi="Times New Roman" w:eastAsia="宋体" w:cs="Times New Roman"/>
          <w:color w:val="auto"/>
          <w:szCs w:val="24"/>
        </w:rPr>
        <w:t>城投集团小额工程</w:t>
      </w:r>
      <w:r>
        <w:rPr>
          <w:rFonts w:ascii="Times New Roman" w:hAnsi="Times New Roman" w:eastAsia="宋体" w:cs="Times New Roman"/>
          <w:color w:val="auto"/>
          <w:szCs w:val="24"/>
          <w:lang w:val="zh-CN"/>
        </w:rPr>
        <w:t>交易活动。由此引起的相应损失均由我单位承担。</w:t>
      </w:r>
    </w:p>
    <w:p w14:paraId="5821419F">
      <w:pPr>
        <w:kinsoku/>
        <w:topLinePunct/>
        <w:rPr>
          <w:rFonts w:ascii="Times New Roman" w:hAnsi="Times New Roman" w:cs="Times New Roman"/>
          <w:color w:val="auto"/>
        </w:rPr>
      </w:pPr>
    </w:p>
    <w:p w14:paraId="4068A7A2">
      <w:pPr>
        <w:kinsoku/>
        <w:topLinePunct/>
        <w:snapToGrid/>
        <w:spacing w:line="360" w:lineRule="auto"/>
        <w:ind w:firstLine="5280" w:firstLineChars="2200"/>
        <w:rPr>
          <w:rFonts w:ascii="Times New Roman" w:hAnsi="Times New Roman" w:eastAsia="宋体" w:cs="Times New Roman"/>
          <w:color w:val="auto"/>
          <w:szCs w:val="24"/>
        </w:rPr>
      </w:pPr>
    </w:p>
    <w:p w14:paraId="135413AD">
      <w:pPr>
        <w:kinsoku/>
        <w:topLinePunct/>
        <w:snapToGrid/>
        <w:spacing w:line="360" w:lineRule="auto"/>
        <w:jc w:val="both"/>
        <w:rPr>
          <w:rFonts w:ascii="Times New Roman" w:hAnsi="Times New Roman" w:eastAsia="宋体" w:cs="Times New Roman"/>
          <w:color w:val="auto"/>
          <w:szCs w:val="24"/>
        </w:rPr>
      </w:pPr>
      <w:r>
        <w:rPr>
          <w:rFonts w:ascii="Times New Roman" w:hAnsi="Times New Roman" w:eastAsia="宋体" w:cs="Times New Roman"/>
          <w:color w:val="auto"/>
          <w:szCs w:val="24"/>
        </w:rPr>
        <w:t xml:space="preserve">　　　　　　　　　　　　　　　　　　　　　潜在承包人名称(电子签名) ： </w:t>
      </w:r>
    </w:p>
    <w:p w14:paraId="77F9B724">
      <w:pPr>
        <w:kinsoku/>
        <w:topLinePunct/>
        <w:snapToGrid/>
        <w:spacing w:line="360" w:lineRule="auto"/>
        <w:jc w:val="both"/>
        <w:rPr>
          <w:rFonts w:ascii="Times New Roman" w:hAnsi="Times New Roman" w:cs="Times New Roman"/>
          <w:color w:val="auto"/>
          <w:u w:val="single"/>
        </w:rPr>
      </w:pPr>
      <w:r>
        <w:rPr>
          <w:rFonts w:ascii="Times New Roman" w:hAnsi="Times New Roman" w:eastAsia="宋体" w:cs="Times New Roman"/>
          <w:color w:val="auto"/>
          <w:szCs w:val="24"/>
        </w:rPr>
        <w:t>　　　　　　　　　　　　　　　　　　　　　</w:t>
      </w:r>
      <w:r>
        <w:rPr>
          <w:rFonts w:ascii="Times New Roman" w:hAnsi="Times New Roman" w:cs="Times New Roman"/>
          <w:color w:val="auto"/>
        </w:rPr>
        <w:t>日期：  年   月   日</w:t>
      </w:r>
    </w:p>
    <w:p w14:paraId="7ED50F9A">
      <w:pPr>
        <w:kinsoku/>
        <w:topLinePunct/>
        <w:snapToGrid/>
        <w:spacing w:line="360" w:lineRule="auto"/>
        <w:ind w:firstLine="6960" w:firstLineChars="2900"/>
        <w:rPr>
          <w:rFonts w:ascii="Times New Roman" w:hAnsi="Times New Roman" w:cs="Times New Roman"/>
          <w:color w:val="auto"/>
          <w:szCs w:val="24"/>
        </w:rPr>
      </w:pPr>
    </w:p>
    <w:p w14:paraId="08C91E6E">
      <w:pPr>
        <w:kinsoku/>
        <w:topLinePunct/>
        <w:spacing w:line="360" w:lineRule="auto"/>
        <w:rPr>
          <w:rFonts w:ascii="Times New Roman" w:hAnsi="Times New Roman" w:eastAsia="仿宋_GB2312" w:cs="Times New Roman"/>
          <w:color w:val="auto"/>
          <w:szCs w:val="24"/>
        </w:rPr>
        <w:sectPr>
          <w:headerReference r:id="rId29" w:type="first"/>
          <w:footerReference r:id="rId31" w:type="first"/>
          <w:headerReference r:id="rId28" w:type="default"/>
          <w:footerReference r:id="rId30" w:type="default"/>
          <w:pgSz w:w="11906" w:h="16838"/>
          <w:pgMar w:top="1440" w:right="1080" w:bottom="1440" w:left="1080" w:header="850" w:footer="992" w:gutter="0"/>
          <w:cols w:space="0" w:num="1"/>
          <w:titlePg/>
          <w:docGrid w:linePitch="312" w:charSpace="0"/>
        </w:sectPr>
      </w:pPr>
    </w:p>
    <w:p w14:paraId="39D148C0">
      <w:pPr>
        <w:kinsoku/>
        <w:wordWrap w:val="0"/>
        <w:topLinePunct/>
        <w:autoSpaceDE/>
        <w:autoSpaceDN/>
        <w:adjustRightInd/>
        <w:snapToGrid/>
        <w:jc w:val="center"/>
        <w:rPr>
          <w:rFonts w:ascii="Times New Roman" w:hAnsi="Times New Roman" w:eastAsia="黑体" w:cs="Times New Roman"/>
          <w:color w:val="auto"/>
          <w:spacing w:val="-4"/>
          <w:sz w:val="52"/>
          <w:szCs w:val="52"/>
          <w14:textOutline w14:w="8712" w14:cap="flat" w14:cmpd="sng" w14:algn="ctr">
            <w14:solidFill>
              <w14:srgbClr w14:val="000000"/>
            </w14:solidFill>
            <w14:prstDash w14:val="solid"/>
            <w14:miter w14:val="0"/>
          </w14:textOutline>
        </w:rPr>
      </w:pPr>
    </w:p>
    <w:p w14:paraId="3759D274">
      <w:pPr>
        <w:kinsoku/>
        <w:wordWrap w:val="0"/>
        <w:topLinePunct/>
        <w:autoSpaceDE/>
        <w:autoSpaceDN/>
        <w:adjustRightInd/>
        <w:snapToGrid/>
        <w:jc w:val="center"/>
        <w:rPr>
          <w:rFonts w:ascii="Times New Roman" w:hAnsi="Times New Roman" w:eastAsia="黑体" w:cs="Times New Roman"/>
          <w:color w:val="auto"/>
          <w:spacing w:val="-4"/>
          <w:sz w:val="52"/>
          <w:szCs w:val="52"/>
          <w14:textOutline w14:w="8712" w14:cap="flat" w14:cmpd="sng" w14:algn="ctr">
            <w14:solidFill>
              <w14:srgbClr w14:val="000000"/>
            </w14:solidFill>
            <w14:prstDash w14:val="solid"/>
            <w14:miter w14:val="0"/>
          </w14:textOutline>
        </w:rPr>
      </w:pPr>
    </w:p>
    <w:p w14:paraId="0C8B3CF8">
      <w:pPr>
        <w:kinsoku/>
        <w:wordWrap w:val="0"/>
        <w:topLinePunct/>
        <w:autoSpaceDE/>
        <w:autoSpaceDN/>
        <w:adjustRightInd/>
        <w:snapToGrid/>
        <w:jc w:val="center"/>
        <w:rPr>
          <w:rFonts w:ascii="Times New Roman" w:hAnsi="Times New Roman" w:eastAsia="黑体" w:cs="Times New Roman"/>
          <w:color w:val="auto"/>
          <w:sz w:val="52"/>
          <w:szCs w:val="52"/>
        </w:rPr>
      </w:pPr>
      <w:r>
        <w:rPr>
          <w:rFonts w:ascii="Times New Roman" w:hAnsi="Times New Roman" w:eastAsia="黑体" w:cs="Times New Roman"/>
          <w:color w:val="auto"/>
          <w:spacing w:val="-4"/>
          <w:sz w:val="52"/>
          <w:szCs w:val="52"/>
          <w14:textOutline w14:w="8712" w14:cap="flat" w14:cmpd="sng" w14:algn="ctr">
            <w14:solidFill>
              <w14:srgbClr w14:val="000000"/>
            </w14:solidFill>
            <w14:prstDash w14:val="solid"/>
            <w14:miter w14:val="0"/>
          </w14:textOutline>
        </w:rPr>
        <w:t>小额项目工程施工响应文件</w:t>
      </w:r>
    </w:p>
    <w:p w14:paraId="209B6748">
      <w:pPr>
        <w:kinsoku/>
        <w:topLinePunct/>
        <w:jc w:val="center"/>
        <w:rPr>
          <w:rFonts w:ascii="Times New Roman" w:hAnsi="Times New Roman" w:cs="Times New Roman"/>
          <w:color w:val="auto"/>
        </w:rPr>
      </w:pPr>
    </w:p>
    <w:p w14:paraId="6BAACDDA">
      <w:pPr>
        <w:kinsoku/>
        <w:topLinePunct/>
        <w:jc w:val="center"/>
        <w:rPr>
          <w:rFonts w:ascii="Times New Roman" w:hAnsi="Times New Roman" w:cs="Times New Roman"/>
          <w:color w:val="auto"/>
        </w:rPr>
      </w:pPr>
    </w:p>
    <w:p w14:paraId="4CD86E49">
      <w:pPr>
        <w:pStyle w:val="3"/>
        <w:rPr>
          <w:rFonts w:ascii="Times New Roman" w:hAnsi="Times New Roman" w:cs="Times New Roman"/>
          <w:color w:val="auto"/>
        </w:rPr>
      </w:pPr>
      <w:r>
        <w:rPr>
          <w:rFonts w:ascii="Times New Roman" w:hAnsi="Times New Roman" w:cs="Times New Roman"/>
          <w:color w:val="auto"/>
        </w:rPr>
        <w:t>(封面)</w:t>
      </w:r>
    </w:p>
    <w:p w14:paraId="0D6C9FF2">
      <w:pPr>
        <w:kinsoku/>
        <w:topLinePunct/>
        <w:rPr>
          <w:rFonts w:ascii="Times New Roman" w:hAnsi="Times New Roman" w:cs="Times New Roman"/>
          <w:color w:val="auto"/>
        </w:rPr>
      </w:pPr>
    </w:p>
    <w:p w14:paraId="1A473983">
      <w:pPr>
        <w:kinsoku/>
        <w:wordWrap w:val="0"/>
        <w:topLinePunct/>
        <w:autoSpaceDE/>
        <w:autoSpaceDN/>
        <w:adjustRightInd/>
        <w:snapToGrid/>
        <w:rPr>
          <w:rFonts w:ascii="Times New Roman" w:hAnsi="Times New Roman" w:cs="Times New Roman"/>
          <w:color w:val="auto"/>
          <w:sz w:val="21"/>
        </w:rPr>
      </w:pPr>
    </w:p>
    <w:p w14:paraId="23933F02">
      <w:pPr>
        <w:kinsoku/>
        <w:wordWrap w:val="0"/>
        <w:topLinePunct/>
        <w:autoSpaceDE/>
        <w:autoSpaceDN/>
        <w:adjustRightInd/>
        <w:snapToGrid/>
        <w:rPr>
          <w:rFonts w:ascii="Times New Roman" w:hAnsi="Times New Roman" w:cs="Times New Roman"/>
          <w:color w:val="auto"/>
          <w:sz w:val="21"/>
        </w:rPr>
      </w:pPr>
    </w:p>
    <w:p w14:paraId="5BFBB11C">
      <w:pPr>
        <w:kinsoku/>
        <w:wordWrap w:val="0"/>
        <w:topLinePunct/>
        <w:autoSpaceDE/>
        <w:autoSpaceDN/>
        <w:adjustRightInd/>
        <w:snapToGrid/>
        <w:spacing w:line="580" w:lineRule="exact"/>
        <w:rPr>
          <w:rFonts w:ascii="Times New Roman" w:hAnsi="Times New Roman" w:cs="Times New Roman"/>
          <w:color w:val="auto"/>
          <w:sz w:val="21"/>
        </w:rPr>
      </w:pPr>
    </w:p>
    <w:p w14:paraId="7FBA72BB">
      <w:pPr>
        <w:kinsoku/>
        <w:wordWrap w:val="0"/>
        <w:topLinePunct/>
        <w:autoSpaceDE/>
        <w:autoSpaceDN/>
        <w:adjustRightInd/>
        <w:snapToGrid/>
        <w:spacing w:before="240" w:beforeLines="100" w:after="240" w:afterLines="100" w:line="580" w:lineRule="exact"/>
        <w:ind w:firstLine="1160" w:firstLineChars="400"/>
        <w:rPr>
          <w:rFonts w:ascii="Times New Roman" w:hAnsi="Times New Roman" w:eastAsia="仿宋" w:cs="Times New Roman"/>
          <w:color w:val="auto"/>
        </w:rPr>
      </w:pPr>
      <w:r>
        <w:rPr>
          <w:rFonts w:ascii="Times New Roman" w:hAnsi="Times New Roman" w:eastAsia="仿宋" w:cs="Times New Roman"/>
          <w:color w:val="auto"/>
          <w:spacing w:val="-5"/>
          <w:sz w:val="30"/>
          <w:szCs w:val="30"/>
        </w:rPr>
        <w:t>项目名称：</w:t>
      </w:r>
      <w:r>
        <w:rPr>
          <w:rFonts w:ascii="Times New Roman" w:hAnsi="Times New Roman" w:eastAsia="仿宋" w:cs="Times New Roman"/>
          <w:color w:val="auto"/>
          <w:sz w:val="30"/>
          <w:szCs w:val="30"/>
          <w:u w:val="single"/>
        </w:rPr>
        <w:t xml:space="preserve">                             </w:t>
      </w:r>
      <w:r>
        <w:rPr>
          <w:rFonts w:hint="eastAsia" w:ascii="Times New Roman" w:hAnsi="Times New Roman" w:eastAsia="仿宋" w:cs="Times New Roman"/>
          <w:color w:val="auto"/>
          <w:sz w:val="30"/>
          <w:szCs w:val="30"/>
          <w:u w:val="single"/>
        </w:rPr>
        <w:t xml:space="preserve">                                        </w:t>
      </w:r>
      <w:r>
        <w:rPr>
          <w:rFonts w:ascii="Times New Roman" w:hAnsi="Times New Roman" w:eastAsia="仿宋" w:cs="Times New Roman"/>
          <w:color w:val="auto"/>
          <w:sz w:val="30"/>
          <w:szCs w:val="30"/>
          <w:u w:val="single"/>
        </w:rPr>
        <w:t xml:space="preserve">           </w:t>
      </w:r>
    </w:p>
    <w:p w14:paraId="5C19B70C">
      <w:pPr>
        <w:kinsoku/>
        <w:wordWrap w:val="0"/>
        <w:topLinePunct/>
        <w:autoSpaceDE/>
        <w:autoSpaceDN/>
        <w:adjustRightInd/>
        <w:snapToGrid/>
        <w:spacing w:before="240" w:beforeLines="100" w:after="240" w:afterLines="100" w:line="580" w:lineRule="exact"/>
        <w:ind w:firstLine="1184" w:firstLineChars="400"/>
        <w:rPr>
          <w:rFonts w:ascii="Times New Roman" w:hAnsi="Times New Roman" w:eastAsia="仿宋" w:cs="Times New Roman"/>
          <w:color w:val="auto"/>
          <w:spacing w:val="-2"/>
          <w:sz w:val="30"/>
          <w:szCs w:val="30"/>
          <w:u w:val="single"/>
        </w:rPr>
      </w:pPr>
      <w:r>
        <w:rPr>
          <w:rFonts w:ascii="Times New Roman" w:hAnsi="Times New Roman" w:eastAsia="仿宋" w:cs="Times New Roman"/>
          <w:color w:val="auto"/>
          <w:spacing w:val="-2"/>
          <w:sz w:val="30"/>
          <w:szCs w:val="30"/>
        </w:rPr>
        <w:t>文件内容：</w:t>
      </w:r>
      <w:r>
        <w:rPr>
          <w:rFonts w:ascii="Times New Roman" w:hAnsi="Times New Roman" w:eastAsia="仿宋" w:cs="Times New Roman"/>
          <w:color w:val="auto"/>
          <w:spacing w:val="-2"/>
          <w:sz w:val="30"/>
          <w:szCs w:val="30"/>
          <w:u w:val="single"/>
        </w:rPr>
        <w:t>　　　　商务标文件　　　　　　　　　　　</w:t>
      </w:r>
    </w:p>
    <w:p w14:paraId="7BE6DAB7">
      <w:pPr>
        <w:kinsoku/>
        <w:wordWrap w:val="0"/>
        <w:topLinePunct/>
        <w:autoSpaceDE/>
        <w:autoSpaceDN/>
        <w:adjustRightInd/>
        <w:snapToGrid/>
        <w:spacing w:before="240" w:beforeLines="100" w:after="240" w:afterLines="100" w:line="580" w:lineRule="exact"/>
        <w:ind w:firstLine="1184" w:firstLineChars="400"/>
        <w:rPr>
          <w:rFonts w:ascii="Times New Roman" w:hAnsi="Times New Roman" w:cs="Times New Roman"/>
          <w:color w:val="auto"/>
          <w:sz w:val="21"/>
        </w:rPr>
      </w:pPr>
      <w:r>
        <w:rPr>
          <w:rFonts w:ascii="Times New Roman" w:hAnsi="Times New Roman" w:eastAsia="仿宋" w:cs="Times New Roman"/>
          <w:color w:val="auto"/>
          <w:spacing w:val="-2"/>
          <w:sz w:val="30"/>
          <w:szCs w:val="30"/>
        </w:rPr>
        <w:t>潜在承包人：</w:t>
      </w:r>
      <w:r>
        <w:rPr>
          <w:rFonts w:ascii="Times New Roman" w:hAnsi="Times New Roman" w:eastAsia="仿宋" w:cs="Times New Roman"/>
          <w:color w:val="auto"/>
          <w:spacing w:val="-2"/>
          <w:sz w:val="30"/>
          <w:szCs w:val="30"/>
          <w:u w:val="single"/>
        </w:rPr>
        <w:t xml:space="preserve">              </w:t>
      </w:r>
      <w:r>
        <w:rPr>
          <w:rFonts w:ascii="Times New Roman" w:hAnsi="Times New Roman" w:eastAsia="仿宋" w:cs="Times New Roman"/>
          <w:color w:val="auto"/>
          <w:spacing w:val="-1"/>
          <w:sz w:val="30"/>
          <w:szCs w:val="30"/>
          <w:u w:val="single"/>
        </w:rPr>
        <w:t xml:space="preserve">      </w:t>
      </w:r>
      <w:r>
        <w:rPr>
          <w:rFonts w:hint="eastAsia" w:ascii="Times New Roman" w:hAnsi="Times New Roman" w:eastAsia="仿宋" w:cs="Times New Roman"/>
          <w:color w:val="auto"/>
          <w:spacing w:val="-1"/>
          <w:sz w:val="30"/>
          <w:szCs w:val="30"/>
          <w:u w:val="single"/>
        </w:rPr>
        <w:t xml:space="preserve">                            </w:t>
      </w:r>
      <w:r>
        <w:rPr>
          <w:rFonts w:ascii="Times New Roman" w:hAnsi="Times New Roman" w:eastAsia="仿宋" w:cs="Times New Roman"/>
          <w:color w:val="auto"/>
          <w:spacing w:val="-1"/>
          <w:sz w:val="30"/>
          <w:szCs w:val="30"/>
          <w:u w:val="single"/>
        </w:rPr>
        <w:t xml:space="preserve">       (电子签名)</w:t>
      </w:r>
      <w:r>
        <w:rPr>
          <w:rFonts w:hint="eastAsia" w:ascii="Times New Roman" w:hAnsi="Times New Roman" w:eastAsia="仿宋" w:cs="Times New Roman"/>
          <w:color w:val="auto"/>
          <w:spacing w:val="-1"/>
          <w:sz w:val="30"/>
          <w:szCs w:val="30"/>
          <w:u w:val="single"/>
        </w:rPr>
        <w:t xml:space="preserve">  </w:t>
      </w:r>
      <w:r>
        <w:rPr>
          <w:rFonts w:ascii="Times New Roman" w:hAnsi="Times New Roman" w:eastAsia="仿宋" w:cs="Times New Roman"/>
          <w:color w:val="auto"/>
          <w:sz w:val="30"/>
          <w:szCs w:val="30"/>
          <w:u w:val="single"/>
        </w:rPr>
        <w:t xml:space="preserve"> </w:t>
      </w:r>
    </w:p>
    <w:p w14:paraId="6AB37FE7">
      <w:pPr>
        <w:kinsoku/>
        <w:wordWrap w:val="0"/>
        <w:topLinePunct/>
        <w:autoSpaceDE/>
        <w:autoSpaceDN/>
        <w:adjustRightInd/>
        <w:snapToGrid/>
        <w:spacing w:before="240" w:beforeLines="100" w:after="240" w:afterLines="100" w:line="580" w:lineRule="exact"/>
        <w:ind w:firstLine="1168" w:firstLineChars="400"/>
        <w:rPr>
          <w:rFonts w:ascii="Times New Roman" w:hAnsi="Times New Roman" w:eastAsia="仿宋" w:cs="Times New Roman"/>
          <w:color w:val="auto"/>
          <w:sz w:val="30"/>
          <w:szCs w:val="30"/>
        </w:rPr>
      </w:pPr>
      <w:r>
        <w:rPr>
          <w:rFonts w:ascii="Times New Roman" w:hAnsi="Times New Roman" w:eastAsia="仿宋" w:cs="Times New Roman"/>
          <w:color w:val="auto"/>
          <w:spacing w:val="-4"/>
          <w:sz w:val="30"/>
          <w:szCs w:val="30"/>
        </w:rPr>
        <w:t>法定代</w:t>
      </w:r>
      <w:r>
        <w:rPr>
          <w:rFonts w:ascii="Times New Roman" w:hAnsi="Times New Roman" w:eastAsia="仿宋" w:cs="Times New Roman"/>
          <w:color w:val="auto"/>
          <w:spacing w:val="-3"/>
          <w:sz w:val="30"/>
          <w:szCs w:val="30"/>
        </w:rPr>
        <w:t>表</w:t>
      </w:r>
      <w:r>
        <w:rPr>
          <w:rFonts w:ascii="Times New Roman" w:hAnsi="Times New Roman" w:eastAsia="仿宋" w:cs="Times New Roman"/>
          <w:color w:val="auto"/>
          <w:spacing w:val="-2"/>
          <w:sz w:val="30"/>
          <w:szCs w:val="30"/>
        </w:rPr>
        <w:t>人或其委托代理人：</w:t>
      </w:r>
      <w:r>
        <w:rPr>
          <w:rFonts w:ascii="Times New Roman" w:hAnsi="Times New Roman" w:eastAsia="仿宋" w:cs="Times New Roman"/>
          <w:color w:val="auto"/>
          <w:spacing w:val="-2"/>
          <w:sz w:val="30"/>
          <w:szCs w:val="30"/>
          <w:u w:val="single"/>
        </w:rPr>
        <w:t xml:space="preserve">           </w:t>
      </w:r>
      <w:r>
        <w:rPr>
          <w:rFonts w:hint="eastAsia" w:ascii="Times New Roman" w:hAnsi="Times New Roman" w:eastAsia="仿宋" w:cs="Times New Roman"/>
          <w:color w:val="auto"/>
          <w:spacing w:val="-2"/>
          <w:sz w:val="30"/>
          <w:szCs w:val="30"/>
          <w:u w:val="single"/>
        </w:rPr>
        <w:t xml:space="preserve">            </w:t>
      </w:r>
      <w:r>
        <w:rPr>
          <w:rFonts w:ascii="Times New Roman" w:hAnsi="Times New Roman" w:eastAsia="仿宋" w:cs="Times New Roman"/>
          <w:color w:val="auto"/>
          <w:spacing w:val="-2"/>
          <w:sz w:val="30"/>
          <w:szCs w:val="30"/>
          <w:u w:val="single"/>
        </w:rPr>
        <w:t>　(</w:t>
      </w:r>
      <w:r>
        <w:rPr>
          <w:rFonts w:ascii="Times New Roman" w:hAnsi="Times New Roman" w:eastAsia="仿宋" w:cs="Times New Roman"/>
          <w:color w:val="auto"/>
          <w:spacing w:val="-1"/>
          <w:sz w:val="30"/>
          <w:szCs w:val="30"/>
          <w:u w:val="single"/>
        </w:rPr>
        <w:t>电子签名</w:t>
      </w:r>
      <w:r>
        <w:rPr>
          <w:rFonts w:ascii="Times New Roman" w:hAnsi="Times New Roman" w:eastAsia="仿宋" w:cs="Times New Roman"/>
          <w:color w:val="auto"/>
          <w:spacing w:val="-2"/>
          <w:sz w:val="30"/>
          <w:szCs w:val="30"/>
          <w:u w:val="single"/>
        </w:rPr>
        <w:t>)</w:t>
      </w:r>
      <w:r>
        <w:rPr>
          <w:rFonts w:ascii="Times New Roman" w:hAnsi="Times New Roman" w:eastAsia="仿宋" w:cs="Times New Roman"/>
          <w:color w:val="auto"/>
          <w:sz w:val="30"/>
          <w:szCs w:val="30"/>
          <w:u w:val="single"/>
        </w:rPr>
        <w:t xml:space="preserve"> </w:t>
      </w:r>
      <w:r>
        <w:rPr>
          <w:rFonts w:hint="eastAsia" w:ascii="Times New Roman" w:hAnsi="Times New Roman" w:eastAsia="仿宋" w:cs="Times New Roman"/>
          <w:color w:val="auto"/>
          <w:sz w:val="30"/>
          <w:szCs w:val="30"/>
          <w:u w:val="single"/>
        </w:rPr>
        <w:t xml:space="preserve">  </w:t>
      </w:r>
    </w:p>
    <w:p w14:paraId="66DB658F">
      <w:pPr>
        <w:kinsoku/>
        <w:wordWrap w:val="0"/>
        <w:topLinePunct/>
        <w:autoSpaceDE/>
        <w:autoSpaceDN/>
        <w:adjustRightInd/>
        <w:snapToGrid/>
        <w:ind w:firstLine="420" w:firstLineChars="200"/>
        <w:rPr>
          <w:rFonts w:ascii="Times New Roman" w:hAnsi="Times New Roman" w:cs="Times New Roman"/>
          <w:color w:val="auto"/>
          <w:sz w:val="21"/>
        </w:rPr>
      </w:pPr>
    </w:p>
    <w:p w14:paraId="6902F926">
      <w:pPr>
        <w:kinsoku/>
        <w:wordWrap w:val="0"/>
        <w:topLinePunct/>
        <w:autoSpaceDE/>
        <w:autoSpaceDN/>
        <w:adjustRightInd/>
        <w:snapToGrid/>
        <w:ind w:firstLine="420" w:firstLineChars="200"/>
        <w:rPr>
          <w:rFonts w:ascii="Times New Roman" w:hAnsi="Times New Roman" w:cs="Times New Roman"/>
          <w:color w:val="auto"/>
          <w:sz w:val="21"/>
        </w:rPr>
      </w:pPr>
    </w:p>
    <w:p w14:paraId="724A32DF">
      <w:pPr>
        <w:kinsoku/>
        <w:wordWrap w:val="0"/>
        <w:topLinePunct/>
        <w:autoSpaceDE/>
        <w:autoSpaceDN/>
        <w:adjustRightInd/>
        <w:snapToGrid/>
        <w:ind w:firstLine="420" w:firstLineChars="200"/>
        <w:rPr>
          <w:rFonts w:ascii="Times New Roman" w:hAnsi="Times New Roman" w:cs="Times New Roman"/>
          <w:color w:val="auto"/>
          <w:sz w:val="21"/>
        </w:rPr>
      </w:pPr>
    </w:p>
    <w:p w14:paraId="54649A6E">
      <w:pPr>
        <w:kinsoku/>
        <w:wordWrap w:val="0"/>
        <w:topLinePunct/>
        <w:autoSpaceDE/>
        <w:autoSpaceDN/>
        <w:adjustRightInd/>
        <w:snapToGrid/>
        <w:ind w:firstLine="420" w:firstLineChars="200"/>
        <w:rPr>
          <w:rFonts w:ascii="Times New Roman" w:hAnsi="Times New Roman" w:cs="Times New Roman"/>
          <w:color w:val="auto"/>
          <w:sz w:val="21"/>
        </w:rPr>
      </w:pPr>
    </w:p>
    <w:p w14:paraId="5A7AB7ED">
      <w:pPr>
        <w:kinsoku/>
        <w:wordWrap w:val="0"/>
        <w:topLinePunct/>
        <w:autoSpaceDE/>
        <w:autoSpaceDN/>
        <w:adjustRightInd/>
        <w:snapToGrid/>
        <w:ind w:firstLine="420" w:firstLineChars="200"/>
        <w:rPr>
          <w:rFonts w:ascii="Times New Roman" w:hAnsi="Times New Roman" w:cs="Times New Roman"/>
          <w:color w:val="auto"/>
          <w:sz w:val="21"/>
        </w:rPr>
      </w:pPr>
    </w:p>
    <w:p w14:paraId="00B6734D">
      <w:pPr>
        <w:kinsoku/>
        <w:wordWrap w:val="0"/>
        <w:topLinePunct/>
        <w:autoSpaceDE/>
        <w:autoSpaceDN/>
        <w:adjustRightInd/>
        <w:snapToGrid/>
        <w:ind w:firstLine="420" w:firstLineChars="200"/>
        <w:rPr>
          <w:rFonts w:ascii="Times New Roman" w:hAnsi="Times New Roman" w:cs="Times New Roman"/>
          <w:color w:val="auto"/>
          <w:sz w:val="21"/>
        </w:rPr>
      </w:pPr>
    </w:p>
    <w:p w14:paraId="45B73E25">
      <w:pPr>
        <w:kinsoku/>
        <w:wordWrap w:val="0"/>
        <w:topLinePunct/>
        <w:autoSpaceDE/>
        <w:autoSpaceDN/>
        <w:adjustRightInd/>
        <w:snapToGrid/>
        <w:ind w:firstLine="420" w:firstLineChars="200"/>
        <w:rPr>
          <w:rFonts w:ascii="Times New Roman" w:hAnsi="Times New Roman" w:cs="Times New Roman"/>
          <w:color w:val="auto"/>
          <w:sz w:val="21"/>
        </w:rPr>
      </w:pPr>
    </w:p>
    <w:p w14:paraId="05EEAC4C">
      <w:pPr>
        <w:kinsoku/>
        <w:wordWrap w:val="0"/>
        <w:topLinePunct/>
        <w:autoSpaceDE/>
        <w:autoSpaceDN/>
        <w:adjustRightInd/>
        <w:snapToGrid/>
        <w:ind w:firstLine="572" w:firstLineChars="200"/>
        <w:jc w:val="center"/>
        <w:rPr>
          <w:rFonts w:ascii="Times New Roman" w:hAnsi="Times New Roman" w:eastAsia="仿宋" w:cs="Times New Roman"/>
          <w:color w:val="auto"/>
          <w:sz w:val="30"/>
          <w:szCs w:val="30"/>
        </w:rPr>
      </w:pPr>
      <w:r>
        <w:rPr>
          <w:rFonts w:ascii="Times New Roman" w:hAnsi="Times New Roman" w:eastAsia="仿宋" w:cs="Times New Roman"/>
          <w:color w:val="auto"/>
          <w:spacing w:val="-7"/>
          <w:sz w:val="30"/>
          <w:szCs w:val="30"/>
        </w:rPr>
        <w:t xml:space="preserve">日期：      年     月     </w:t>
      </w:r>
      <w:r>
        <w:rPr>
          <w:rFonts w:ascii="Times New Roman" w:hAnsi="Times New Roman" w:eastAsia="仿宋" w:cs="Times New Roman"/>
          <w:color w:val="auto"/>
          <w:spacing w:val="-5"/>
          <w:sz w:val="30"/>
          <w:szCs w:val="30"/>
        </w:rPr>
        <w:t>日</w:t>
      </w:r>
    </w:p>
    <w:p w14:paraId="23F7CC8F">
      <w:pPr>
        <w:pStyle w:val="3"/>
        <w:kinsoku/>
        <w:topLinePunct/>
        <w:rPr>
          <w:rFonts w:ascii="Times New Roman" w:hAnsi="Times New Roman" w:cs="Times New Roman"/>
          <w:b w:val="0"/>
          <w:bCs w:val="0"/>
          <w:color w:val="auto"/>
          <w:spacing w:val="-1"/>
          <w:sz w:val="44"/>
          <w:szCs w:val="44"/>
          <w14:textOutline w14:w="5448" w14:cap="flat" w14:cmpd="sng" w14:algn="ctr">
            <w14:solidFill>
              <w14:srgbClr w14:val="000000"/>
            </w14:solidFill>
            <w14:prstDash w14:val="solid"/>
            <w14:miter w14:val="0"/>
          </w14:textOutline>
        </w:rPr>
        <w:sectPr>
          <w:footerReference r:id="rId33" w:type="first"/>
          <w:footerReference r:id="rId32" w:type="default"/>
          <w:pgSz w:w="11906" w:h="16838"/>
          <w:pgMar w:top="1440" w:right="1080" w:bottom="1440" w:left="1080" w:header="850" w:footer="850" w:gutter="0"/>
          <w:cols w:space="0" w:num="1"/>
          <w:titlePg/>
        </w:sectPr>
      </w:pPr>
    </w:p>
    <w:p w14:paraId="4658B02B">
      <w:pPr>
        <w:pStyle w:val="3"/>
        <w:kinsoku/>
        <w:topLinePunct/>
        <w:rPr>
          <w:rFonts w:ascii="Times New Roman" w:hAnsi="Times New Roman" w:cs="Times New Roman"/>
          <w:b w:val="0"/>
          <w:bCs w:val="0"/>
          <w:color w:val="auto"/>
          <w:spacing w:val="-1"/>
          <w:sz w:val="44"/>
          <w:szCs w:val="44"/>
          <w14:textOutline w14:w="5448" w14:cap="flat" w14:cmpd="sng" w14:algn="ctr">
            <w14:solidFill>
              <w14:srgbClr w14:val="000000"/>
            </w14:solidFill>
            <w14:prstDash w14:val="solid"/>
            <w14:miter w14:val="0"/>
          </w14:textOutline>
        </w:rPr>
      </w:pPr>
      <w:r>
        <w:rPr>
          <w:rFonts w:ascii="Times New Roman" w:hAnsi="Times New Roman" w:cs="Times New Roman"/>
          <w:b w:val="0"/>
          <w:bCs w:val="0"/>
          <w:color w:val="auto"/>
          <w:spacing w:val="-1"/>
          <w:sz w:val="44"/>
          <w:szCs w:val="44"/>
          <w14:textOutline w14:w="5448" w14:cap="flat" w14:cmpd="sng" w14:algn="ctr">
            <w14:solidFill>
              <w14:srgbClr w14:val="000000"/>
            </w14:solidFill>
            <w14:prstDash w14:val="solid"/>
            <w14:miter w14:val="0"/>
          </w14:textOutline>
        </w:rPr>
        <w:t>目   录</w:t>
      </w:r>
    </w:p>
    <w:p w14:paraId="2011B0AF">
      <w:pPr>
        <w:widowControl w:val="0"/>
        <w:ind w:firstLine="422" w:firstLineChars="150"/>
        <w:rPr>
          <w:rFonts w:ascii="Times New Roman" w:hAnsi="Times New Roman" w:eastAsia="仿宋_GB2312" w:cs="Times New Roman"/>
          <w:b/>
          <w:bCs/>
          <w:color w:val="auto"/>
          <w:sz w:val="28"/>
          <w:szCs w:val="28"/>
        </w:rPr>
      </w:pPr>
    </w:p>
    <w:p w14:paraId="7D871DCB">
      <w:pPr>
        <w:widowControl w:val="0"/>
        <w:spacing w:line="360" w:lineRule="auto"/>
        <w:ind w:firstLine="360" w:firstLineChars="150"/>
        <w:jc w:val="distribute"/>
        <w:rPr>
          <w:rFonts w:ascii="Times New Roman" w:hAnsi="Times New Roman" w:eastAsia="宋体" w:cs="Times New Roman"/>
          <w:color w:val="auto"/>
        </w:rPr>
      </w:pPr>
      <w:r>
        <w:rPr>
          <w:rFonts w:hint="eastAsia" w:ascii="Times New Roman" w:hAnsi="Times New Roman" w:eastAsia="宋体" w:cs="Times New Roman"/>
          <w:color w:val="auto"/>
        </w:rPr>
        <w:t>1.</w:t>
      </w:r>
      <w:r>
        <w:rPr>
          <w:rFonts w:ascii="Times New Roman" w:hAnsi="Times New Roman" w:eastAsia="宋体" w:cs="Times New Roman"/>
          <w:color w:val="auto"/>
        </w:rPr>
        <w:t>响应函及附录…………………………………………………………………(页码)</w:t>
      </w:r>
    </w:p>
    <w:p w14:paraId="3C351622">
      <w:pPr>
        <w:widowControl w:val="0"/>
        <w:spacing w:line="360" w:lineRule="auto"/>
        <w:ind w:firstLine="360" w:firstLineChars="150"/>
        <w:jc w:val="distribute"/>
        <w:rPr>
          <w:rFonts w:ascii="Times New Roman" w:hAnsi="Times New Roman" w:eastAsia="宋体" w:cs="Times New Roman"/>
          <w:color w:val="auto"/>
        </w:rPr>
      </w:pPr>
      <w:r>
        <w:rPr>
          <w:rFonts w:hint="eastAsia" w:ascii="Times New Roman" w:hAnsi="Times New Roman" w:eastAsia="宋体" w:cs="Times New Roman"/>
          <w:color w:val="auto"/>
        </w:rPr>
        <w:t>2.联合体协议书（如有，根据发包人格式要求）</w:t>
      </w:r>
      <w:r>
        <w:rPr>
          <w:rFonts w:ascii="Times New Roman" w:hAnsi="Times New Roman" w:eastAsia="宋体" w:cs="Times New Roman"/>
          <w:color w:val="auto"/>
        </w:rPr>
        <w:t>………………………………………(页码)</w:t>
      </w:r>
    </w:p>
    <w:p w14:paraId="523B2B20">
      <w:pPr>
        <w:widowControl w:val="0"/>
        <w:spacing w:line="360" w:lineRule="auto"/>
        <w:ind w:firstLine="360" w:firstLineChars="150"/>
        <w:jc w:val="distribute"/>
        <w:rPr>
          <w:rFonts w:ascii="Times New Roman" w:hAnsi="Times New Roman" w:eastAsia="宋体" w:cs="Times New Roman"/>
          <w:color w:val="auto"/>
        </w:rPr>
      </w:pPr>
      <w:r>
        <w:rPr>
          <w:rFonts w:hint="eastAsia" w:ascii="Times New Roman" w:hAnsi="Times New Roman" w:eastAsia="宋体" w:cs="Times New Roman"/>
          <w:color w:val="auto"/>
        </w:rPr>
        <w:t>3</w:t>
      </w:r>
      <w:r>
        <w:rPr>
          <w:rFonts w:ascii="Times New Roman" w:hAnsi="Times New Roman" w:eastAsia="宋体" w:cs="Times New Roman"/>
          <w:color w:val="auto"/>
        </w:rPr>
        <w:t>.工程量清单报价说明……………………………………………………………………(页码)</w:t>
      </w:r>
    </w:p>
    <w:p w14:paraId="00FB277A">
      <w:pPr>
        <w:widowControl w:val="0"/>
        <w:spacing w:line="360" w:lineRule="auto"/>
        <w:ind w:firstLine="360" w:firstLineChars="150"/>
        <w:jc w:val="distribute"/>
        <w:rPr>
          <w:rFonts w:ascii="Times New Roman" w:hAnsi="Times New Roman" w:eastAsia="宋体" w:cs="Times New Roman"/>
          <w:color w:val="auto"/>
        </w:rPr>
      </w:pPr>
      <w:r>
        <w:rPr>
          <w:rFonts w:hint="eastAsia" w:ascii="Times New Roman" w:hAnsi="Times New Roman" w:eastAsia="宋体" w:cs="Times New Roman"/>
          <w:color w:val="auto"/>
        </w:rPr>
        <w:t>4</w:t>
      </w:r>
      <w:r>
        <w:rPr>
          <w:rFonts w:ascii="Times New Roman" w:hAnsi="Times New Roman" w:eastAsia="宋体" w:cs="Times New Roman"/>
          <w:color w:val="auto"/>
        </w:rPr>
        <w:t>.已标价工程量清单…………………………………………………………………(页码)</w:t>
      </w:r>
    </w:p>
    <w:p w14:paraId="1D889533">
      <w:pPr>
        <w:widowControl w:val="0"/>
        <w:spacing w:line="360" w:lineRule="auto"/>
        <w:ind w:firstLine="360" w:firstLineChars="150"/>
        <w:jc w:val="distribute"/>
        <w:rPr>
          <w:rFonts w:ascii="Times New Roman" w:hAnsi="Times New Roman" w:eastAsia="宋体" w:cs="Times New Roman"/>
          <w:color w:val="auto"/>
        </w:rPr>
      </w:pPr>
      <w:r>
        <w:rPr>
          <w:rFonts w:hint="eastAsia" w:ascii="Times New Roman" w:hAnsi="Times New Roman" w:eastAsia="宋体" w:cs="Times New Roman"/>
          <w:color w:val="auto"/>
        </w:rPr>
        <w:t>5</w:t>
      </w:r>
      <w:r>
        <w:rPr>
          <w:rFonts w:ascii="Times New Roman" w:hAnsi="Times New Roman" w:eastAsia="宋体" w:cs="Times New Roman"/>
          <w:color w:val="auto"/>
        </w:rPr>
        <w:t>.拟分包项目名称和分包商情况(如有)…………………………………………(页码)</w:t>
      </w:r>
    </w:p>
    <w:p w14:paraId="366D333B">
      <w:pPr>
        <w:kinsoku/>
        <w:rPr>
          <w:rFonts w:ascii="Times New Roman" w:hAnsi="Times New Roman" w:eastAsia="宋体" w:cs="Times New Roman"/>
          <w:b/>
          <w:bCs/>
          <w:color w:val="auto"/>
        </w:rPr>
      </w:pPr>
    </w:p>
    <w:p w14:paraId="0C3D785F">
      <w:pPr>
        <w:kinsoku/>
        <w:rPr>
          <w:rFonts w:ascii="Times New Roman" w:hAnsi="Times New Roman" w:eastAsia="宋体" w:cs="Times New Roman"/>
          <w:b/>
          <w:bCs/>
          <w:color w:val="auto"/>
        </w:rPr>
      </w:pPr>
    </w:p>
    <w:p w14:paraId="3613AE9D">
      <w:pPr>
        <w:kinsoku/>
        <w:spacing w:line="400" w:lineRule="exact"/>
        <w:rPr>
          <w:rFonts w:ascii="Times New Roman" w:hAnsi="Times New Roman" w:eastAsia="宋体" w:cs="Times New Roman"/>
          <w:b/>
          <w:color w:val="auto"/>
          <w:sz w:val="32"/>
          <w:szCs w:val="32"/>
        </w:rPr>
      </w:pPr>
      <w:r>
        <w:rPr>
          <w:rFonts w:ascii="Times New Roman" w:hAnsi="Times New Roman" w:eastAsia="宋体" w:cs="Times New Roman"/>
          <w:b/>
          <w:bCs/>
          <w:color w:val="auto"/>
        </w:rPr>
        <w:t>注：以上目录是编制潜在承包人响应文件的基本格式要求，各潜在承包人可根据自身情况进一步细化。各潜在承包人请务必在投标工具中对应评审标准关联相应文件。</w:t>
      </w:r>
    </w:p>
    <w:p w14:paraId="7B88C0BA">
      <w:pPr>
        <w:pStyle w:val="3"/>
        <w:kinsoku/>
        <w:topLinePunct/>
        <w:rPr>
          <w:rFonts w:ascii="Times New Roman" w:hAnsi="Times New Roman" w:eastAsia="宋体" w:cs="Times New Roman"/>
          <w:b w:val="0"/>
          <w:bCs w:val="0"/>
          <w:color w:val="auto"/>
          <w:spacing w:val="-1"/>
          <w:sz w:val="44"/>
          <w:szCs w:val="44"/>
          <w14:textOutline w14:w="5448" w14:cap="flat" w14:cmpd="sng" w14:algn="ctr">
            <w14:solidFill>
              <w14:srgbClr w14:val="000000"/>
            </w14:solidFill>
            <w14:prstDash w14:val="solid"/>
            <w14:miter w14:val="0"/>
          </w14:textOutline>
        </w:rPr>
        <w:sectPr>
          <w:pgSz w:w="11906" w:h="16838"/>
          <w:pgMar w:top="1440" w:right="1080" w:bottom="1440" w:left="1080" w:header="850" w:footer="850" w:gutter="0"/>
          <w:cols w:space="0" w:num="1"/>
          <w:titlePg/>
        </w:sectPr>
      </w:pPr>
    </w:p>
    <w:p w14:paraId="1397D61D">
      <w:pPr>
        <w:pStyle w:val="3"/>
        <w:kinsoku/>
        <w:topLinePunct/>
        <w:rPr>
          <w:rFonts w:ascii="Times New Roman" w:hAnsi="Times New Roman" w:eastAsia="宋体" w:cs="Times New Roman"/>
          <w:b w:val="0"/>
          <w:bCs w:val="0"/>
          <w:color w:val="auto"/>
          <w:spacing w:val="-1"/>
          <w:sz w:val="44"/>
          <w:szCs w:val="44"/>
          <w14:textOutline w14:w="5448" w14:cap="flat" w14:cmpd="sng" w14:algn="ctr">
            <w14:solidFill>
              <w14:srgbClr w14:val="000000"/>
            </w14:solidFill>
            <w14:prstDash w14:val="solid"/>
            <w14:miter w14:val="0"/>
          </w14:textOutline>
        </w:rPr>
      </w:pPr>
      <w:r>
        <w:rPr>
          <w:rFonts w:ascii="Times New Roman" w:hAnsi="Times New Roman" w:eastAsia="宋体" w:cs="Times New Roman"/>
          <w:b w:val="0"/>
          <w:bCs w:val="0"/>
          <w:color w:val="auto"/>
          <w:spacing w:val="-1"/>
          <w:sz w:val="44"/>
          <w:szCs w:val="44"/>
          <w14:textOutline w14:w="5448" w14:cap="flat" w14:cmpd="sng" w14:algn="ctr">
            <w14:solidFill>
              <w14:srgbClr w14:val="000000"/>
            </w14:solidFill>
            <w14:prstDash w14:val="solid"/>
            <w14:miter w14:val="0"/>
          </w14:textOutline>
        </w:rPr>
        <w:t>响应函</w:t>
      </w:r>
    </w:p>
    <w:p w14:paraId="2234DA00">
      <w:pPr>
        <w:kinsoku/>
        <w:wordWrap w:val="0"/>
        <w:topLinePunct/>
        <w:autoSpaceDE/>
        <w:autoSpaceDN/>
        <w:adjustRightInd/>
        <w:snapToGrid/>
        <w:ind w:firstLine="420" w:firstLineChars="200"/>
        <w:rPr>
          <w:rFonts w:ascii="Times New Roman" w:hAnsi="Times New Roman" w:cs="Times New Roman"/>
          <w:color w:val="auto"/>
          <w:sz w:val="21"/>
        </w:rPr>
      </w:pPr>
    </w:p>
    <w:p w14:paraId="4EBA8B1D">
      <w:pPr>
        <w:kinsoku/>
        <w:wordWrap w:val="0"/>
        <w:topLinePunct/>
        <w:autoSpaceDE/>
        <w:autoSpaceDN/>
        <w:adjustRightInd/>
        <w:snapToGrid/>
        <w:spacing w:before="3" w:line="308" w:lineRule="auto"/>
        <w:rPr>
          <w:rFonts w:ascii="Times New Roman" w:hAnsi="Times New Roman" w:eastAsia="宋体" w:cs="Times New Roman"/>
          <w:color w:val="auto"/>
          <w:szCs w:val="24"/>
        </w:rPr>
      </w:pPr>
      <w:r>
        <w:rPr>
          <w:rFonts w:ascii="Times New Roman" w:hAnsi="Times New Roman" w:eastAsia="宋体" w:cs="Times New Roman"/>
          <w:color w:val="auto"/>
          <w:szCs w:val="24"/>
        </w:rPr>
        <w:t>致：</w:t>
      </w:r>
      <w:r>
        <w:rPr>
          <w:rFonts w:ascii="Times New Roman" w:hAnsi="Times New Roman" w:eastAsia="宋体" w:cs="Times New Roman"/>
          <w:color w:val="auto"/>
          <w:szCs w:val="24"/>
          <w:u w:val="single"/>
        </w:rPr>
        <w:t xml:space="preserve">  (发包人名称)        </w:t>
      </w:r>
    </w:p>
    <w:p w14:paraId="4293C65D">
      <w:pPr>
        <w:kinsoku/>
        <w:wordWrap w:val="0"/>
        <w:topLinePunct/>
        <w:autoSpaceDE/>
        <w:autoSpaceDN/>
        <w:adjustRightInd/>
        <w:snapToGrid/>
        <w:spacing w:before="3" w:line="308" w:lineRule="auto"/>
        <w:ind w:firstLine="480" w:firstLineChars="200"/>
        <w:rPr>
          <w:rFonts w:ascii="Times New Roman" w:hAnsi="Times New Roman" w:eastAsia="宋体" w:cs="Times New Roman"/>
          <w:color w:val="auto"/>
          <w:szCs w:val="24"/>
        </w:rPr>
      </w:pPr>
    </w:p>
    <w:p w14:paraId="37F7778E">
      <w:pPr>
        <w:kinsoku/>
        <w:wordWrap w:val="0"/>
        <w:topLinePunct/>
        <w:autoSpaceDE/>
        <w:autoSpaceDN/>
        <w:adjustRightInd/>
        <w:snapToGrid/>
        <w:spacing w:before="3" w:line="400" w:lineRule="exac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1、根据已收到贵方的</w:t>
      </w:r>
      <w:r>
        <w:rPr>
          <w:rFonts w:ascii="Times New Roman" w:hAnsi="Times New Roman" w:eastAsia="宋体" w:cs="Times New Roman"/>
          <w:color w:val="auto"/>
          <w:szCs w:val="24"/>
          <w:u w:val="single"/>
        </w:rPr>
        <w:t xml:space="preserve">  (项目编号)  </w:t>
      </w:r>
      <w:r>
        <w:rPr>
          <w:rFonts w:ascii="Times New Roman" w:hAnsi="Times New Roman" w:eastAsia="宋体" w:cs="Times New Roman"/>
          <w:color w:val="auto"/>
          <w:szCs w:val="24"/>
        </w:rPr>
        <w:t xml:space="preserve">的 </w:t>
      </w:r>
      <w:r>
        <w:rPr>
          <w:rFonts w:ascii="Times New Roman" w:hAnsi="Times New Roman" w:eastAsia="宋体" w:cs="Times New Roman"/>
          <w:color w:val="auto"/>
          <w:szCs w:val="24"/>
          <w:u w:val="single"/>
        </w:rPr>
        <w:t xml:space="preserve"> </w:t>
      </w:r>
      <w:r>
        <w:rPr>
          <w:rFonts w:hint="eastAsia" w:ascii="Times New Roman" w:hAnsi="Times New Roman" w:eastAsia="宋体" w:cs="Times New Roman"/>
          <w:color w:val="auto"/>
          <w:szCs w:val="24"/>
          <w:u w:val="single"/>
        </w:rPr>
        <w:t xml:space="preserve">  </w:t>
      </w:r>
      <w:r>
        <w:rPr>
          <w:rFonts w:ascii="Times New Roman" w:hAnsi="Times New Roman" w:eastAsia="宋体" w:cs="Times New Roman"/>
          <w:color w:val="auto"/>
          <w:szCs w:val="24"/>
          <w:u w:val="single"/>
        </w:rPr>
        <w:t xml:space="preserve"> (项目名称)    </w:t>
      </w:r>
      <w:r>
        <w:rPr>
          <w:rFonts w:ascii="Times New Roman" w:hAnsi="Times New Roman" w:eastAsia="宋体" w:cs="Times New Roman"/>
          <w:color w:val="auto"/>
          <w:szCs w:val="24"/>
        </w:rPr>
        <w:t xml:space="preserve"> 的交易文件， 遵照国家有关法律法规等规定，我单位经研究上述交易文件的全部内容后，我方愿以人民币 (大写) ：</w:t>
      </w:r>
      <w:r>
        <w:rPr>
          <w:rFonts w:ascii="Times New Roman" w:hAnsi="Times New Roman" w:eastAsia="宋体" w:cs="Times New Roman"/>
          <w:color w:val="auto"/>
          <w:szCs w:val="24"/>
          <w:u w:val="single"/>
        </w:rPr>
        <w:t xml:space="preserve">         </w:t>
      </w:r>
      <w:r>
        <w:rPr>
          <w:rFonts w:ascii="Times New Roman" w:hAnsi="Times New Roman" w:eastAsia="宋体" w:cs="Times New Roman"/>
          <w:color w:val="auto"/>
          <w:szCs w:val="24"/>
        </w:rPr>
        <w:t>，RMB：¥</w:t>
      </w:r>
      <w:r>
        <w:rPr>
          <w:rFonts w:ascii="Times New Roman" w:hAnsi="Times New Roman" w:eastAsia="宋体" w:cs="Times New Roman"/>
          <w:color w:val="auto"/>
          <w:szCs w:val="24"/>
          <w:u w:val="single"/>
        </w:rPr>
        <w:t xml:space="preserve">                </w:t>
      </w:r>
      <w:r>
        <w:rPr>
          <w:rFonts w:ascii="Times New Roman" w:hAnsi="Times New Roman" w:eastAsia="宋体" w:cs="Times New Roman"/>
          <w:color w:val="auto"/>
          <w:szCs w:val="24"/>
        </w:rPr>
        <w:t>元， (大小写不一致的以大写金额为准) 的报价并按交易文件要求承包。本项目拟派项目负责人姓名：</w:t>
      </w:r>
      <w:r>
        <w:rPr>
          <w:rFonts w:ascii="Times New Roman" w:hAnsi="Times New Roman" w:eastAsia="宋体" w:cs="Times New Roman"/>
          <w:color w:val="auto"/>
          <w:szCs w:val="24"/>
          <w:u w:val="single"/>
        </w:rPr>
        <w:t xml:space="preserve">       </w:t>
      </w:r>
      <w:r>
        <w:rPr>
          <w:rFonts w:ascii="Times New Roman" w:hAnsi="Times New Roman" w:eastAsia="宋体" w:cs="Times New Roman"/>
          <w:color w:val="auto"/>
          <w:szCs w:val="24"/>
        </w:rPr>
        <w:t>，身份证号：</w:t>
      </w:r>
      <w:r>
        <w:rPr>
          <w:rFonts w:ascii="Times New Roman" w:hAnsi="Times New Roman" w:eastAsia="宋体" w:cs="Times New Roman"/>
          <w:color w:val="auto"/>
          <w:szCs w:val="24"/>
          <w:u w:val="single"/>
        </w:rPr>
        <w:t xml:space="preserve">                     </w:t>
      </w:r>
      <w:r>
        <w:rPr>
          <w:rFonts w:ascii="Times New Roman" w:hAnsi="Times New Roman" w:eastAsia="宋体" w:cs="Times New Roman"/>
          <w:color w:val="auto"/>
          <w:szCs w:val="24"/>
        </w:rPr>
        <w:t>。</w:t>
      </w:r>
    </w:p>
    <w:p w14:paraId="2BBBC1E1">
      <w:pPr>
        <w:kinsoku/>
        <w:wordWrap w:val="0"/>
        <w:topLinePunct/>
        <w:autoSpaceDE/>
        <w:autoSpaceDN/>
        <w:adjustRightInd/>
        <w:snapToGrid/>
        <w:spacing w:before="3" w:line="400" w:lineRule="exac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2、我方已详细审核全部交易文件，包括修改文件 (如有) 和有关附件，我方完全知道必须放弃提出含糊不清或误解的权力。</w:t>
      </w:r>
    </w:p>
    <w:p w14:paraId="10D23785">
      <w:pPr>
        <w:kinsoku/>
        <w:wordWrap w:val="0"/>
        <w:topLinePunct/>
        <w:autoSpaceDE/>
        <w:autoSpaceDN/>
        <w:adjustRightInd/>
        <w:snapToGrid/>
        <w:spacing w:before="3" w:line="400" w:lineRule="exac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3、一旦我方成为成交人，我方保证按合同协议书中规定的日期开始，并按合同协议书规定的预计日期完成，工期(服务期)</w:t>
      </w:r>
      <w:r>
        <w:rPr>
          <w:rFonts w:ascii="Times New Roman" w:hAnsi="Times New Roman" w:eastAsia="宋体" w:cs="Times New Roman"/>
          <w:color w:val="auto"/>
          <w:szCs w:val="24"/>
          <w:u w:val="single"/>
        </w:rPr>
        <w:t xml:space="preserve">      </w:t>
      </w:r>
      <w:r>
        <w:rPr>
          <w:rFonts w:ascii="Times New Roman" w:hAnsi="Times New Roman" w:eastAsia="宋体" w:cs="Times New Roman"/>
          <w:color w:val="auto"/>
          <w:szCs w:val="24"/>
        </w:rPr>
        <w:t xml:space="preserve"> 个日历天。</w:t>
      </w:r>
    </w:p>
    <w:p w14:paraId="29ACB494">
      <w:pPr>
        <w:kinsoku/>
        <w:wordWrap w:val="0"/>
        <w:topLinePunct/>
        <w:autoSpaceDE/>
        <w:autoSpaceDN/>
        <w:adjustRightInd/>
        <w:snapToGrid/>
        <w:spacing w:before="3" w:line="400" w:lineRule="exac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4、一旦我方成为成交人，我方保证按交易文件要求向贵方递交经贵方认可的履约担保。在我方报价低于风险控制价的情况下，我方将按照规定以保函的形式提交成交价与风险控制价之差额。</w:t>
      </w:r>
    </w:p>
    <w:p w14:paraId="0F4B2E23">
      <w:pPr>
        <w:kinsoku/>
        <w:wordWrap w:val="0"/>
        <w:topLinePunct/>
        <w:autoSpaceDE/>
        <w:autoSpaceDN/>
        <w:adjustRightInd/>
        <w:snapToGrid/>
        <w:spacing w:before="3" w:line="400" w:lineRule="exac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5、我方同意所递交的响应文件在响应文件有效期内有效，在此期间内我方如有可能成交，我方将受此约束。如果在响应文件有效期内撤回，我方愿意承担相应损失。</w:t>
      </w:r>
    </w:p>
    <w:p w14:paraId="4D2D4034">
      <w:pPr>
        <w:kinsoku/>
        <w:wordWrap w:val="0"/>
        <w:topLinePunct/>
        <w:autoSpaceDE/>
        <w:autoSpaceDN/>
        <w:adjustRightInd/>
        <w:snapToGrid/>
        <w:spacing w:before="3" w:line="400" w:lineRule="exact"/>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6、除非另外达成协议并生效，贵方的成交通知书和本响应文件将成为约束我们双方的合同文件组成部分。</w:t>
      </w:r>
    </w:p>
    <w:p w14:paraId="1B82DA22">
      <w:pPr>
        <w:kinsoku/>
        <w:wordWrap w:val="0"/>
        <w:topLinePunct/>
        <w:autoSpaceDE/>
        <w:autoSpaceDN/>
        <w:adjustRightInd/>
        <w:snapToGrid/>
        <w:spacing w:before="3" w:line="360" w:lineRule="auto"/>
        <w:ind w:firstLine="480" w:firstLineChars="200"/>
        <w:jc w:val="both"/>
        <w:rPr>
          <w:rFonts w:ascii="Times New Roman" w:hAnsi="Times New Roman" w:eastAsia="宋体" w:cs="Times New Roman"/>
          <w:color w:val="auto"/>
          <w:szCs w:val="24"/>
        </w:rPr>
      </w:pPr>
    </w:p>
    <w:p w14:paraId="1837E478">
      <w:pPr>
        <w:kinsoku/>
        <w:wordWrap w:val="0"/>
        <w:topLinePunct/>
        <w:autoSpaceDE/>
        <w:autoSpaceDN/>
        <w:adjustRightInd/>
        <w:snapToGrid/>
        <w:spacing w:before="3" w:line="360" w:lineRule="auto"/>
        <w:ind w:firstLine="480" w:firstLineChars="200"/>
        <w:jc w:val="both"/>
        <w:rPr>
          <w:rFonts w:ascii="Times New Roman" w:hAnsi="Times New Roman" w:eastAsia="宋体" w:cs="Times New Roman"/>
          <w:color w:val="auto"/>
          <w:szCs w:val="24"/>
        </w:rPr>
      </w:pPr>
    </w:p>
    <w:p w14:paraId="54C2C2CB">
      <w:pPr>
        <w:kinsoku/>
        <w:wordWrap w:val="0"/>
        <w:topLinePunct/>
        <w:autoSpaceDE/>
        <w:autoSpaceDN/>
        <w:adjustRightInd/>
        <w:snapToGrid/>
        <w:spacing w:before="3" w:line="360" w:lineRule="auto"/>
        <w:ind w:firstLine="480" w:firstLineChars="200"/>
        <w:jc w:val="both"/>
        <w:rPr>
          <w:rFonts w:ascii="Times New Roman" w:hAnsi="Times New Roman" w:eastAsia="宋体" w:cs="Times New Roman"/>
          <w:color w:val="auto"/>
          <w:szCs w:val="24"/>
        </w:rPr>
      </w:pPr>
    </w:p>
    <w:p w14:paraId="58D78429">
      <w:pPr>
        <w:kinsoku/>
        <w:wordWrap w:val="0"/>
        <w:topLinePunct/>
        <w:autoSpaceDE/>
        <w:autoSpaceDN/>
        <w:adjustRightInd/>
        <w:snapToGrid/>
        <w:spacing w:before="3" w:line="360" w:lineRule="auto"/>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　　　　　　　　　　　　　　　　　　　　潜在承包人名称(电子签名) ：</w:t>
      </w:r>
    </w:p>
    <w:p w14:paraId="2EA3DD7C">
      <w:pPr>
        <w:kinsoku/>
        <w:wordWrap w:val="0"/>
        <w:topLinePunct/>
        <w:autoSpaceDE/>
        <w:autoSpaceDN/>
        <w:adjustRightInd/>
        <w:snapToGrid/>
        <w:spacing w:before="3" w:line="360" w:lineRule="auto"/>
        <w:ind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　　　　　　　　　　　　　　　　　　　　日期：   年    月    日</w:t>
      </w:r>
    </w:p>
    <w:p w14:paraId="20FCAAB1">
      <w:pPr>
        <w:kinsoku/>
        <w:wordWrap w:val="0"/>
        <w:topLinePunct/>
        <w:autoSpaceDE/>
        <w:autoSpaceDN/>
        <w:adjustRightInd/>
        <w:snapToGrid/>
        <w:ind w:firstLine="480" w:firstLineChars="200"/>
        <w:rPr>
          <w:rFonts w:ascii="Times New Roman" w:hAnsi="Times New Roman" w:cs="Times New Roman"/>
          <w:color w:val="auto"/>
        </w:rPr>
        <w:sectPr>
          <w:footerReference r:id="rId34" w:type="default"/>
          <w:pgSz w:w="11906" w:h="16838"/>
          <w:pgMar w:top="1440" w:right="1083" w:bottom="1440" w:left="1083" w:header="850" w:footer="850" w:gutter="0"/>
          <w:cols w:space="0" w:num="1"/>
        </w:sectPr>
      </w:pPr>
    </w:p>
    <w:p w14:paraId="101C4453">
      <w:pPr>
        <w:pStyle w:val="3"/>
        <w:widowControl w:val="0"/>
        <w:kinsoku/>
        <w:topLinePunct/>
        <w:rPr>
          <w:rFonts w:ascii="Times New Roman" w:hAnsi="Times New Roman" w:eastAsia="宋体" w:cs="Times New Roman"/>
          <w:b w:val="0"/>
          <w:bCs w:val="0"/>
          <w:color w:val="auto"/>
          <w:spacing w:val="-1"/>
          <w:sz w:val="44"/>
          <w:szCs w:val="44"/>
          <w14:textOutline w14:w="5448" w14:cap="flat" w14:cmpd="sng" w14:algn="ctr">
            <w14:solidFill>
              <w14:srgbClr w14:val="000000"/>
            </w14:solidFill>
            <w14:prstDash w14:val="solid"/>
            <w14:miter w14:val="0"/>
          </w14:textOutline>
        </w:rPr>
      </w:pPr>
      <w:r>
        <w:rPr>
          <w:rFonts w:ascii="Times New Roman" w:hAnsi="Times New Roman" w:eastAsia="宋体" w:cs="Times New Roman"/>
          <w:b w:val="0"/>
          <w:bCs w:val="0"/>
          <w:color w:val="auto"/>
          <w:spacing w:val="-1"/>
          <w:sz w:val="44"/>
          <w:szCs w:val="44"/>
          <w14:textOutline w14:w="5448" w14:cap="flat" w14:cmpd="sng" w14:algn="ctr">
            <w14:solidFill>
              <w14:srgbClr w14:val="000000"/>
            </w14:solidFill>
            <w14:prstDash w14:val="solid"/>
            <w14:miter w14:val="0"/>
          </w14:textOutline>
        </w:rPr>
        <w:t>响应函附录</w:t>
      </w:r>
    </w:p>
    <w:tbl>
      <w:tblPr>
        <w:tblStyle w:val="16"/>
        <w:tblW w:w="9266" w:type="dxa"/>
        <w:jc w:val="center"/>
        <w:tblLayout w:type="autofit"/>
        <w:tblCellMar>
          <w:top w:w="0" w:type="dxa"/>
          <w:left w:w="108" w:type="dxa"/>
          <w:bottom w:w="0" w:type="dxa"/>
          <w:right w:w="108" w:type="dxa"/>
        </w:tblCellMar>
      </w:tblPr>
      <w:tblGrid>
        <w:gridCol w:w="861"/>
        <w:gridCol w:w="2955"/>
        <w:gridCol w:w="1955"/>
        <w:gridCol w:w="2190"/>
        <w:gridCol w:w="1305"/>
      </w:tblGrid>
      <w:tr w14:paraId="7C91B87F">
        <w:tblPrEx>
          <w:tblCellMar>
            <w:top w:w="0" w:type="dxa"/>
            <w:left w:w="108" w:type="dxa"/>
            <w:bottom w:w="0" w:type="dxa"/>
            <w:right w:w="108" w:type="dxa"/>
          </w:tblCellMar>
        </w:tblPrEx>
        <w:trPr>
          <w:trHeight w:val="680" w:hRule="exact"/>
          <w:jc w:val="center"/>
        </w:trPr>
        <w:tc>
          <w:tcPr>
            <w:tcW w:w="861" w:type="dxa"/>
            <w:tcBorders>
              <w:top w:val="single" w:color="474747" w:sz="8" w:space="0"/>
              <w:left w:val="single" w:color="474747" w:sz="8" w:space="0"/>
              <w:bottom w:val="single" w:color="888E93" w:sz="8" w:space="0"/>
              <w:right w:val="single" w:color="888E93" w:sz="8" w:space="0"/>
            </w:tcBorders>
            <w:shd w:val="clear" w:color="auto" w:fill="D9D9D9"/>
            <w:vAlign w:val="center"/>
          </w:tcPr>
          <w:p w14:paraId="66104A49">
            <w:pPr>
              <w:jc w:val="center"/>
              <w:textAlignment w:val="center"/>
              <w:rPr>
                <w:rFonts w:ascii="Times New Roman" w:hAnsi="Times New Roman" w:eastAsia="宋体" w:cs="Times New Roman"/>
                <w:b/>
                <w:bCs/>
                <w:color w:val="auto"/>
                <w:szCs w:val="24"/>
              </w:rPr>
            </w:pPr>
            <w:r>
              <w:rPr>
                <w:rFonts w:ascii="Times New Roman" w:hAnsi="Times New Roman" w:eastAsia="宋体" w:cs="Times New Roman"/>
                <w:b/>
                <w:bCs/>
                <w:color w:val="auto"/>
                <w:szCs w:val="24"/>
              </w:rPr>
              <w:t>序号</w:t>
            </w:r>
          </w:p>
        </w:tc>
        <w:tc>
          <w:tcPr>
            <w:tcW w:w="2955" w:type="dxa"/>
            <w:tcBorders>
              <w:top w:val="single" w:color="474747" w:sz="8" w:space="0"/>
              <w:left w:val="single" w:color="888E93" w:sz="8" w:space="0"/>
              <w:bottom w:val="single" w:color="888E93" w:sz="8" w:space="0"/>
              <w:right w:val="single" w:color="888E93" w:sz="8" w:space="0"/>
            </w:tcBorders>
            <w:shd w:val="clear" w:color="auto" w:fill="D9D9D9"/>
            <w:vAlign w:val="center"/>
          </w:tcPr>
          <w:p w14:paraId="7DFB42C9">
            <w:pPr>
              <w:jc w:val="center"/>
              <w:textAlignment w:val="center"/>
              <w:rPr>
                <w:rFonts w:ascii="Times New Roman" w:hAnsi="Times New Roman" w:eastAsia="宋体" w:cs="Times New Roman"/>
                <w:b/>
                <w:bCs/>
                <w:color w:val="auto"/>
                <w:szCs w:val="24"/>
              </w:rPr>
            </w:pPr>
            <w:r>
              <w:rPr>
                <w:rFonts w:ascii="Times New Roman" w:hAnsi="Times New Roman" w:eastAsia="宋体" w:cs="Times New Roman"/>
                <w:b/>
                <w:bCs/>
                <w:color w:val="auto"/>
                <w:szCs w:val="24"/>
              </w:rPr>
              <w:t>项目内容</w:t>
            </w:r>
          </w:p>
        </w:tc>
        <w:tc>
          <w:tcPr>
            <w:tcW w:w="1955" w:type="dxa"/>
            <w:tcBorders>
              <w:top w:val="single" w:color="474747" w:sz="8" w:space="0"/>
              <w:left w:val="single" w:color="888E93" w:sz="8" w:space="0"/>
              <w:bottom w:val="single" w:color="888E93" w:sz="8" w:space="0"/>
              <w:right w:val="single" w:color="888E93" w:sz="8" w:space="0"/>
            </w:tcBorders>
            <w:shd w:val="clear" w:color="auto" w:fill="D9D9D9"/>
            <w:vAlign w:val="center"/>
          </w:tcPr>
          <w:p w14:paraId="61E90515">
            <w:pPr>
              <w:jc w:val="center"/>
              <w:textAlignment w:val="center"/>
              <w:rPr>
                <w:rFonts w:ascii="Times New Roman" w:hAnsi="Times New Roman" w:eastAsia="宋体" w:cs="Times New Roman"/>
                <w:b/>
                <w:bCs/>
                <w:color w:val="auto"/>
                <w:szCs w:val="24"/>
              </w:rPr>
            </w:pPr>
            <w:r>
              <w:rPr>
                <w:rFonts w:ascii="Times New Roman" w:hAnsi="Times New Roman" w:eastAsia="宋体" w:cs="Times New Roman"/>
                <w:b/>
                <w:bCs/>
                <w:color w:val="auto"/>
                <w:szCs w:val="24"/>
              </w:rPr>
              <w:t>合同条款号</w:t>
            </w:r>
          </w:p>
        </w:tc>
        <w:tc>
          <w:tcPr>
            <w:tcW w:w="2190" w:type="dxa"/>
            <w:tcBorders>
              <w:top w:val="single" w:color="474747" w:sz="8" w:space="0"/>
              <w:left w:val="single" w:color="888E93" w:sz="8" w:space="0"/>
              <w:bottom w:val="single" w:color="888E93" w:sz="8" w:space="0"/>
              <w:right w:val="single" w:color="888E93" w:sz="8" w:space="0"/>
            </w:tcBorders>
            <w:shd w:val="clear" w:color="auto" w:fill="D9D9D9"/>
            <w:vAlign w:val="center"/>
          </w:tcPr>
          <w:p w14:paraId="2D66BD54">
            <w:pPr>
              <w:jc w:val="center"/>
              <w:textAlignment w:val="center"/>
              <w:rPr>
                <w:rFonts w:ascii="Times New Roman" w:hAnsi="Times New Roman" w:eastAsia="宋体" w:cs="Times New Roman"/>
                <w:b/>
                <w:bCs/>
                <w:color w:val="auto"/>
                <w:szCs w:val="24"/>
              </w:rPr>
            </w:pPr>
            <w:r>
              <w:rPr>
                <w:rFonts w:ascii="Times New Roman" w:hAnsi="Times New Roman" w:eastAsia="宋体" w:cs="Times New Roman"/>
                <w:b/>
                <w:bCs/>
                <w:color w:val="auto"/>
                <w:szCs w:val="24"/>
              </w:rPr>
              <w:t>约定内容</w:t>
            </w:r>
          </w:p>
        </w:tc>
        <w:tc>
          <w:tcPr>
            <w:tcW w:w="1305" w:type="dxa"/>
            <w:tcBorders>
              <w:top w:val="single" w:color="474747" w:sz="8" w:space="0"/>
              <w:left w:val="single" w:color="888E93" w:sz="8" w:space="0"/>
              <w:bottom w:val="single" w:color="888E93" w:sz="8" w:space="0"/>
              <w:right w:val="single" w:color="474747" w:sz="8" w:space="0"/>
            </w:tcBorders>
            <w:shd w:val="clear" w:color="auto" w:fill="D9D9D9"/>
            <w:vAlign w:val="center"/>
          </w:tcPr>
          <w:p w14:paraId="73971ED6">
            <w:pPr>
              <w:jc w:val="center"/>
              <w:textAlignment w:val="center"/>
              <w:rPr>
                <w:rFonts w:ascii="Times New Roman" w:hAnsi="Times New Roman" w:eastAsia="宋体" w:cs="Times New Roman"/>
                <w:b/>
                <w:bCs/>
                <w:color w:val="auto"/>
                <w:szCs w:val="24"/>
              </w:rPr>
            </w:pPr>
            <w:r>
              <w:rPr>
                <w:rFonts w:ascii="Times New Roman" w:hAnsi="Times New Roman" w:eastAsia="宋体" w:cs="Times New Roman"/>
                <w:b/>
                <w:bCs/>
                <w:color w:val="auto"/>
                <w:szCs w:val="24"/>
              </w:rPr>
              <w:t>备注</w:t>
            </w:r>
          </w:p>
        </w:tc>
      </w:tr>
      <w:tr w14:paraId="677C2B94">
        <w:tblPrEx>
          <w:tblCellMar>
            <w:top w:w="0" w:type="dxa"/>
            <w:left w:w="108" w:type="dxa"/>
            <w:bottom w:w="0" w:type="dxa"/>
            <w:right w:w="108" w:type="dxa"/>
          </w:tblCellMar>
        </w:tblPrEx>
        <w:trPr>
          <w:trHeight w:val="680" w:hRule="exact"/>
          <w:jc w:val="center"/>
        </w:trPr>
        <w:tc>
          <w:tcPr>
            <w:tcW w:w="861" w:type="dxa"/>
            <w:vMerge w:val="restart"/>
            <w:tcBorders>
              <w:top w:val="single" w:color="888E93" w:sz="8" w:space="0"/>
              <w:left w:val="single" w:color="474747" w:sz="8" w:space="0"/>
              <w:bottom w:val="single" w:color="888E93" w:sz="8" w:space="0"/>
              <w:right w:val="single" w:color="888E93" w:sz="8" w:space="0"/>
            </w:tcBorders>
            <w:shd w:val="clear" w:color="auto" w:fill="FFFFFF"/>
            <w:vAlign w:val="center"/>
          </w:tcPr>
          <w:p w14:paraId="2E0CCF49">
            <w:pPr>
              <w:jc w:val="cente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1</w:t>
            </w:r>
          </w:p>
        </w:tc>
        <w:tc>
          <w:tcPr>
            <w:tcW w:w="2955" w:type="dxa"/>
            <w:tcBorders>
              <w:top w:val="single" w:color="888E93" w:sz="8" w:space="0"/>
              <w:left w:val="single" w:color="888E93" w:sz="8" w:space="0"/>
              <w:bottom w:val="nil"/>
              <w:right w:val="single" w:color="888E93" w:sz="8" w:space="0"/>
            </w:tcBorders>
            <w:shd w:val="clear" w:color="auto" w:fill="FFFFFF"/>
            <w:vAlign w:val="center"/>
          </w:tcPr>
          <w:p w14:paraId="39B9D64C">
            <w:pPr>
              <w:jc w:val="cente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履约担保</w:t>
            </w:r>
          </w:p>
        </w:tc>
        <w:tc>
          <w:tcPr>
            <w:tcW w:w="1955" w:type="dxa"/>
            <w:vMerge w:val="restart"/>
            <w:tcBorders>
              <w:top w:val="single" w:color="888E93" w:sz="8" w:space="0"/>
              <w:left w:val="single" w:color="888E93" w:sz="8" w:space="0"/>
              <w:bottom w:val="single" w:color="888E93" w:sz="8" w:space="0"/>
              <w:right w:val="single" w:color="888E93" w:sz="8" w:space="0"/>
            </w:tcBorders>
            <w:shd w:val="clear" w:color="auto" w:fill="FFFFFF"/>
            <w:vAlign w:val="center"/>
          </w:tcPr>
          <w:p w14:paraId="33384B1E">
            <w:pPr>
              <w:rPr>
                <w:rFonts w:ascii="Times New Roman" w:hAnsi="Times New Roman" w:eastAsia="宋体" w:cs="Times New Roman"/>
                <w:color w:val="auto"/>
                <w:szCs w:val="24"/>
              </w:rPr>
            </w:pPr>
          </w:p>
        </w:tc>
        <w:tc>
          <w:tcPr>
            <w:tcW w:w="2190" w:type="dxa"/>
            <w:vMerge w:val="restart"/>
            <w:tcBorders>
              <w:top w:val="single" w:color="888E93" w:sz="8" w:space="0"/>
              <w:left w:val="single" w:color="888E93" w:sz="8" w:space="0"/>
              <w:bottom w:val="single" w:color="888E93" w:sz="8" w:space="0"/>
              <w:right w:val="single" w:color="888E93" w:sz="8" w:space="0"/>
            </w:tcBorders>
            <w:shd w:val="clear" w:color="auto" w:fill="FFFFFF"/>
            <w:vAlign w:val="center"/>
          </w:tcPr>
          <w:p w14:paraId="7C9F0AF0">
            <w:pP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按照交易文件要求</w:t>
            </w:r>
          </w:p>
        </w:tc>
        <w:tc>
          <w:tcPr>
            <w:tcW w:w="1305" w:type="dxa"/>
            <w:vMerge w:val="restart"/>
            <w:tcBorders>
              <w:top w:val="single" w:color="888E93" w:sz="8" w:space="0"/>
              <w:left w:val="single" w:color="888E93" w:sz="8" w:space="0"/>
              <w:bottom w:val="single" w:color="888E93" w:sz="8" w:space="0"/>
              <w:right w:val="single" w:color="474747" w:sz="8" w:space="0"/>
            </w:tcBorders>
            <w:shd w:val="clear" w:color="auto" w:fill="FFFFFF"/>
            <w:vAlign w:val="center"/>
          </w:tcPr>
          <w:p w14:paraId="401660E8">
            <w:pPr>
              <w:rPr>
                <w:rFonts w:ascii="Times New Roman" w:hAnsi="Times New Roman" w:eastAsia="宋体" w:cs="Times New Roman"/>
                <w:color w:val="auto"/>
                <w:szCs w:val="24"/>
              </w:rPr>
            </w:pPr>
          </w:p>
        </w:tc>
      </w:tr>
      <w:tr w14:paraId="5D01D7B3">
        <w:tblPrEx>
          <w:tblCellMar>
            <w:top w:w="0" w:type="dxa"/>
            <w:left w:w="108" w:type="dxa"/>
            <w:bottom w:w="0" w:type="dxa"/>
            <w:right w:w="108" w:type="dxa"/>
          </w:tblCellMar>
        </w:tblPrEx>
        <w:trPr>
          <w:trHeight w:val="680" w:hRule="exact"/>
          <w:jc w:val="center"/>
        </w:trPr>
        <w:tc>
          <w:tcPr>
            <w:tcW w:w="861" w:type="dxa"/>
            <w:vMerge w:val="continue"/>
            <w:tcBorders>
              <w:top w:val="single" w:color="888E93" w:sz="8" w:space="0"/>
              <w:left w:val="single" w:color="474747" w:sz="8" w:space="0"/>
              <w:bottom w:val="single" w:color="888E93" w:sz="8" w:space="0"/>
              <w:right w:val="single" w:color="888E93" w:sz="8" w:space="0"/>
            </w:tcBorders>
            <w:shd w:val="clear" w:color="auto" w:fill="FFFFFF"/>
            <w:vAlign w:val="center"/>
          </w:tcPr>
          <w:p w14:paraId="73B8A925">
            <w:pPr>
              <w:jc w:val="center"/>
              <w:rPr>
                <w:rFonts w:ascii="Times New Roman" w:hAnsi="Times New Roman" w:eastAsia="宋体" w:cs="Times New Roman"/>
                <w:color w:val="auto"/>
                <w:szCs w:val="24"/>
              </w:rPr>
            </w:pPr>
          </w:p>
        </w:tc>
        <w:tc>
          <w:tcPr>
            <w:tcW w:w="2955" w:type="dxa"/>
            <w:tcBorders>
              <w:top w:val="nil"/>
              <w:left w:val="single" w:color="888E93" w:sz="8" w:space="0"/>
              <w:bottom w:val="nil"/>
              <w:right w:val="single" w:color="888E93" w:sz="8" w:space="0"/>
            </w:tcBorders>
            <w:shd w:val="clear" w:color="auto" w:fill="FFFFFF"/>
            <w:vAlign w:val="center"/>
          </w:tcPr>
          <w:p w14:paraId="74D6A33F">
            <w:pPr>
              <w:jc w:val="cente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银行保函金额</w:t>
            </w:r>
          </w:p>
        </w:tc>
        <w:tc>
          <w:tcPr>
            <w:tcW w:w="1955" w:type="dxa"/>
            <w:vMerge w:val="continue"/>
            <w:tcBorders>
              <w:top w:val="single" w:color="888E93" w:sz="8" w:space="0"/>
              <w:left w:val="single" w:color="888E93" w:sz="8" w:space="0"/>
              <w:bottom w:val="single" w:color="888E93" w:sz="8" w:space="0"/>
              <w:right w:val="single" w:color="888E93" w:sz="8" w:space="0"/>
            </w:tcBorders>
            <w:shd w:val="clear" w:color="auto" w:fill="FFFFFF"/>
            <w:vAlign w:val="center"/>
          </w:tcPr>
          <w:p w14:paraId="2FCEED00">
            <w:pPr>
              <w:rPr>
                <w:rFonts w:ascii="Times New Roman" w:hAnsi="Times New Roman" w:eastAsia="宋体" w:cs="Times New Roman"/>
                <w:color w:val="auto"/>
                <w:szCs w:val="24"/>
              </w:rPr>
            </w:pPr>
          </w:p>
        </w:tc>
        <w:tc>
          <w:tcPr>
            <w:tcW w:w="2190" w:type="dxa"/>
            <w:vMerge w:val="continue"/>
            <w:tcBorders>
              <w:top w:val="single" w:color="888E93" w:sz="8" w:space="0"/>
              <w:left w:val="single" w:color="888E93" w:sz="8" w:space="0"/>
              <w:bottom w:val="single" w:color="888E93" w:sz="8" w:space="0"/>
              <w:right w:val="single" w:color="888E93" w:sz="8" w:space="0"/>
            </w:tcBorders>
            <w:shd w:val="clear" w:color="auto" w:fill="FFFFFF"/>
            <w:vAlign w:val="center"/>
          </w:tcPr>
          <w:p w14:paraId="2AC5E0FB">
            <w:pPr>
              <w:rPr>
                <w:rFonts w:ascii="Times New Roman" w:hAnsi="Times New Roman" w:eastAsia="宋体" w:cs="Times New Roman"/>
                <w:color w:val="auto"/>
                <w:szCs w:val="24"/>
              </w:rPr>
            </w:pPr>
          </w:p>
        </w:tc>
        <w:tc>
          <w:tcPr>
            <w:tcW w:w="1305" w:type="dxa"/>
            <w:vMerge w:val="continue"/>
            <w:tcBorders>
              <w:top w:val="single" w:color="888E93" w:sz="8" w:space="0"/>
              <w:left w:val="single" w:color="888E93" w:sz="8" w:space="0"/>
              <w:bottom w:val="single" w:color="888E93" w:sz="8" w:space="0"/>
              <w:right w:val="single" w:color="474747" w:sz="8" w:space="0"/>
            </w:tcBorders>
            <w:shd w:val="clear" w:color="auto" w:fill="FFFFFF"/>
            <w:vAlign w:val="center"/>
          </w:tcPr>
          <w:p w14:paraId="719EA199">
            <w:pPr>
              <w:rPr>
                <w:rFonts w:ascii="Times New Roman" w:hAnsi="Times New Roman" w:eastAsia="宋体" w:cs="Times New Roman"/>
                <w:color w:val="auto"/>
                <w:szCs w:val="24"/>
              </w:rPr>
            </w:pPr>
          </w:p>
        </w:tc>
      </w:tr>
      <w:tr w14:paraId="480E9320">
        <w:tblPrEx>
          <w:tblCellMar>
            <w:top w:w="0" w:type="dxa"/>
            <w:left w:w="108" w:type="dxa"/>
            <w:bottom w:w="0" w:type="dxa"/>
            <w:right w:w="108" w:type="dxa"/>
          </w:tblCellMar>
        </w:tblPrEx>
        <w:trPr>
          <w:trHeight w:val="680" w:hRule="exact"/>
          <w:jc w:val="center"/>
        </w:trPr>
        <w:tc>
          <w:tcPr>
            <w:tcW w:w="861" w:type="dxa"/>
            <w:vMerge w:val="continue"/>
            <w:tcBorders>
              <w:top w:val="single" w:color="888E93" w:sz="8" w:space="0"/>
              <w:left w:val="single" w:color="474747" w:sz="8" w:space="0"/>
              <w:bottom w:val="single" w:color="888E93" w:sz="8" w:space="0"/>
              <w:right w:val="single" w:color="888E93" w:sz="8" w:space="0"/>
            </w:tcBorders>
            <w:shd w:val="clear" w:color="auto" w:fill="FFFFFF"/>
            <w:vAlign w:val="center"/>
          </w:tcPr>
          <w:p w14:paraId="6BFE618D">
            <w:pPr>
              <w:jc w:val="center"/>
              <w:rPr>
                <w:rFonts w:ascii="Times New Roman" w:hAnsi="Times New Roman" w:eastAsia="宋体" w:cs="Times New Roman"/>
                <w:color w:val="auto"/>
                <w:szCs w:val="24"/>
              </w:rPr>
            </w:pPr>
          </w:p>
        </w:tc>
        <w:tc>
          <w:tcPr>
            <w:tcW w:w="2955" w:type="dxa"/>
            <w:tcBorders>
              <w:top w:val="nil"/>
              <w:left w:val="single" w:color="888E93" w:sz="8" w:space="0"/>
              <w:bottom w:val="single" w:color="888E93" w:sz="8" w:space="0"/>
              <w:right w:val="single" w:color="888E93" w:sz="8" w:space="0"/>
            </w:tcBorders>
            <w:shd w:val="clear" w:color="auto" w:fill="FFFFFF"/>
            <w:vAlign w:val="center"/>
          </w:tcPr>
          <w:p w14:paraId="19C5FF0D">
            <w:pPr>
              <w:jc w:val="cente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履约担保书金额</w:t>
            </w:r>
          </w:p>
        </w:tc>
        <w:tc>
          <w:tcPr>
            <w:tcW w:w="1955" w:type="dxa"/>
            <w:vMerge w:val="continue"/>
            <w:tcBorders>
              <w:top w:val="single" w:color="888E93" w:sz="8" w:space="0"/>
              <w:left w:val="single" w:color="888E93" w:sz="8" w:space="0"/>
              <w:bottom w:val="single" w:color="888E93" w:sz="8" w:space="0"/>
              <w:right w:val="single" w:color="888E93" w:sz="8" w:space="0"/>
            </w:tcBorders>
            <w:shd w:val="clear" w:color="auto" w:fill="FFFFFF"/>
            <w:vAlign w:val="center"/>
          </w:tcPr>
          <w:p w14:paraId="6729B64D">
            <w:pPr>
              <w:rPr>
                <w:rFonts w:ascii="Times New Roman" w:hAnsi="Times New Roman" w:eastAsia="宋体" w:cs="Times New Roman"/>
                <w:color w:val="auto"/>
                <w:szCs w:val="24"/>
              </w:rPr>
            </w:pPr>
          </w:p>
        </w:tc>
        <w:tc>
          <w:tcPr>
            <w:tcW w:w="2190" w:type="dxa"/>
            <w:vMerge w:val="continue"/>
            <w:tcBorders>
              <w:top w:val="single" w:color="888E93" w:sz="8" w:space="0"/>
              <w:left w:val="single" w:color="888E93" w:sz="8" w:space="0"/>
              <w:bottom w:val="single" w:color="888E93" w:sz="8" w:space="0"/>
              <w:right w:val="single" w:color="888E93" w:sz="8" w:space="0"/>
            </w:tcBorders>
            <w:shd w:val="clear" w:color="auto" w:fill="FFFFFF"/>
            <w:vAlign w:val="center"/>
          </w:tcPr>
          <w:p w14:paraId="48976A52">
            <w:pPr>
              <w:rPr>
                <w:rFonts w:ascii="Times New Roman" w:hAnsi="Times New Roman" w:eastAsia="宋体" w:cs="Times New Roman"/>
                <w:color w:val="auto"/>
                <w:szCs w:val="24"/>
              </w:rPr>
            </w:pPr>
          </w:p>
        </w:tc>
        <w:tc>
          <w:tcPr>
            <w:tcW w:w="1305" w:type="dxa"/>
            <w:vMerge w:val="continue"/>
            <w:tcBorders>
              <w:top w:val="single" w:color="888E93" w:sz="8" w:space="0"/>
              <w:left w:val="single" w:color="888E93" w:sz="8" w:space="0"/>
              <w:bottom w:val="single" w:color="888E93" w:sz="8" w:space="0"/>
              <w:right w:val="single" w:color="474747" w:sz="8" w:space="0"/>
            </w:tcBorders>
            <w:shd w:val="clear" w:color="auto" w:fill="FFFFFF"/>
            <w:vAlign w:val="center"/>
          </w:tcPr>
          <w:p w14:paraId="77DF9F6D">
            <w:pPr>
              <w:rPr>
                <w:rFonts w:ascii="Times New Roman" w:hAnsi="Times New Roman" w:eastAsia="宋体" w:cs="Times New Roman"/>
                <w:color w:val="auto"/>
                <w:szCs w:val="24"/>
              </w:rPr>
            </w:pPr>
          </w:p>
        </w:tc>
      </w:tr>
      <w:tr w14:paraId="2FF0E979">
        <w:tblPrEx>
          <w:tblCellMar>
            <w:top w:w="0" w:type="dxa"/>
            <w:left w:w="108" w:type="dxa"/>
            <w:bottom w:w="0" w:type="dxa"/>
            <w:right w:w="108" w:type="dxa"/>
          </w:tblCellMar>
        </w:tblPrEx>
        <w:trPr>
          <w:trHeight w:val="680" w:hRule="exact"/>
          <w:jc w:val="center"/>
        </w:trPr>
        <w:tc>
          <w:tcPr>
            <w:tcW w:w="861" w:type="dxa"/>
            <w:tcBorders>
              <w:top w:val="single" w:color="888E93" w:sz="8" w:space="0"/>
              <w:left w:val="single" w:color="474747" w:sz="8" w:space="0"/>
              <w:bottom w:val="single" w:color="888E93" w:sz="8" w:space="0"/>
              <w:right w:val="single" w:color="888E93" w:sz="8" w:space="0"/>
            </w:tcBorders>
            <w:shd w:val="clear" w:color="auto" w:fill="FFFFFF"/>
            <w:vAlign w:val="center"/>
          </w:tcPr>
          <w:p w14:paraId="36D9FA6E">
            <w:pPr>
              <w:jc w:val="cente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2</w:t>
            </w:r>
          </w:p>
        </w:tc>
        <w:tc>
          <w:tcPr>
            <w:tcW w:w="2955"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2DB77050">
            <w:pPr>
              <w:jc w:val="cente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施工准备时间</w:t>
            </w:r>
          </w:p>
        </w:tc>
        <w:tc>
          <w:tcPr>
            <w:tcW w:w="1955"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6254EF98">
            <w:pPr>
              <w:rPr>
                <w:rFonts w:ascii="Times New Roman" w:hAnsi="Times New Roman" w:eastAsia="宋体" w:cs="Times New Roman"/>
                <w:color w:val="auto"/>
                <w:szCs w:val="24"/>
              </w:rPr>
            </w:pPr>
          </w:p>
        </w:tc>
        <w:tc>
          <w:tcPr>
            <w:tcW w:w="2190"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1A5E221C">
            <w:pP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按照交易文件要求</w:t>
            </w:r>
          </w:p>
        </w:tc>
        <w:tc>
          <w:tcPr>
            <w:tcW w:w="1305" w:type="dxa"/>
            <w:tcBorders>
              <w:top w:val="single" w:color="888E93" w:sz="8" w:space="0"/>
              <w:left w:val="single" w:color="888E93" w:sz="8" w:space="0"/>
              <w:bottom w:val="single" w:color="888E93" w:sz="8" w:space="0"/>
              <w:right w:val="single" w:color="474747" w:sz="8" w:space="0"/>
            </w:tcBorders>
            <w:shd w:val="clear" w:color="auto" w:fill="FFFFFF"/>
            <w:vAlign w:val="center"/>
          </w:tcPr>
          <w:p w14:paraId="13BD4AA6">
            <w:pPr>
              <w:rPr>
                <w:rFonts w:ascii="Times New Roman" w:hAnsi="Times New Roman" w:eastAsia="宋体" w:cs="Times New Roman"/>
                <w:color w:val="auto"/>
                <w:szCs w:val="24"/>
              </w:rPr>
            </w:pPr>
          </w:p>
        </w:tc>
      </w:tr>
      <w:tr w14:paraId="31D28F67">
        <w:tblPrEx>
          <w:tblCellMar>
            <w:top w:w="0" w:type="dxa"/>
            <w:left w:w="108" w:type="dxa"/>
            <w:bottom w:w="0" w:type="dxa"/>
            <w:right w:w="108" w:type="dxa"/>
          </w:tblCellMar>
        </w:tblPrEx>
        <w:trPr>
          <w:trHeight w:val="680" w:hRule="exact"/>
          <w:jc w:val="center"/>
        </w:trPr>
        <w:tc>
          <w:tcPr>
            <w:tcW w:w="861" w:type="dxa"/>
            <w:tcBorders>
              <w:top w:val="single" w:color="888E93" w:sz="8" w:space="0"/>
              <w:left w:val="single" w:color="474747" w:sz="8" w:space="0"/>
              <w:bottom w:val="single" w:color="888E93" w:sz="8" w:space="0"/>
              <w:right w:val="single" w:color="888E93" w:sz="8" w:space="0"/>
            </w:tcBorders>
            <w:shd w:val="clear" w:color="auto" w:fill="FFFFFF"/>
            <w:vAlign w:val="center"/>
          </w:tcPr>
          <w:p w14:paraId="45A053E1">
            <w:pPr>
              <w:jc w:val="cente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3</w:t>
            </w:r>
          </w:p>
        </w:tc>
        <w:tc>
          <w:tcPr>
            <w:tcW w:w="2955"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2E6E5C6C">
            <w:pPr>
              <w:jc w:val="cente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误期违约金额</w:t>
            </w:r>
          </w:p>
        </w:tc>
        <w:tc>
          <w:tcPr>
            <w:tcW w:w="1955"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66685CE3">
            <w:pPr>
              <w:rPr>
                <w:rFonts w:ascii="Times New Roman" w:hAnsi="Times New Roman" w:eastAsia="宋体" w:cs="Times New Roman"/>
                <w:color w:val="auto"/>
                <w:szCs w:val="24"/>
              </w:rPr>
            </w:pPr>
          </w:p>
        </w:tc>
        <w:tc>
          <w:tcPr>
            <w:tcW w:w="2190"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4089EF4B">
            <w:pP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按照交易文件要求</w:t>
            </w:r>
          </w:p>
        </w:tc>
        <w:tc>
          <w:tcPr>
            <w:tcW w:w="1305" w:type="dxa"/>
            <w:tcBorders>
              <w:top w:val="single" w:color="888E93" w:sz="8" w:space="0"/>
              <w:left w:val="single" w:color="888E93" w:sz="8" w:space="0"/>
              <w:bottom w:val="single" w:color="888E93" w:sz="8" w:space="0"/>
              <w:right w:val="single" w:color="474747" w:sz="8" w:space="0"/>
            </w:tcBorders>
            <w:shd w:val="clear" w:color="auto" w:fill="FFFFFF"/>
            <w:vAlign w:val="center"/>
          </w:tcPr>
          <w:p w14:paraId="3947715F">
            <w:pPr>
              <w:rPr>
                <w:rFonts w:ascii="Times New Roman" w:hAnsi="Times New Roman" w:eastAsia="宋体" w:cs="Times New Roman"/>
                <w:color w:val="auto"/>
                <w:szCs w:val="24"/>
              </w:rPr>
            </w:pPr>
          </w:p>
        </w:tc>
      </w:tr>
      <w:tr w14:paraId="62158787">
        <w:tblPrEx>
          <w:tblCellMar>
            <w:top w:w="0" w:type="dxa"/>
            <w:left w:w="108" w:type="dxa"/>
            <w:bottom w:w="0" w:type="dxa"/>
            <w:right w:w="108" w:type="dxa"/>
          </w:tblCellMar>
        </w:tblPrEx>
        <w:trPr>
          <w:trHeight w:val="680" w:hRule="exact"/>
          <w:jc w:val="center"/>
        </w:trPr>
        <w:tc>
          <w:tcPr>
            <w:tcW w:w="861" w:type="dxa"/>
            <w:tcBorders>
              <w:top w:val="single" w:color="888E93" w:sz="8" w:space="0"/>
              <w:left w:val="single" w:color="474747" w:sz="8" w:space="0"/>
              <w:bottom w:val="single" w:color="888E93" w:sz="8" w:space="0"/>
              <w:right w:val="single" w:color="888E93" w:sz="8" w:space="0"/>
            </w:tcBorders>
            <w:shd w:val="clear" w:color="auto" w:fill="FFFFFF"/>
            <w:vAlign w:val="center"/>
          </w:tcPr>
          <w:p w14:paraId="163BD419">
            <w:pPr>
              <w:jc w:val="cente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4</w:t>
            </w:r>
          </w:p>
        </w:tc>
        <w:tc>
          <w:tcPr>
            <w:tcW w:w="2955"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76AD53A1">
            <w:pPr>
              <w:jc w:val="cente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误期赔偿费限额</w:t>
            </w:r>
          </w:p>
        </w:tc>
        <w:tc>
          <w:tcPr>
            <w:tcW w:w="1955"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7C95185D">
            <w:pPr>
              <w:rPr>
                <w:rFonts w:ascii="Times New Roman" w:hAnsi="Times New Roman" w:eastAsia="宋体" w:cs="Times New Roman"/>
                <w:color w:val="auto"/>
                <w:szCs w:val="24"/>
              </w:rPr>
            </w:pPr>
          </w:p>
        </w:tc>
        <w:tc>
          <w:tcPr>
            <w:tcW w:w="2190"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728C6236">
            <w:pP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按照交易文件要求</w:t>
            </w:r>
          </w:p>
        </w:tc>
        <w:tc>
          <w:tcPr>
            <w:tcW w:w="1305" w:type="dxa"/>
            <w:tcBorders>
              <w:top w:val="single" w:color="888E93" w:sz="8" w:space="0"/>
              <w:left w:val="single" w:color="888E93" w:sz="8" w:space="0"/>
              <w:bottom w:val="single" w:color="888E93" w:sz="8" w:space="0"/>
              <w:right w:val="single" w:color="474747" w:sz="8" w:space="0"/>
            </w:tcBorders>
            <w:shd w:val="clear" w:color="auto" w:fill="FFFFFF"/>
            <w:vAlign w:val="center"/>
          </w:tcPr>
          <w:p w14:paraId="15CCCBF0">
            <w:pPr>
              <w:rPr>
                <w:rFonts w:ascii="Times New Roman" w:hAnsi="Times New Roman" w:eastAsia="宋体" w:cs="Times New Roman"/>
                <w:color w:val="auto"/>
                <w:szCs w:val="24"/>
              </w:rPr>
            </w:pPr>
          </w:p>
        </w:tc>
      </w:tr>
      <w:tr w14:paraId="672045BF">
        <w:tblPrEx>
          <w:tblCellMar>
            <w:top w:w="0" w:type="dxa"/>
            <w:left w:w="108" w:type="dxa"/>
            <w:bottom w:w="0" w:type="dxa"/>
            <w:right w:w="108" w:type="dxa"/>
          </w:tblCellMar>
        </w:tblPrEx>
        <w:trPr>
          <w:trHeight w:val="680" w:hRule="exact"/>
          <w:jc w:val="center"/>
        </w:trPr>
        <w:tc>
          <w:tcPr>
            <w:tcW w:w="861" w:type="dxa"/>
            <w:tcBorders>
              <w:top w:val="single" w:color="888E93" w:sz="8" w:space="0"/>
              <w:left w:val="single" w:color="474747" w:sz="8" w:space="0"/>
              <w:bottom w:val="single" w:color="888E93" w:sz="8" w:space="0"/>
              <w:right w:val="single" w:color="888E93" w:sz="8" w:space="0"/>
            </w:tcBorders>
            <w:shd w:val="clear" w:color="auto" w:fill="FFFFFF"/>
            <w:vAlign w:val="center"/>
          </w:tcPr>
          <w:p w14:paraId="10BEB21B">
            <w:pPr>
              <w:jc w:val="cente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5</w:t>
            </w:r>
          </w:p>
        </w:tc>
        <w:tc>
          <w:tcPr>
            <w:tcW w:w="2955"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25A05CA4">
            <w:pPr>
              <w:jc w:val="cente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提前工期奖</w:t>
            </w:r>
          </w:p>
        </w:tc>
        <w:tc>
          <w:tcPr>
            <w:tcW w:w="1955"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78F7B7CA">
            <w:pPr>
              <w:rPr>
                <w:rFonts w:ascii="Times New Roman" w:hAnsi="Times New Roman" w:eastAsia="宋体" w:cs="Times New Roman"/>
                <w:color w:val="auto"/>
                <w:szCs w:val="24"/>
              </w:rPr>
            </w:pPr>
          </w:p>
        </w:tc>
        <w:tc>
          <w:tcPr>
            <w:tcW w:w="2190"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65F973B6">
            <w:pP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按照交易文件要求</w:t>
            </w:r>
          </w:p>
        </w:tc>
        <w:tc>
          <w:tcPr>
            <w:tcW w:w="1305" w:type="dxa"/>
            <w:tcBorders>
              <w:top w:val="single" w:color="888E93" w:sz="8" w:space="0"/>
              <w:left w:val="single" w:color="888E93" w:sz="8" w:space="0"/>
              <w:bottom w:val="single" w:color="888E93" w:sz="8" w:space="0"/>
              <w:right w:val="single" w:color="474747" w:sz="8" w:space="0"/>
            </w:tcBorders>
            <w:shd w:val="clear" w:color="auto" w:fill="FFFFFF"/>
            <w:vAlign w:val="center"/>
          </w:tcPr>
          <w:p w14:paraId="0DFF6E55">
            <w:pPr>
              <w:rPr>
                <w:rFonts w:ascii="Times New Roman" w:hAnsi="Times New Roman" w:eastAsia="宋体" w:cs="Times New Roman"/>
                <w:color w:val="auto"/>
                <w:szCs w:val="24"/>
              </w:rPr>
            </w:pPr>
          </w:p>
        </w:tc>
      </w:tr>
      <w:tr w14:paraId="4057D142">
        <w:tblPrEx>
          <w:tblCellMar>
            <w:top w:w="0" w:type="dxa"/>
            <w:left w:w="108" w:type="dxa"/>
            <w:bottom w:w="0" w:type="dxa"/>
            <w:right w:w="108" w:type="dxa"/>
          </w:tblCellMar>
        </w:tblPrEx>
        <w:trPr>
          <w:trHeight w:val="680" w:hRule="exact"/>
          <w:jc w:val="center"/>
        </w:trPr>
        <w:tc>
          <w:tcPr>
            <w:tcW w:w="861" w:type="dxa"/>
            <w:tcBorders>
              <w:top w:val="single" w:color="888E93" w:sz="8" w:space="0"/>
              <w:left w:val="single" w:color="474747" w:sz="8" w:space="0"/>
              <w:bottom w:val="single" w:color="888E93" w:sz="8" w:space="0"/>
              <w:right w:val="single" w:color="888E93" w:sz="8" w:space="0"/>
            </w:tcBorders>
            <w:shd w:val="clear" w:color="auto" w:fill="FFFFFF"/>
            <w:vAlign w:val="center"/>
          </w:tcPr>
          <w:p w14:paraId="1BE47E6B">
            <w:pPr>
              <w:jc w:val="cente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6</w:t>
            </w:r>
          </w:p>
        </w:tc>
        <w:tc>
          <w:tcPr>
            <w:tcW w:w="2955"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183BAD06">
            <w:pPr>
              <w:jc w:val="cente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创优质工程(如有)</w:t>
            </w:r>
          </w:p>
        </w:tc>
        <w:tc>
          <w:tcPr>
            <w:tcW w:w="1955"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1745D49B">
            <w:pPr>
              <w:rPr>
                <w:rFonts w:ascii="Times New Roman" w:hAnsi="Times New Roman" w:eastAsia="宋体" w:cs="Times New Roman"/>
                <w:color w:val="auto"/>
                <w:szCs w:val="24"/>
              </w:rPr>
            </w:pPr>
          </w:p>
        </w:tc>
        <w:tc>
          <w:tcPr>
            <w:tcW w:w="2190"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3ED6DAFF">
            <w:pP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按照交易文件要求</w:t>
            </w:r>
          </w:p>
        </w:tc>
        <w:tc>
          <w:tcPr>
            <w:tcW w:w="1305" w:type="dxa"/>
            <w:tcBorders>
              <w:top w:val="single" w:color="888E93" w:sz="8" w:space="0"/>
              <w:left w:val="single" w:color="888E93" w:sz="8" w:space="0"/>
              <w:bottom w:val="single" w:color="888E93" w:sz="8" w:space="0"/>
              <w:right w:val="single" w:color="474747" w:sz="8" w:space="0"/>
            </w:tcBorders>
            <w:shd w:val="clear" w:color="auto" w:fill="FFFFFF"/>
            <w:vAlign w:val="center"/>
          </w:tcPr>
          <w:p w14:paraId="7BD20181">
            <w:pPr>
              <w:rPr>
                <w:rFonts w:ascii="Times New Roman" w:hAnsi="Times New Roman" w:eastAsia="宋体" w:cs="Times New Roman"/>
                <w:color w:val="auto"/>
                <w:szCs w:val="24"/>
              </w:rPr>
            </w:pPr>
          </w:p>
        </w:tc>
      </w:tr>
      <w:tr w14:paraId="695D8887">
        <w:tblPrEx>
          <w:tblCellMar>
            <w:top w:w="0" w:type="dxa"/>
            <w:left w:w="108" w:type="dxa"/>
            <w:bottom w:w="0" w:type="dxa"/>
            <w:right w:w="108" w:type="dxa"/>
          </w:tblCellMar>
        </w:tblPrEx>
        <w:trPr>
          <w:trHeight w:val="680" w:hRule="exact"/>
          <w:jc w:val="center"/>
        </w:trPr>
        <w:tc>
          <w:tcPr>
            <w:tcW w:w="861" w:type="dxa"/>
            <w:tcBorders>
              <w:top w:val="single" w:color="888E93" w:sz="8" w:space="0"/>
              <w:left w:val="single" w:color="474747" w:sz="8" w:space="0"/>
              <w:bottom w:val="single" w:color="888E93" w:sz="8" w:space="0"/>
              <w:right w:val="single" w:color="888E93" w:sz="8" w:space="0"/>
            </w:tcBorders>
            <w:shd w:val="clear" w:color="auto" w:fill="FFFFFF"/>
            <w:vAlign w:val="center"/>
          </w:tcPr>
          <w:p w14:paraId="3069A8DF">
            <w:pPr>
              <w:jc w:val="cente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7</w:t>
            </w:r>
          </w:p>
        </w:tc>
        <w:tc>
          <w:tcPr>
            <w:tcW w:w="2955"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3FB36A75">
            <w:pPr>
              <w:jc w:val="cente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工程质量违约金最高金额</w:t>
            </w:r>
          </w:p>
        </w:tc>
        <w:tc>
          <w:tcPr>
            <w:tcW w:w="1955"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67DD9DCD">
            <w:pPr>
              <w:rPr>
                <w:rFonts w:ascii="Times New Roman" w:hAnsi="Times New Roman" w:eastAsia="宋体" w:cs="Times New Roman"/>
                <w:color w:val="auto"/>
                <w:szCs w:val="24"/>
              </w:rPr>
            </w:pPr>
          </w:p>
        </w:tc>
        <w:tc>
          <w:tcPr>
            <w:tcW w:w="2190"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14E507AE">
            <w:pP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按照交易文件要求</w:t>
            </w:r>
          </w:p>
        </w:tc>
        <w:tc>
          <w:tcPr>
            <w:tcW w:w="1305" w:type="dxa"/>
            <w:tcBorders>
              <w:top w:val="single" w:color="888E93" w:sz="8" w:space="0"/>
              <w:left w:val="single" w:color="888E93" w:sz="8" w:space="0"/>
              <w:bottom w:val="single" w:color="888E93" w:sz="8" w:space="0"/>
              <w:right w:val="single" w:color="474747" w:sz="8" w:space="0"/>
            </w:tcBorders>
            <w:shd w:val="clear" w:color="auto" w:fill="FFFFFF"/>
            <w:vAlign w:val="center"/>
          </w:tcPr>
          <w:p w14:paraId="79F1C0F2">
            <w:pPr>
              <w:rPr>
                <w:rFonts w:ascii="Times New Roman" w:hAnsi="Times New Roman" w:eastAsia="宋体" w:cs="Times New Roman"/>
                <w:color w:val="auto"/>
                <w:szCs w:val="24"/>
              </w:rPr>
            </w:pPr>
          </w:p>
        </w:tc>
      </w:tr>
      <w:tr w14:paraId="680DCCB0">
        <w:tblPrEx>
          <w:tblCellMar>
            <w:top w:w="0" w:type="dxa"/>
            <w:left w:w="108" w:type="dxa"/>
            <w:bottom w:w="0" w:type="dxa"/>
            <w:right w:w="108" w:type="dxa"/>
          </w:tblCellMar>
        </w:tblPrEx>
        <w:trPr>
          <w:trHeight w:val="680" w:hRule="exact"/>
          <w:jc w:val="center"/>
        </w:trPr>
        <w:tc>
          <w:tcPr>
            <w:tcW w:w="861" w:type="dxa"/>
            <w:tcBorders>
              <w:top w:val="single" w:color="888E93" w:sz="8" w:space="0"/>
              <w:left w:val="single" w:color="474747" w:sz="8" w:space="0"/>
              <w:bottom w:val="single" w:color="888E93" w:sz="8" w:space="0"/>
              <w:right w:val="single" w:color="888E93" w:sz="8" w:space="0"/>
            </w:tcBorders>
            <w:shd w:val="clear" w:color="auto" w:fill="FFFFFF"/>
            <w:vAlign w:val="center"/>
          </w:tcPr>
          <w:p w14:paraId="331D8213">
            <w:pPr>
              <w:jc w:val="cente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8</w:t>
            </w:r>
          </w:p>
        </w:tc>
        <w:tc>
          <w:tcPr>
            <w:tcW w:w="2955"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3F63648E">
            <w:pPr>
              <w:jc w:val="cente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预付款金额</w:t>
            </w:r>
          </w:p>
        </w:tc>
        <w:tc>
          <w:tcPr>
            <w:tcW w:w="1955"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03C9C876">
            <w:pPr>
              <w:rPr>
                <w:rFonts w:ascii="Times New Roman" w:hAnsi="Times New Roman" w:eastAsia="宋体" w:cs="Times New Roman"/>
                <w:color w:val="auto"/>
                <w:szCs w:val="24"/>
              </w:rPr>
            </w:pPr>
          </w:p>
        </w:tc>
        <w:tc>
          <w:tcPr>
            <w:tcW w:w="2190"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24D65211">
            <w:pP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按照交易文件要求</w:t>
            </w:r>
          </w:p>
        </w:tc>
        <w:tc>
          <w:tcPr>
            <w:tcW w:w="1305" w:type="dxa"/>
            <w:tcBorders>
              <w:top w:val="single" w:color="888E93" w:sz="8" w:space="0"/>
              <w:left w:val="single" w:color="888E93" w:sz="8" w:space="0"/>
              <w:bottom w:val="single" w:color="888E93" w:sz="8" w:space="0"/>
              <w:right w:val="single" w:color="474747" w:sz="8" w:space="0"/>
            </w:tcBorders>
            <w:shd w:val="clear" w:color="auto" w:fill="FFFFFF"/>
            <w:vAlign w:val="center"/>
          </w:tcPr>
          <w:p w14:paraId="121ECC27">
            <w:pPr>
              <w:rPr>
                <w:rFonts w:ascii="Times New Roman" w:hAnsi="Times New Roman" w:eastAsia="宋体" w:cs="Times New Roman"/>
                <w:color w:val="auto"/>
                <w:szCs w:val="24"/>
              </w:rPr>
            </w:pPr>
          </w:p>
        </w:tc>
      </w:tr>
      <w:tr w14:paraId="051C95AC">
        <w:tblPrEx>
          <w:tblCellMar>
            <w:top w:w="0" w:type="dxa"/>
            <w:left w:w="108" w:type="dxa"/>
            <w:bottom w:w="0" w:type="dxa"/>
            <w:right w:w="108" w:type="dxa"/>
          </w:tblCellMar>
        </w:tblPrEx>
        <w:trPr>
          <w:trHeight w:val="680" w:hRule="exact"/>
          <w:jc w:val="center"/>
        </w:trPr>
        <w:tc>
          <w:tcPr>
            <w:tcW w:w="861" w:type="dxa"/>
            <w:tcBorders>
              <w:top w:val="single" w:color="888E93" w:sz="8" w:space="0"/>
              <w:left w:val="single" w:color="474747" w:sz="8" w:space="0"/>
              <w:bottom w:val="single" w:color="888E93" w:sz="8" w:space="0"/>
              <w:right w:val="single" w:color="888E93" w:sz="8" w:space="0"/>
            </w:tcBorders>
            <w:shd w:val="clear" w:color="auto" w:fill="FFFFFF"/>
            <w:vAlign w:val="center"/>
          </w:tcPr>
          <w:p w14:paraId="46370930">
            <w:pPr>
              <w:jc w:val="cente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9</w:t>
            </w:r>
          </w:p>
        </w:tc>
        <w:tc>
          <w:tcPr>
            <w:tcW w:w="2955"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3ECA634B">
            <w:pPr>
              <w:jc w:val="cente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预付款保函金额</w:t>
            </w:r>
          </w:p>
        </w:tc>
        <w:tc>
          <w:tcPr>
            <w:tcW w:w="1955"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1719A279">
            <w:pPr>
              <w:rPr>
                <w:rFonts w:ascii="Times New Roman" w:hAnsi="Times New Roman" w:eastAsia="宋体" w:cs="Times New Roman"/>
                <w:color w:val="auto"/>
                <w:szCs w:val="24"/>
              </w:rPr>
            </w:pPr>
          </w:p>
        </w:tc>
        <w:tc>
          <w:tcPr>
            <w:tcW w:w="2190"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36A7B348">
            <w:pP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按照交易文件要求</w:t>
            </w:r>
          </w:p>
        </w:tc>
        <w:tc>
          <w:tcPr>
            <w:tcW w:w="1305" w:type="dxa"/>
            <w:tcBorders>
              <w:top w:val="single" w:color="888E93" w:sz="8" w:space="0"/>
              <w:left w:val="single" w:color="888E93" w:sz="8" w:space="0"/>
              <w:bottom w:val="single" w:color="888E93" w:sz="8" w:space="0"/>
              <w:right w:val="single" w:color="474747" w:sz="8" w:space="0"/>
            </w:tcBorders>
            <w:shd w:val="clear" w:color="auto" w:fill="FFFFFF"/>
            <w:vAlign w:val="center"/>
          </w:tcPr>
          <w:p w14:paraId="119E682E">
            <w:pPr>
              <w:rPr>
                <w:rFonts w:ascii="Times New Roman" w:hAnsi="Times New Roman" w:eastAsia="宋体" w:cs="Times New Roman"/>
                <w:color w:val="auto"/>
                <w:szCs w:val="24"/>
              </w:rPr>
            </w:pPr>
          </w:p>
        </w:tc>
      </w:tr>
      <w:tr w14:paraId="1B50C296">
        <w:tblPrEx>
          <w:tblCellMar>
            <w:top w:w="0" w:type="dxa"/>
            <w:left w:w="108" w:type="dxa"/>
            <w:bottom w:w="0" w:type="dxa"/>
            <w:right w:w="108" w:type="dxa"/>
          </w:tblCellMar>
        </w:tblPrEx>
        <w:trPr>
          <w:trHeight w:val="680" w:hRule="exact"/>
          <w:jc w:val="center"/>
        </w:trPr>
        <w:tc>
          <w:tcPr>
            <w:tcW w:w="861" w:type="dxa"/>
            <w:tcBorders>
              <w:top w:val="single" w:color="888E93" w:sz="8" w:space="0"/>
              <w:left w:val="single" w:color="474747" w:sz="8" w:space="0"/>
              <w:bottom w:val="single" w:color="888E93" w:sz="8" w:space="0"/>
              <w:right w:val="single" w:color="888E93" w:sz="8" w:space="0"/>
            </w:tcBorders>
            <w:shd w:val="clear" w:color="auto" w:fill="FFFFFF"/>
            <w:vAlign w:val="center"/>
          </w:tcPr>
          <w:p w14:paraId="54361CAF">
            <w:pPr>
              <w:jc w:val="cente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10</w:t>
            </w:r>
          </w:p>
        </w:tc>
        <w:tc>
          <w:tcPr>
            <w:tcW w:w="2955"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656A09F6">
            <w:pPr>
              <w:jc w:val="cente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进度款付款金额</w:t>
            </w:r>
          </w:p>
        </w:tc>
        <w:tc>
          <w:tcPr>
            <w:tcW w:w="1955"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09DE312F">
            <w:pPr>
              <w:rPr>
                <w:rFonts w:ascii="Times New Roman" w:hAnsi="Times New Roman" w:eastAsia="宋体" w:cs="Times New Roman"/>
                <w:color w:val="auto"/>
                <w:szCs w:val="24"/>
              </w:rPr>
            </w:pPr>
          </w:p>
        </w:tc>
        <w:tc>
          <w:tcPr>
            <w:tcW w:w="2190"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3B879B6E">
            <w:pP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按照交易文件要求</w:t>
            </w:r>
          </w:p>
        </w:tc>
        <w:tc>
          <w:tcPr>
            <w:tcW w:w="1305" w:type="dxa"/>
            <w:tcBorders>
              <w:top w:val="single" w:color="888E93" w:sz="8" w:space="0"/>
              <w:left w:val="single" w:color="888E93" w:sz="8" w:space="0"/>
              <w:bottom w:val="single" w:color="888E93" w:sz="8" w:space="0"/>
              <w:right w:val="single" w:color="474747" w:sz="8" w:space="0"/>
            </w:tcBorders>
            <w:shd w:val="clear" w:color="auto" w:fill="FFFFFF"/>
            <w:vAlign w:val="center"/>
          </w:tcPr>
          <w:p w14:paraId="3E3D3917">
            <w:pPr>
              <w:rPr>
                <w:rFonts w:ascii="Times New Roman" w:hAnsi="Times New Roman" w:eastAsia="宋体" w:cs="Times New Roman"/>
                <w:color w:val="auto"/>
                <w:szCs w:val="24"/>
              </w:rPr>
            </w:pPr>
          </w:p>
        </w:tc>
      </w:tr>
      <w:tr w14:paraId="573968AF">
        <w:tblPrEx>
          <w:tblCellMar>
            <w:top w:w="0" w:type="dxa"/>
            <w:left w:w="108" w:type="dxa"/>
            <w:bottom w:w="0" w:type="dxa"/>
            <w:right w:w="108" w:type="dxa"/>
          </w:tblCellMar>
        </w:tblPrEx>
        <w:trPr>
          <w:trHeight w:val="680" w:hRule="exact"/>
          <w:jc w:val="center"/>
        </w:trPr>
        <w:tc>
          <w:tcPr>
            <w:tcW w:w="861" w:type="dxa"/>
            <w:tcBorders>
              <w:top w:val="single" w:color="888E93" w:sz="8" w:space="0"/>
              <w:left w:val="single" w:color="474747" w:sz="8" w:space="0"/>
              <w:bottom w:val="single" w:color="888E93" w:sz="8" w:space="0"/>
              <w:right w:val="single" w:color="888E93" w:sz="8" w:space="0"/>
            </w:tcBorders>
            <w:shd w:val="clear" w:color="auto" w:fill="FFFFFF"/>
            <w:vAlign w:val="center"/>
          </w:tcPr>
          <w:p w14:paraId="744134DC">
            <w:pPr>
              <w:jc w:val="cente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11</w:t>
            </w:r>
          </w:p>
        </w:tc>
        <w:tc>
          <w:tcPr>
            <w:tcW w:w="2955"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4BF86E32">
            <w:pPr>
              <w:jc w:val="cente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竣工结算款付款时间</w:t>
            </w:r>
          </w:p>
        </w:tc>
        <w:tc>
          <w:tcPr>
            <w:tcW w:w="1955"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55F796CB">
            <w:pPr>
              <w:rPr>
                <w:rFonts w:ascii="Times New Roman" w:hAnsi="Times New Roman" w:eastAsia="宋体" w:cs="Times New Roman"/>
                <w:color w:val="auto"/>
                <w:szCs w:val="24"/>
              </w:rPr>
            </w:pPr>
          </w:p>
        </w:tc>
        <w:tc>
          <w:tcPr>
            <w:tcW w:w="2190"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08006583">
            <w:pP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按照交易文件要求</w:t>
            </w:r>
          </w:p>
        </w:tc>
        <w:tc>
          <w:tcPr>
            <w:tcW w:w="1305" w:type="dxa"/>
            <w:tcBorders>
              <w:top w:val="single" w:color="888E93" w:sz="8" w:space="0"/>
              <w:left w:val="single" w:color="888E93" w:sz="8" w:space="0"/>
              <w:bottom w:val="single" w:color="888E93" w:sz="8" w:space="0"/>
              <w:right w:val="single" w:color="474747" w:sz="8" w:space="0"/>
            </w:tcBorders>
            <w:shd w:val="clear" w:color="auto" w:fill="FFFFFF"/>
            <w:vAlign w:val="center"/>
          </w:tcPr>
          <w:p w14:paraId="7D277219">
            <w:pPr>
              <w:rPr>
                <w:rFonts w:ascii="Times New Roman" w:hAnsi="Times New Roman" w:eastAsia="宋体" w:cs="Times New Roman"/>
                <w:color w:val="auto"/>
                <w:szCs w:val="24"/>
              </w:rPr>
            </w:pPr>
          </w:p>
        </w:tc>
      </w:tr>
      <w:tr w14:paraId="08177E2E">
        <w:tblPrEx>
          <w:tblCellMar>
            <w:top w:w="0" w:type="dxa"/>
            <w:left w:w="108" w:type="dxa"/>
            <w:bottom w:w="0" w:type="dxa"/>
            <w:right w:w="108" w:type="dxa"/>
          </w:tblCellMar>
        </w:tblPrEx>
        <w:trPr>
          <w:trHeight w:val="680" w:hRule="exact"/>
          <w:jc w:val="center"/>
        </w:trPr>
        <w:tc>
          <w:tcPr>
            <w:tcW w:w="861" w:type="dxa"/>
            <w:tcBorders>
              <w:top w:val="single" w:color="888E93" w:sz="8" w:space="0"/>
              <w:left w:val="single" w:color="474747" w:sz="8" w:space="0"/>
              <w:bottom w:val="single" w:color="474747" w:sz="8" w:space="0"/>
              <w:right w:val="single" w:color="888E93" w:sz="8" w:space="0"/>
            </w:tcBorders>
            <w:shd w:val="clear" w:color="auto" w:fill="FFFFFF"/>
            <w:vAlign w:val="center"/>
          </w:tcPr>
          <w:p w14:paraId="7A250349">
            <w:pPr>
              <w:jc w:val="cente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12</w:t>
            </w:r>
          </w:p>
        </w:tc>
        <w:tc>
          <w:tcPr>
            <w:tcW w:w="2955" w:type="dxa"/>
            <w:tcBorders>
              <w:top w:val="single" w:color="888E93" w:sz="8" w:space="0"/>
              <w:left w:val="single" w:color="888E93" w:sz="8" w:space="0"/>
              <w:bottom w:val="single" w:color="474747" w:sz="8" w:space="0"/>
              <w:right w:val="single" w:color="888E93" w:sz="8" w:space="0"/>
            </w:tcBorders>
            <w:shd w:val="clear" w:color="auto" w:fill="FFFFFF"/>
            <w:vAlign w:val="center"/>
          </w:tcPr>
          <w:p w14:paraId="26D004DD">
            <w:pPr>
              <w:jc w:val="cente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保修期</w:t>
            </w:r>
          </w:p>
        </w:tc>
        <w:tc>
          <w:tcPr>
            <w:tcW w:w="1955" w:type="dxa"/>
            <w:tcBorders>
              <w:top w:val="single" w:color="888E93" w:sz="8" w:space="0"/>
              <w:left w:val="single" w:color="888E93" w:sz="8" w:space="0"/>
              <w:bottom w:val="single" w:color="474747" w:sz="8" w:space="0"/>
              <w:right w:val="single" w:color="888E93" w:sz="8" w:space="0"/>
            </w:tcBorders>
            <w:shd w:val="clear" w:color="auto" w:fill="FFFFFF"/>
            <w:vAlign w:val="center"/>
          </w:tcPr>
          <w:p w14:paraId="14C895A8">
            <w:pPr>
              <w:rPr>
                <w:rFonts w:ascii="Times New Roman" w:hAnsi="Times New Roman" w:eastAsia="宋体" w:cs="Times New Roman"/>
                <w:color w:val="auto"/>
                <w:szCs w:val="24"/>
              </w:rPr>
            </w:pPr>
          </w:p>
        </w:tc>
        <w:tc>
          <w:tcPr>
            <w:tcW w:w="2190" w:type="dxa"/>
            <w:tcBorders>
              <w:top w:val="single" w:color="888E93" w:sz="8" w:space="0"/>
              <w:left w:val="single" w:color="888E93" w:sz="8" w:space="0"/>
              <w:bottom w:val="single" w:color="474747" w:sz="8" w:space="0"/>
              <w:right w:val="single" w:color="888E93" w:sz="8" w:space="0"/>
            </w:tcBorders>
            <w:shd w:val="clear" w:color="auto" w:fill="FFFFFF"/>
            <w:vAlign w:val="center"/>
          </w:tcPr>
          <w:p w14:paraId="3D819F83">
            <w:pPr>
              <w:textAlignment w:val="center"/>
              <w:rPr>
                <w:rFonts w:ascii="Times New Roman" w:hAnsi="Times New Roman" w:eastAsia="宋体" w:cs="Times New Roman"/>
                <w:color w:val="auto"/>
                <w:szCs w:val="24"/>
              </w:rPr>
            </w:pPr>
            <w:r>
              <w:rPr>
                <w:rFonts w:ascii="Times New Roman" w:hAnsi="Times New Roman" w:eastAsia="宋体" w:cs="Times New Roman"/>
                <w:color w:val="auto"/>
                <w:szCs w:val="24"/>
              </w:rPr>
              <w:t>按照交易文件要求</w:t>
            </w:r>
          </w:p>
        </w:tc>
        <w:tc>
          <w:tcPr>
            <w:tcW w:w="1305" w:type="dxa"/>
            <w:tcBorders>
              <w:top w:val="single" w:color="888E93" w:sz="8" w:space="0"/>
              <w:left w:val="single" w:color="888E93" w:sz="8" w:space="0"/>
              <w:bottom w:val="single" w:color="474747" w:sz="8" w:space="0"/>
              <w:right w:val="single" w:color="474747" w:sz="8" w:space="0"/>
            </w:tcBorders>
            <w:shd w:val="clear" w:color="auto" w:fill="FFFFFF"/>
            <w:vAlign w:val="center"/>
          </w:tcPr>
          <w:p w14:paraId="72FA5A87">
            <w:pPr>
              <w:rPr>
                <w:rFonts w:ascii="Times New Roman" w:hAnsi="Times New Roman" w:eastAsia="宋体" w:cs="Times New Roman"/>
                <w:color w:val="auto"/>
                <w:szCs w:val="24"/>
              </w:rPr>
            </w:pPr>
          </w:p>
        </w:tc>
      </w:tr>
    </w:tbl>
    <w:p w14:paraId="1EFC76B6">
      <w:pPr>
        <w:rPr>
          <w:rFonts w:ascii="Times New Roman" w:hAnsi="Times New Roman" w:eastAsia="宋体" w:cs="Times New Roman"/>
          <w:color w:val="auto"/>
          <w:spacing w:val="-1"/>
          <w:sz w:val="44"/>
          <w:szCs w:val="44"/>
          <w14:textOutline w14:w="5448" w14:cap="flat" w14:cmpd="sng" w14:algn="ctr">
            <w14:solidFill>
              <w14:srgbClr w14:val="000000"/>
            </w14:solidFill>
            <w14:prstDash w14:val="solid"/>
            <w14:miter w14:val="0"/>
          </w14:textOutline>
        </w:rPr>
      </w:pPr>
      <w:r>
        <w:rPr>
          <w:rFonts w:ascii="Times New Roman" w:hAnsi="Times New Roman" w:eastAsia="宋体" w:cs="Times New Roman"/>
          <w:color w:val="auto"/>
          <w:spacing w:val="-1"/>
          <w:sz w:val="44"/>
          <w:szCs w:val="44"/>
          <w14:textOutline w14:w="5448" w14:cap="flat" w14:cmpd="sng" w14:algn="ctr">
            <w14:solidFill>
              <w14:srgbClr w14:val="000000"/>
            </w14:solidFill>
            <w14:prstDash w14:val="solid"/>
            <w14:miter w14:val="0"/>
          </w14:textOutline>
        </w:rPr>
        <w:br w:type="page"/>
      </w:r>
    </w:p>
    <w:p w14:paraId="43925E67">
      <w:pPr>
        <w:pStyle w:val="3"/>
        <w:widowControl w:val="0"/>
        <w:kinsoku/>
        <w:topLinePunct/>
        <w:rPr>
          <w:rFonts w:ascii="宋体" w:hAnsi="宋体" w:eastAsia="宋体" w:cs="宋体"/>
          <w:b w:val="0"/>
          <w:bCs w:val="0"/>
          <w:color w:val="auto"/>
          <w:spacing w:val="-1"/>
          <w:sz w:val="44"/>
          <w:szCs w:val="44"/>
          <w14:textOutline w14:w="5448" w14:cap="flat" w14:cmpd="sng" w14:algn="ctr">
            <w14:solidFill>
              <w14:srgbClr w14:val="000000"/>
            </w14:solidFill>
            <w14:prstDash w14:val="solid"/>
            <w14:miter w14:val="0"/>
          </w14:textOutline>
        </w:rPr>
      </w:pPr>
      <w:r>
        <w:rPr>
          <w:rFonts w:hint="eastAsia" w:ascii="宋体" w:hAnsi="宋体" w:eastAsia="宋体" w:cs="宋体"/>
          <w:b w:val="0"/>
          <w:bCs w:val="0"/>
          <w:color w:val="auto"/>
          <w:spacing w:val="-1"/>
          <w:sz w:val="44"/>
          <w:szCs w:val="44"/>
          <w14:textOutline w14:w="5448" w14:cap="flat" w14:cmpd="sng" w14:algn="ctr">
            <w14:solidFill>
              <w14:srgbClr w14:val="000000"/>
            </w14:solidFill>
            <w14:prstDash w14:val="solid"/>
            <w14:miter w14:val="0"/>
          </w14:textOutline>
        </w:rPr>
        <w:t>工程量清单报价</w:t>
      </w:r>
    </w:p>
    <w:p w14:paraId="2D6D015C"/>
    <w:p w14:paraId="0CBA11EC">
      <w:pPr>
        <w:numPr>
          <w:ilvl w:val="0"/>
          <w:numId w:val="11"/>
        </w:numPr>
        <w:kinsoku/>
        <w:snapToGrid/>
        <w:rPr>
          <w:rFonts w:ascii="宋体" w:hAnsi="宋体" w:eastAsia="宋体" w:cs="宋体"/>
        </w:rPr>
      </w:pPr>
      <w:r>
        <w:rPr>
          <w:rFonts w:hint="eastAsia" w:ascii="宋体" w:hAnsi="宋体" w:eastAsia="宋体" w:cs="宋体"/>
        </w:rPr>
        <w:t>响应报价应根据下列依据进行编制：相关专业工程的国家标准《工程量计算规范》；省、市建设行政主管部门以及工程造价管理机构颁发的相关计价规定；《杭州市建设工程工程量清单计价实施细则（2018年修订）》；本企业定额或参照省、市建设行政主管部门颁发的计价依据；交易文件、发包工程量清单及其补充通知、答疑纪要；达到规定设计深度的施工图纸；与工程项目有关的规范、标准、技术资料；施工现场实际情况、工程特点和潜在承包人自行拟定的施工组织设计或施工方案；市场价格或工程造价管理机构发布的价格信息；其他相关资料。</w:t>
      </w:r>
    </w:p>
    <w:p w14:paraId="0789A3E8">
      <w:pPr>
        <w:numPr>
          <w:ilvl w:val="0"/>
          <w:numId w:val="11"/>
        </w:numPr>
        <w:kinsoku/>
        <w:snapToGrid/>
        <w:rPr>
          <w:rFonts w:ascii="宋体" w:hAnsi="宋体" w:eastAsia="宋体" w:cs="宋体"/>
        </w:rPr>
      </w:pPr>
      <w:r>
        <w:rPr>
          <w:rFonts w:hint="eastAsia" w:ascii="宋体" w:hAnsi="宋体" w:eastAsia="宋体" w:cs="宋体"/>
        </w:rPr>
        <w:t>潜在承包人应当根据本企业的具体经营状况、技术装备水平、管理水平，视工程的实际情况、风险程度，自主报价。潜在承包人不得以低于其企业成本的响应报价竞标。</w:t>
      </w:r>
    </w:p>
    <w:p w14:paraId="5149E2DF">
      <w:pPr>
        <w:tabs>
          <w:tab w:val="left" w:pos="3780"/>
        </w:tabs>
        <w:kinsoku/>
        <w:snapToGrid/>
        <w:ind w:firstLine="480" w:firstLineChars="200"/>
        <w:rPr>
          <w:rFonts w:ascii="宋体" w:hAnsi="宋体" w:eastAsia="宋体" w:cs="宋体"/>
        </w:rPr>
      </w:pPr>
      <w:r>
        <w:rPr>
          <w:rFonts w:hint="eastAsia" w:ascii="宋体" w:hAnsi="宋体" w:eastAsia="宋体" w:cs="宋体"/>
        </w:rPr>
        <w:t>潜在承包人应根据其响应报价情况提供书面报价说明。报价说明的主要内容包括：响应报价的编制依据；对工期、质量、材料、施工等方面的承诺；综合单价中考虑的风险因素、风险范围（幅度）；措施项目的依据；其他需要说明的问题。</w:t>
      </w:r>
    </w:p>
    <w:p w14:paraId="2EF40801">
      <w:pPr>
        <w:numPr>
          <w:ilvl w:val="0"/>
          <w:numId w:val="11"/>
        </w:numPr>
        <w:kinsoku/>
        <w:snapToGrid/>
        <w:rPr>
          <w:rFonts w:ascii="宋体" w:hAnsi="宋体" w:eastAsia="宋体" w:cs="宋体"/>
        </w:rPr>
      </w:pPr>
      <w:r>
        <w:rPr>
          <w:rFonts w:hint="eastAsia" w:ascii="宋体" w:hAnsi="宋体" w:eastAsia="宋体" w:cs="宋体"/>
        </w:rPr>
        <w:t>响应报价应按照以下原则计价：</w:t>
      </w:r>
    </w:p>
    <w:p w14:paraId="7E94ECD9">
      <w:pPr>
        <w:kinsoku/>
        <w:snapToGrid/>
        <w:ind w:firstLine="482" w:firstLineChars="200"/>
        <w:rPr>
          <w:rFonts w:ascii="宋体" w:hAnsi="宋体" w:eastAsia="宋体" w:cs="宋体"/>
        </w:rPr>
      </w:pPr>
      <w:r>
        <w:rPr>
          <w:rFonts w:hint="eastAsia" w:ascii="宋体" w:hAnsi="宋体" w:eastAsia="宋体" w:cs="宋体"/>
          <w:b/>
        </w:rPr>
        <w:t>1.分部分项工程项目清单费用</w:t>
      </w:r>
    </w:p>
    <w:p w14:paraId="1E982888">
      <w:pPr>
        <w:kinsoku/>
        <w:snapToGrid/>
        <w:ind w:firstLine="480" w:firstLineChars="200"/>
        <w:rPr>
          <w:rFonts w:ascii="宋体" w:hAnsi="宋体" w:eastAsia="宋体" w:cs="宋体"/>
        </w:rPr>
      </w:pPr>
      <w:r>
        <w:rPr>
          <w:rFonts w:hint="eastAsia" w:ascii="宋体" w:hAnsi="宋体" w:eastAsia="宋体" w:cs="宋体"/>
        </w:rPr>
        <w:t>（1）潜在承包人按发包工程量清单填报价格。响应报价采用综合单价计价，潜在承包人应根据综合单价的组成、工程量清单项目特征描述和工程内容确定综合单价。综合单价包括完成工程量清单中一个规定计量单位项目所需的人工费、材料费、机械使用费、企业管理费和利润，并考虑一定的风险因素。综合单价中应包括交易文件中确定的由潜在承包人承担的风险范围及其费用。</w:t>
      </w:r>
    </w:p>
    <w:p w14:paraId="4BDBBA1F">
      <w:pPr>
        <w:kinsoku/>
        <w:snapToGrid/>
        <w:ind w:firstLine="480" w:firstLineChars="200"/>
        <w:rPr>
          <w:rFonts w:ascii="宋体" w:hAnsi="宋体" w:eastAsia="宋体" w:cs="宋体"/>
        </w:rPr>
      </w:pPr>
      <w:r>
        <w:rPr>
          <w:rFonts w:hint="eastAsia" w:ascii="宋体" w:hAnsi="宋体" w:eastAsia="宋体" w:cs="宋体"/>
        </w:rPr>
        <w:t>（2）人工费、材料费、机械使用费、企业管理费和利润的费用所涵盖内容按省级建设行政主管部门颁发的计价依据确定。上级建设行政主管部门颁发的相关计价文件对费用内容组成另有调整的，按其规定执行。</w:t>
      </w:r>
    </w:p>
    <w:p w14:paraId="71F65041">
      <w:pPr>
        <w:kinsoku/>
        <w:snapToGrid/>
        <w:ind w:firstLine="480" w:firstLineChars="200"/>
        <w:rPr>
          <w:rFonts w:ascii="宋体" w:hAnsi="宋体" w:eastAsia="宋体" w:cs="宋体"/>
        </w:rPr>
      </w:pPr>
      <w:r>
        <w:rPr>
          <w:rFonts w:hint="eastAsia" w:ascii="宋体" w:hAnsi="宋体" w:eastAsia="宋体" w:cs="宋体"/>
        </w:rPr>
        <w:t>（3）综合单价应包括发包人自行采购材料的价款。交易文件提供暂定价的材料，潜在承包人按暂定的单价计入综合单价。暂定价材料如遇本省计价依据中无相类似的材料时，潜在承包人应该在响应文件报价说明中明确该暂定价材料的损耗率。</w:t>
      </w:r>
    </w:p>
    <w:p w14:paraId="7FA2B07E">
      <w:pPr>
        <w:kinsoku/>
        <w:snapToGrid/>
        <w:ind w:firstLine="480" w:firstLineChars="200"/>
        <w:rPr>
          <w:rFonts w:ascii="宋体" w:hAnsi="宋体" w:eastAsia="宋体" w:cs="宋体"/>
        </w:rPr>
      </w:pPr>
      <w:r>
        <w:rPr>
          <w:rFonts w:hint="eastAsia" w:ascii="宋体" w:hAnsi="宋体" w:eastAsia="宋体" w:cs="宋体"/>
        </w:rPr>
        <w:t>（4）企业管理费、利润的费用计算由潜在承包人自主确定或参照省建设行政主管部门颁发的计价依据计算。</w:t>
      </w:r>
    </w:p>
    <w:p w14:paraId="69514C94">
      <w:pPr>
        <w:kinsoku/>
        <w:snapToGrid/>
        <w:ind w:firstLine="480" w:firstLineChars="200"/>
        <w:rPr>
          <w:rFonts w:ascii="宋体" w:hAnsi="宋体" w:eastAsia="宋体" w:cs="宋体"/>
        </w:rPr>
      </w:pPr>
      <w:r>
        <w:rPr>
          <w:rFonts w:hint="eastAsia" w:ascii="宋体" w:hAnsi="宋体" w:eastAsia="宋体" w:cs="宋体"/>
        </w:rPr>
        <w:t>响应报价时，企业管理费中应包括施工企业现场临时宿舍取暖降温等费用，以及施工企业对建筑以及材料、构件和建筑安装物进行一般鉴定、检查所发生的检验试验费等相关费用。为保障工程质量和安全，企业管理费报价不得低于省建设行政主管部门颁发的计价依据和相关取费计价文件规定的对应专业工程企业管理费弹性费率下限乘以20%的计算值。同时，潜在承包人必须对企业管理费中所包含的施工企业的现场临时宿舍取暖降温等费用，在相应的清单明细表中（表2-5）进行单独费用报价分析。</w:t>
      </w:r>
    </w:p>
    <w:p w14:paraId="15BB7408">
      <w:pPr>
        <w:kinsoku/>
        <w:snapToGrid/>
        <w:ind w:firstLine="480" w:firstLineChars="200"/>
        <w:rPr>
          <w:rFonts w:ascii="宋体" w:hAnsi="宋体" w:eastAsia="宋体" w:cs="宋体"/>
        </w:rPr>
      </w:pPr>
      <w:r>
        <w:rPr>
          <w:rFonts w:hint="eastAsia" w:ascii="宋体" w:hAnsi="宋体" w:eastAsia="宋体" w:cs="宋体"/>
        </w:rPr>
        <w:t>施工企业的现场临时宿舍取暖降温等费用，应根据市政府、市建设行政主管部门颁发的有关文件对于现场民工宿舍空调的设置要求或标准、安责险等规定落实相应费用的报价。</w:t>
      </w:r>
    </w:p>
    <w:p w14:paraId="751E91C6">
      <w:pPr>
        <w:kinsoku/>
        <w:snapToGrid/>
        <w:ind w:firstLine="480" w:firstLineChars="200"/>
        <w:rPr>
          <w:rFonts w:ascii="宋体" w:hAnsi="宋体" w:eastAsia="宋体" w:cs="宋体"/>
        </w:rPr>
      </w:pPr>
      <w:r>
        <w:rPr>
          <w:rFonts w:hint="eastAsia" w:ascii="宋体" w:hAnsi="宋体" w:eastAsia="宋体" w:cs="宋体"/>
        </w:rPr>
        <w:t>潜在承包</w:t>
      </w:r>
      <w:r>
        <w:rPr>
          <w:rFonts w:hint="eastAsia" w:ascii="宋体" w:hAnsi="宋体" w:eastAsia="宋体" w:cs="宋体"/>
          <w:spacing w:val="-8"/>
        </w:rPr>
        <w:t>人未按上述规定要求报价的，可以评定为废标。</w:t>
      </w:r>
    </w:p>
    <w:p w14:paraId="64ECEAE2">
      <w:pPr>
        <w:kinsoku/>
        <w:snapToGrid/>
        <w:ind w:firstLine="480" w:firstLineChars="200"/>
        <w:rPr>
          <w:rFonts w:ascii="宋体" w:hAnsi="宋体" w:eastAsia="宋体" w:cs="宋体"/>
        </w:rPr>
      </w:pPr>
      <w:r>
        <w:rPr>
          <w:rFonts w:hint="eastAsia" w:ascii="宋体" w:hAnsi="宋体" w:eastAsia="宋体" w:cs="宋体"/>
        </w:rPr>
        <w:t>（5）综合单价中的风险费计算应根据交易文件中所明确的潜在承包人应承担的风险范围和幅度由潜在承包人自主确定。</w:t>
      </w:r>
    </w:p>
    <w:p w14:paraId="60961732">
      <w:pPr>
        <w:kinsoku/>
        <w:snapToGrid/>
        <w:ind w:firstLine="482" w:firstLineChars="200"/>
        <w:rPr>
          <w:rFonts w:ascii="宋体" w:hAnsi="宋体" w:eastAsia="宋体" w:cs="宋体"/>
          <w:b/>
        </w:rPr>
      </w:pPr>
      <w:r>
        <w:rPr>
          <w:rFonts w:hint="eastAsia" w:ascii="宋体" w:hAnsi="宋体" w:eastAsia="宋体" w:cs="宋体"/>
          <w:b/>
        </w:rPr>
        <w:t>2.措施项目清单费用</w:t>
      </w:r>
    </w:p>
    <w:p w14:paraId="30F7293A">
      <w:pPr>
        <w:kinsoku/>
        <w:snapToGrid/>
        <w:ind w:firstLine="480" w:firstLineChars="200"/>
        <w:rPr>
          <w:rFonts w:ascii="宋体" w:hAnsi="宋体" w:eastAsia="宋体" w:cs="宋体"/>
        </w:rPr>
      </w:pPr>
      <w:r>
        <w:rPr>
          <w:rFonts w:hint="eastAsia" w:ascii="宋体" w:hAnsi="宋体" w:eastAsia="宋体" w:cs="宋体"/>
        </w:rPr>
        <w:t>（1）潜在承包人应根据发包人提供的措施项目清单和潜在承包人自行确定的施工组织设计或施工方案填报数量和价格，不发生的措施项目金额以“O”计价。遇有措施项目清单未列项的，潜在承包人可补充措施项目并报价。</w:t>
      </w:r>
    </w:p>
    <w:p w14:paraId="4D144DE0">
      <w:pPr>
        <w:kinsoku/>
        <w:snapToGrid/>
        <w:ind w:firstLine="480" w:firstLineChars="200"/>
        <w:rPr>
          <w:rFonts w:ascii="宋体" w:hAnsi="宋体" w:eastAsia="宋体" w:cs="宋体"/>
        </w:rPr>
      </w:pPr>
      <w:r>
        <w:rPr>
          <w:rFonts w:hint="eastAsia" w:ascii="宋体" w:hAnsi="宋体" w:eastAsia="宋体" w:cs="宋体"/>
        </w:rPr>
        <w:t>（2）技术措施项目中的单价项目报价可参照综合单价的组成自主确定或参照省建设行政主管部门发布的消耗量定额、施工费用定额和计算方法计算。</w:t>
      </w:r>
    </w:p>
    <w:p w14:paraId="3FBA9BD1">
      <w:pPr>
        <w:kinsoku/>
        <w:snapToGrid/>
        <w:ind w:firstLine="480" w:firstLineChars="200"/>
        <w:rPr>
          <w:rFonts w:ascii="宋体" w:hAnsi="宋体" w:eastAsia="宋体" w:cs="宋体"/>
        </w:rPr>
      </w:pPr>
      <w:r>
        <w:rPr>
          <w:rFonts w:hint="eastAsia" w:ascii="宋体" w:hAnsi="宋体" w:eastAsia="宋体" w:cs="宋体"/>
        </w:rPr>
        <w:t>（3）措施项目中凡属周转使用的设备、材料，均应按单次使用摊销量报价。</w:t>
      </w:r>
    </w:p>
    <w:p w14:paraId="6A6C1A67">
      <w:pPr>
        <w:kinsoku/>
        <w:snapToGrid/>
        <w:ind w:firstLine="480" w:firstLineChars="200"/>
        <w:rPr>
          <w:rFonts w:ascii="宋体" w:hAnsi="宋体" w:eastAsia="宋体" w:cs="宋体"/>
          <w:spacing w:val="-3"/>
        </w:rPr>
      </w:pPr>
      <w:r>
        <w:rPr>
          <w:rFonts w:hint="eastAsia" w:ascii="宋体" w:hAnsi="宋体" w:eastAsia="宋体" w:cs="宋体"/>
        </w:rPr>
        <w:t>（4）潜在承包</w:t>
      </w:r>
      <w:r>
        <w:rPr>
          <w:rFonts w:hint="eastAsia" w:ascii="宋体" w:hAnsi="宋体" w:eastAsia="宋体" w:cs="宋体"/>
          <w:spacing w:val="-3"/>
        </w:rPr>
        <w:t>人应针对拟建工程编制保证安全施工、文明施工、环境保护和临时设施的技术措施方案，并按发包工程量清单中的相应措施清单提供数量和报价。遇有缺项时，潜在承包人可补充措施项目。</w:t>
      </w:r>
    </w:p>
    <w:p w14:paraId="5477270E">
      <w:pPr>
        <w:kinsoku/>
        <w:snapToGrid/>
        <w:ind w:firstLine="480" w:firstLineChars="200"/>
        <w:rPr>
          <w:rFonts w:ascii="宋体" w:hAnsi="宋体" w:eastAsia="宋体" w:cs="宋体"/>
        </w:rPr>
      </w:pPr>
      <w:r>
        <w:rPr>
          <w:rFonts w:hint="eastAsia" w:ascii="宋体" w:hAnsi="宋体" w:eastAsia="宋体" w:cs="宋体"/>
        </w:rPr>
        <w:t>（5）施工取费费率依照本省现行计价依据的有关规定执行；</w:t>
      </w:r>
    </w:p>
    <w:p w14:paraId="3F52B472">
      <w:pPr>
        <w:kinsoku/>
        <w:snapToGrid/>
        <w:ind w:firstLine="480" w:firstLineChars="200"/>
        <w:rPr>
          <w:rFonts w:ascii="宋体" w:hAnsi="宋体" w:eastAsia="宋体" w:cs="宋体"/>
        </w:rPr>
      </w:pPr>
      <w:r>
        <w:rPr>
          <w:rFonts w:hint="eastAsia" w:ascii="宋体" w:hAnsi="宋体" w:eastAsia="宋体" w:cs="宋体"/>
        </w:rPr>
        <w:t>安全文明施工措施项目费用包括安全施工、文明施工、环境保护和临时设施费用，必须充分保证。潜在承包人应结合发包工程的实际，依据发包人提供的安全文明施工措施项目清单及计价表（表1-3-A-1），按项目整体考虑分别报价。</w:t>
      </w:r>
    </w:p>
    <w:p w14:paraId="63160B12">
      <w:pPr>
        <w:kinsoku/>
        <w:snapToGrid/>
        <w:rPr>
          <w:rFonts w:ascii="宋体" w:hAnsi="宋体" w:eastAsia="宋体" w:cs="宋体"/>
        </w:rPr>
      </w:pPr>
      <w:r>
        <w:rPr>
          <w:rFonts w:hint="eastAsia" w:ascii="宋体" w:hAnsi="宋体" w:eastAsia="宋体" w:cs="宋体"/>
        </w:rPr>
        <w:t xml:space="preserve">    安全文明施工措施费用报价不得低于建设行政主管部门颁发的取费计价文件规定的弹性费率下限的计算值。潜在承包人未按规定要求报价的，评审小组可以评定为废标；</w:t>
      </w:r>
    </w:p>
    <w:p w14:paraId="7CB82DF5">
      <w:pPr>
        <w:kinsoku/>
        <w:snapToGrid/>
        <w:rPr>
          <w:rFonts w:ascii="宋体" w:hAnsi="宋体" w:eastAsia="宋体" w:cs="宋体"/>
        </w:rPr>
      </w:pPr>
      <w:r>
        <w:rPr>
          <w:rFonts w:hint="eastAsia" w:ascii="宋体" w:hAnsi="宋体" w:eastAsia="宋体" w:cs="宋体"/>
        </w:rPr>
        <w:t>即：安全文明施工措施费用的报价≥∑[(专业工程分部分项工程量清单中的取费基数值 + 技术措施项目清单中的取费基数值)×对应专业工程基本费下限费率]；</w:t>
      </w:r>
    </w:p>
    <w:p w14:paraId="27F1B676">
      <w:pPr>
        <w:kinsoku/>
        <w:snapToGrid/>
        <w:ind w:firstLine="480" w:firstLineChars="200"/>
        <w:rPr>
          <w:rFonts w:ascii="宋体" w:hAnsi="宋体" w:eastAsia="宋体" w:cs="宋体"/>
        </w:rPr>
      </w:pPr>
      <w:r>
        <w:rPr>
          <w:rFonts w:hint="eastAsia" w:ascii="宋体" w:hAnsi="宋体" w:eastAsia="宋体" w:cs="宋体"/>
        </w:rPr>
        <w:t>上级建设主管部门颁发的有关文件对该措施费用内容和费率下限标准有调整的，按其规定执行。</w:t>
      </w:r>
    </w:p>
    <w:p w14:paraId="7EB59781">
      <w:pPr>
        <w:kinsoku/>
        <w:snapToGrid/>
        <w:ind w:firstLine="480" w:firstLineChars="200"/>
        <w:rPr>
          <w:rFonts w:ascii="宋体" w:hAnsi="宋体" w:eastAsia="宋体" w:cs="宋体"/>
        </w:rPr>
      </w:pPr>
      <w:r>
        <w:rPr>
          <w:rFonts w:hint="eastAsia" w:ascii="宋体" w:hAnsi="宋体" w:eastAsia="宋体" w:cs="宋体"/>
        </w:rPr>
        <w:t>报价中的创标化工地增加费应根据交易文件确立的创建等级要求和发包人公布的创标化工地增加费暂定费用金额进行统一填报。交易文件中未明确创标化工地等级要求及创标化工地增加费暂定费用金额的，潜在承包人暂不填报报价；</w:t>
      </w:r>
    </w:p>
    <w:p w14:paraId="4A706A42">
      <w:pPr>
        <w:kinsoku/>
        <w:snapToGrid/>
        <w:ind w:firstLine="480" w:firstLineChars="200"/>
        <w:rPr>
          <w:rFonts w:ascii="宋体" w:hAnsi="宋体" w:eastAsia="宋体" w:cs="宋体"/>
        </w:rPr>
      </w:pPr>
      <w:r>
        <w:rPr>
          <w:rFonts w:hint="eastAsia" w:ascii="宋体" w:hAnsi="宋体" w:eastAsia="宋体" w:cs="宋体"/>
        </w:rPr>
        <w:t>上级建设主管部门颁发的有关文件对该措施费用内容和费率下限标准有调整的，按其规定执行。</w:t>
      </w:r>
    </w:p>
    <w:p w14:paraId="608F133A">
      <w:pPr>
        <w:kinsoku/>
        <w:snapToGrid/>
        <w:ind w:firstLine="480" w:firstLineChars="200"/>
        <w:rPr>
          <w:rFonts w:ascii="宋体" w:hAnsi="宋体" w:eastAsia="宋体" w:cs="宋体"/>
        </w:rPr>
      </w:pPr>
      <w:r>
        <w:rPr>
          <w:rFonts w:hint="eastAsia" w:ascii="宋体" w:hAnsi="宋体" w:eastAsia="宋体" w:cs="宋体"/>
        </w:rPr>
        <w:t xml:space="preserve">潜在承包人未按上述规定要求报价的，可评定为废标。 </w:t>
      </w:r>
    </w:p>
    <w:p w14:paraId="1C516F06">
      <w:pPr>
        <w:kinsoku/>
        <w:snapToGrid/>
        <w:ind w:firstLine="480" w:firstLineChars="200"/>
        <w:rPr>
          <w:rFonts w:ascii="宋体" w:hAnsi="宋体" w:eastAsia="宋体" w:cs="宋体"/>
        </w:rPr>
      </w:pPr>
      <w:r>
        <w:rPr>
          <w:rFonts w:hint="eastAsia" w:ascii="宋体" w:hAnsi="宋体" w:eastAsia="宋体" w:cs="宋体"/>
        </w:rPr>
        <w:t>安全文明施工措施费不得挪作他用。工程实施过程中应根据响应文件的承诺和合同约定，经监理单位审查认可后由建设单位足额支付。</w:t>
      </w:r>
    </w:p>
    <w:p w14:paraId="307FC55E">
      <w:pPr>
        <w:kinsoku/>
        <w:snapToGrid/>
        <w:ind w:firstLine="480" w:firstLineChars="200"/>
        <w:rPr>
          <w:rFonts w:ascii="宋体" w:hAnsi="宋体" w:eastAsia="宋体" w:cs="宋体"/>
        </w:rPr>
      </w:pPr>
      <w:r>
        <w:rPr>
          <w:rFonts w:hint="eastAsia" w:ascii="宋体" w:hAnsi="宋体" w:eastAsia="宋体" w:cs="宋体"/>
        </w:rPr>
        <w:t>（6）潜在承包人措施项目各分项之间不得重复报价。</w:t>
      </w:r>
    </w:p>
    <w:p w14:paraId="0CB99125">
      <w:pPr>
        <w:kinsoku/>
        <w:snapToGrid/>
        <w:ind w:firstLine="482" w:firstLineChars="200"/>
        <w:rPr>
          <w:rFonts w:ascii="宋体" w:hAnsi="宋体" w:eastAsia="宋体" w:cs="宋体"/>
          <w:b/>
          <w:bCs/>
        </w:rPr>
      </w:pPr>
      <w:r>
        <w:rPr>
          <w:rFonts w:hint="eastAsia" w:ascii="宋体" w:hAnsi="宋体" w:eastAsia="宋体" w:cs="宋体"/>
          <w:b/>
          <w:bCs/>
        </w:rPr>
        <w:t>3.其他项目清单费用</w:t>
      </w:r>
    </w:p>
    <w:p w14:paraId="02A41805">
      <w:pPr>
        <w:kinsoku/>
        <w:snapToGrid/>
        <w:ind w:firstLine="480" w:firstLineChars="200"/>
        <w:rPr>
          <w:rFonts w:ascii="宋体" w:hAnsi="宋体" w:eastAsia="宋体" w:cs="宋体"/>
        </w:rPr>
      </w:pPr>
      <w:r>
        <w:rPr>
          <w:rFonts w:hint="eastAsia" w:ascii="宋体" w:hAnsi="宋体" w:eastAsia="宋体" w:cs="宋体"/>
        </w:rPr>
        <w:t>（1）暂列金额，潜在承包人按发包工程量清单确定的金额填报；总承包服务费，潜在承包人按发包工程量清单确定的项目内容和要求自主确定费率并报价；计日工费，潜在承包人按发包工程量清单列出的项目内容和数量自主确定综合单价并计算报价。发包人对计日工费内容和数量未作要求的，潜在承包人不需要作出报价。</w:t>
      </w:r>
    </w:p>
    <w:p w14:paraId="0C943A9D">
      <w:pPr>
        <w:kinsoku/>
        <w:snapToGrid/>
        <w:ind w:firstLine="480" w:firstLineChars="200"/>
        <w:rPr>
          <w:rFonts w:ascii="宋体" w:hAnsi="宋体" w:eastAsia="宋体" w:cs="宋体"/>
        </w:rPr>
      </w:pPr>
      <w:r>
        <w:rPr>
          <w:rFonts w:hint="eastAsia" w:ascii="宋体" w:hAnsi="宋体" w:eastAsia="宋体" w:cs="宋体"/>
        </w:rPr>
        <w:t>（2）其他项目清单中的暂列金额和计日工，均为发包人估算、预测数量，潜在承包人计入响应报价中，竣工结算时应按承包人实际完成的工程内容结算。</w:t>
      </w:r>
    </w:p>
    <w:p w14:paraId="2C238BD0">
      <w:pPr>
        <w:kinsoku/>
        <w:snapToGrid/>
        <w:ind w:firstLine="482" w:firstLineChars="200"/>
        <w:rPr>
          <w:rFonts w:ascii="宋体" w:hAnsi="宋体" w:eastAsia="宋体" w:cs="宋体"/>
          <w:b/>
        </w:rPr>
      </w:pPr>
      <w:r>
        <w:rPr>
          <w:rFonts w:hint="eastAsia" w:ascii="宋体" w:hAnsi="宋体" w:eastAsia="宋体" w:cs="宋体"/>
          <w:b/>
        </w:rPr>
        <w:t>4.规费、税金</w:t>
      </w:r>
    </w:p>
    <w:p w14:paraId="4C0B94D6">
      <w:pPr>
        <w:kinsoku/>
        <w:snapToGrid/>
        <w:ind w:firstLine="480" w:firstLineChars="200"/>
        <w:rPr>
          <w:rFonts w:ascii="宋体" w:hAnsi="宋体" w:eastAsia="宋体" w:cs="宋体"/>
        </w:rPr>
      </w:pPr>
      <w:r>
        <w:rPr>
          <w:rFonts w:hint="eastAsia" w:ascii="宋体" w:hAnsi="宋体" w:eastAsia="宋体" w:cs="宋体"/>
        </w:rPr>
        <w:t>规费、税金按省建设行政主管部门颁发的施工费用定额的内容和计费标准计算报价。省、市政府及有关权力部门颁发的政策性文件对规费、税金的内容和计费标准有调整的，按其规定执行。规费费率低于现行标准费率30%的作废标处理；税金作为不可竞争费用，费率低于现行规定的作废标处理。</w:t>
      </w:r>
    </w:p>
    <w:p w14:paraId="144739B0">
      <w:pPr>
        <w:numPr>
          <w:ilvl w:val="0"/>
          <w:numId w:val="11"/>
        </w:numPr>
        <w:kinsoku/>
        <w:snapToGrid/>
        <w:rPr>
          <w:rFonts w:ascii="宋体" w:hAnsi="宋体" w:eastAsia="宋体" w:cs="宋体"/>
        </w:rPr>
      </w:pPr>
      <w:r>
        <w:rPr>
          <w:rFonts w:hint="eastAsia" w:ascii="宋体" w:hAnsi="宋体" w:eastAsia="宋体" w:cs="宋体"/>
        </w:rPr>
        <w:t>发包工程量清单中标明的工程量是潜在承包人响应报价的共同基础，潜在承包人不得擅自修改发包工程量清单的分部分项工程项目清单内容。</w:t>
      </w:r>
    </w:p>
    <w:p w14:paraId="36BDD423">
      <w:pPr>
        <w:kinsoku/>
        <w:snapToGrid/>
        <w:ind w:firstLine="480" w:firstLineChars="200"/>
        <w:rPr>
          <w:rFonts w:ascii="宋体" w:hAnsi="宋体" w:eastAsia="宋体" w:cs="宋体"/>
        </w:rPr>
      </w:pPr>
      <w:r>
        <w:rPr>
          <w:rFonts w:hint="eastAsia" w:ascii="宋体" w:hAnsi="宋体" w:eastAsia="宋体" w:cs="宋体"/>
        </w:rPr>
        <w:t>工程量清单报价应与工、料、机报价及对应的报价分析相符，与拟建工程的施工组织设计或施工方案相符。</w:t>
      </w:r>
    </w:p>
    <w:p w14:paraId="25605583">
      <w:pPr>
        <w:kinsoku/>
        <w:snapToGrid/>
        <w:ind w:firstLine="480" w:firstLineChars="200"/>
        <w:rPr>
          <w:rFonts w:ascii="宋体" w:hAnsi="宋体" w:eastAsia="宋体" w:cs="宋体"/>
        </w:rPr>
      </w:pPr>
      <w:r>
        <w:rPr>
          <w:rFonts w:hint="eastAsia" w:ascii="宋体" w:hAnsi="宋体" w:eastAsia="宋体" w:cs="宋体"/>
        </w:rPr>
        <w:t>潜在承包人</w:t>
      </w:r>
      <w:r>
        <w:rPr>
          <w:rFonts w:hint="eastAsia" w:ascii="宋体" w:hAnsi="宋体" w:eastAsia="宋体" w:cs="宋体"/>
          <w:spacing w:val="-3"/>
        </w:rPr>
        <w:t>应根据自己的企业定额或参照省建设行政主管部门颁发的消耗量定额向发包人提供具体的报价计算分析，其各项报价分析表与工程量清单计价表之间的金额（价格）应前后对应一致。</w:t>
      </w:r>
    </w:p>
    <w:p w14:paraId="25A56DBB">
      <w:pPr>
        <w:numPr>
          <w:ilvl w:val="0"/>
          <w:numId w:val="11"/>
        </w:numPr>
        <w:kinsoku/>
        <w:snapToGrid/>
        <w:rPr>
          <w:rFonts w:ascii="宋体" w:hAnsi="宋体" w:eastAsia="宋体" w:cs="宋体"/>
        </w:rPr>
      </w:pPr>
      <w:r>
        <w:rPr>
          <w:rFonts w:hint="eastAsia" w:ascii="宋体" w:hAnsi="宋体" w:eastAsia="宋体" w:cs="宋体"/>
        </w:rPr>
        <w:t>除《杭州市建设工程工程量清单计价实施细则（2018年修订）》另有规定外，潜在承包人对措施项目清单中不发生的项目，其费用报价允许潜在承包人根据实际情况报“0”，但须与施工组织设计或施工方案对应并提供充分的说明和依据。</w:t>
      </w:r>
    </w:p>
    <w:p w14:paraId="0F693D0A">
      <w:pPr>
        <w:numPr>
          <w:ilvl w:val="0"/>
          <w:numId w:val="11"/>
        </w:numPr>
        <w:kinsoku/>
        <w:snapToGrid/>
        <w:rPr>
          <w:rFonts w:ascii="宋体" w:hAnsi="宋体" w:eastAsia="宋体" w:cs="宋体"/>
        </w:rPr>
      </w:pPr>
      <w:r>
        <w:rPr>
          <w:rFonts w:hint="eastAsia" w:ascii="宋体" w:hAnsi="宋体" w:eastAsia="宋体" w:cs="宋体"/>
        </w:rPr>
        <w:t>清单报价中的任何算术性错误，发包人按下列原则予以调整：</w:t>
      </w:r>
    </w:p>
    <w:p w14:paraId="7AD2804E">
      <w:pPr>
        <w:kinsoku/>
        <w:snapToGrid/>
        <w:ind w:firstLine="480" w:firstLineChars="200"/>
        <w:rPr>
          <w:rFonts w:ascii="宋体" w:hAnsi="宋体" w:eastAsia="宋体" w:cs="宋体"/>
        </w:rPr>
      </w:pPr>
      <w:r>
        <w:rPr>
          <w:rFonts w:hint="eastAsia" w:ascii="宋体" w:hAnsi="宋体" w:eastAsia="宋体" w:cs="宋体"/>
        </w:rPr>
        <w:t>1.大写金额和小写金额不一致，以大写金额为准；</w:t>
      </w:r>
    </w:p>
    <w:p w14:paraId="574FB51C">
      <w:pPr>
        <w:kinsoku/>
        <w:snapToGrid/>
        <w:ind w:firstLine="480" w:firstLineChars="200"/>
        <w:rPr>
          <w:rFonts w:ascii="宋体" w:hAnsi="宋体" w:eastAsia="宋体" w:cs="宋体"/>
        </w:rPr>
      </w:pPr>
      <w:r>
        <w:rPr>
          <w:rFonts w:hint="eastAsia" w:ascii="宋体" w:hAnsi="宋体" w:eastAsia="宋体" w:cs="宋体"/>
        </w:rPr>
        <w:t>2.合价金额与单价金额和工程量的乘积不一致的，以单价金额为准，但单价金额有明显错误的除外；</w:t>
      </w:r>
    </w:p>
    <w:p w14:paraId="0E58210A">
      <w:pPr>
        <w:kinsoku/>
        <w:snapToGrid/>
        <w:ind w:firstLine="480" w:firstLineChars="200"/>
        <w:rPr>
          <w:rFonts w:ascii="宋体" w:hAnsi="宋体" w:eastAsia="宋体" w:cs="宋体"/>
        </w:rPr>
      </w:pPr>
      <w:r>
        <w:rPr>
          <w:rFonts w:hint="eastAsia" w:ascii="宋体" w:hAnsi="宋体" w:eastAsia="宋体" w:cs="宋体"/>
        </w:rPr>
        <w:t>3.合价累计金额与小计（合计）金额不一致的，以合价累计金额为准，并修改小计（合计）金额及总报价。</w:t>
      </w:r>
    </w:p>
    <w:p w14:paraId="14800C9E">
      <w:pPr>
        <w:numPr>
          <w:ilvl w:val="0"/>
          <w:numId w:val="11"/>
        </w:numPr>
        <w:kinsoku/>
        <w:snapToGrid/>
        <w:rPr>
          <w:rFonts w:ascii="宋体" w:hAnsi="宋体" w:eastAsia="宋体" w:cs="宋体"/>
        </w:rPr>
      </w:pPr>
      <w:r>
        <w:rPr>
          <w:rFonts w:hint="eastAsia" w:ascii="宋体" w:hAnsi="宋体" w:eastAsia="宋体" w:cs="宋体"/>
        </w:rPr>
        <w:t>按照《杭州市人民政府办公厅关于印发杭州市建设工程推广应用预拌砂浆管理办法的通知》（杭政办函〔2011〕32号文件）的要求使用预拌砂浆，潜在承包人应将使用预拌砂浆的费用计入响应报价范围。</w:t>
      </w:r>
    </w:p>
    <w:p w14:paraId="127296CA">
      <w:pPr>
        <w:kinsoku/>
        <w:snapToGrid/>
        <w:ind w:firstLine="480" w:firstLineChars="200"/>
        <w:rPr>
          <w:rFonts w:ascii="宋体" w:hAnsi="宋体" w:eastAsia="宋体" w:cs="宋体"/>
        </w:rPr>
      </w:pPr>
    </w:p>
    <w:p w14:paraId="6EDEBB49">
      <w:pPr>
        <w:kinsoku/>
        <w:snapToGrid/>
        <w:ind w:firstLine="480" w:firstLineChars="200"/>
        <w:rPr>
          <w:rFonts w:ascii="宋体" w:hAnsi="宋体" w:eastAsia="宋体" w:cs="宋体"/>
        </w:rPr>
      </w:pPr>
      <w:r>
        <w:rPr>
          <w:rFonts w:hint="eastAsia" w:ascii="宋体" w:hAnsi="宋体" w:eastAsia="宋体" w:cs="宋体"/>
        </w:rPr>
        <w:t>附：</w:t>
      </w:r>
    </w:p>
    <w:p w14:paraId="65C8AD5E">
      <w:pPr>
        <w:kinsoku/>
        <w:snapToGrid/>
        <w:ind w:firstLine="480" w:firstLineChars="200"/>
        <w:rPr>
          <w:rFonts w:ascii="宋体" w:hAnsi="宋体" w:eastAsia="宋体" w:cs="宋体"/>
        </w:rPr>
      </w:pPr>
      <w:r>
        <w:rPr>
          <w:rFonts w:hint="eastAsia" w:ascii="宋体" w:hAnsi="宋体" w:eastAsia="宋体" w:cs="宋体"/>
        </w:rPr>
        <w:t>工程量清单及计价采用的表格格式如下（具体可参照杭州市示范文本）：</w:t>
      </w:r>
    </w:p>
    <w:p w14:paraId="5635577F">
      <w:pPr>
        <w:kinsoku/>
        <w:snapToGrid/>
        <w:ind w:firstLine="460" w:firstLineChars="192"/>
        <w:rPr>
          <w:rFonts w:ascii="宋体" w:hAnsi="宋体" w:eastAsia="宋体" w:cs="宋体"/>
        </w:rPr>
      </w:pPr>
      <w:r>
        <w:rPr>
          <w:rFonts w:hint="eastAsia" w:ascii="宋体" w:hAnsi="宋体" w:eastAsia="宋体" w:cs="宋体"/>
        </w:rPr>
        <w:t xml:space="preserve">1.工程量清单及计价表： </w:t>
      </w:r>
    </w:p>
    <w:p w14:paraId="10C91E96">
      <w:pPr>
        <w:kinsoku/>
        <w:snapToGrid/>
        <w:ind w:firstLine="460" w:firstLineChars="192"/>
        <w:rPr>
          <w:rFonts w:ascii="宋体" w:hAnsi="宋体" w:eastAsia="宋体" w:cs="宋体"/>
        </w:rPr>
      </w:pPr>
      <w:r>
        <w:rPr>
          <w:rFonts w:hint="eastAsia" w:ascii="宋体" w:hAnsi="宋体" w:eastAsia="宋体" w:cs="宋体"/>
        </w:rPr>
        <w:t>（1）报价总价封面（已标价工程量清单）</w:t>
      </w:r>
    </w:p>
    <w:p w14:paraId="5AF110BB">
      <w:pPr>
        <w:kinsoku/>
        <w:snapToGrid/>
        <w:ind w:firstLine="460" w:firstLineChars="192"/>
        <w:rPr>
          <w:rFonts w:ascii="宋体" w:hAnsi="宋体" w:eastAsia="宋体" w:cs="宋体"/>
        </w:rPr>
      </w:pPr>
      <w:r>
        <w:rPr>
          <w:rFonts w:hint="eastAsia" w:ascii="宋体" w:hAnsi="宋体" w:eastAsia="宋体" w:cs="宋体"/>
        </w:rPr>
        <w:t>（2）工程量清单报价说明</w:t>
      </w:r>
    </w:p>
    <w:p w14:paraId="6E423805">
      <w:pPr>
        <w:kinsoku/>
        <w:snapToGrid/>
        <w:ind w:firstLine="460" w:firstLineChars="192"/>
        <w:rPr>
          <w:rFonts w:ascii="宋体" w:hAnsi="宋体" w:eastAsia="宋体" w:cs="宋体"/>
        </w:rPr>
      </w:pPr>
      <w:r>
        <w:rPr>
          <w:rFonts w:hint="eastAsia" w:ascii="宋体" w:hAnsi="宋体" w:eastAsia="宋体" w:cs="宋体"/>
        </w:rPr>
        <w:t>（3）表1-1-1 工程项目报价汇总表</w:t>
      </w:r>
    </w:p>
    <w:p w14:paraId="21F5AF7D">
      <w:pPr>
        <w:kinsoku/>
        <w:snapToGrid/>
        <w:ind w:firstLine="460" w:firstLineChars="192"/>
        <w:rPr>
          <w:rFonts w:ascii="宋体" w:hAnsi="宋体" w:eastAsia="宋体" w:cs="宋体"/>
        </w:rPr>
      </w:pPr>
      <w:r>
        <w:rPr>
          <w:rFonts w:hint="eastAsia" w:ascii="宋体" w:hAnsi="宋体" w:eastAsia="宋体" w:cs="宋体"/>
        </w:rPr>
        <w:t>（4）表1-1-2 单位工程报价汇总表</w:t>
      </w:r>
    </w:p>
    <w:p w14:paraId="29156DF5">
      <w:pPr>
        <w:kinsoku/>
        <w:snapToGrid/>
        <w:ind w:firstLine="460" w:firstLineChars="192"/>
        <w:rPr>
          <w:rFonts w:ascii="宋体" w:hAnsi="宋体" w:eastAsia="宋体" w:cs="宋体"/>
        </w:rPr>
      </w:pPr>
      <w:r>
        <w:rPr>
          <w:rFonts w:hint="eastAsia" w:ascii="宋体" w:hAnsi="宋体" w:eastAsia="宋体" w:cs="宋体"/>
        </w:rPr>
        <w:t>（5）表1-2 分部分项工程项目清单及计价表</w:t>
      </w:r>
    </w:p>
    <w:p w14:paraId="2A9F438C">
      <w:pPr>
        <w:kinsoku/>
        <w:snapToGrid/>
        <w:ind w:firstLine="460" w:firstLineChars="192"/>
        <w:rPr>
          <w:rFonts w:ascii="宋体" w:hAnsi="宋体" w:eastAsia="宋体" w:cs="宋体"/>
        </w:rPr>
      </w:pPr>
      <w:r>
        <w:rPr>
          <w:rFonts w:hint="eastAsia" w:ascii="宋体" w:hAnsi="宋体" w:eastAsia="宋体" w:cs="宋体"/>
        </w:rPr>
        <w:t>（6）表1-3-A 组织措施项目（整体）清单及计价表</w:t>
      </w:r>
    </w:p>
    <w:p w14:paraId="7083F71C">
      <w:pPr>
        <w:kinsoku/>
        <w:snapToGrid/>
        <w:ind w:firstLine="460" w:firstLineChars="192"/>
        <w:rPr>
          <w:rFonts w:ascii="宋体" w:hAnsi="宋体" w:eastAsia="宋体" w:cs="宋体"/>
        </w:rPr>
      </w:pPr>
      <w:r>
        <w:rPr>
          <w:rFonts w:hint="eastAsia" w:ascii="宋体" w:hAnsi="宋体" w:eastAsia="宋体" w:cs="宋体"/>
        </w:rPr>
        <w:t>（7）表1-3-B 组织措施项目（专业工程）清单及计价表</w:t>
      </w:r>
    </w:p>
    <w:p w14:paraId="76BAC253">
      <w:pPr>
        <w:kinsoku/>
        <w:snapToGrid/>
        <w:ind w:firstLine="460" w:firstLineChars="192"/>
        <w:rPr>
          <w:rFonts w:ascii="宋体" w:hAnsi="宋体" w:eastAsia="宋体" w:cs="宋体"/>
        </w:rPr>
      </w:pPr>
      <w:r>
        <w:rPr>
          <w:rFonts w:hint="eastAsia" w:ascii="宋体" w:hAnsi="宋体" w:eastAsia="宋体" w:cs="宋体"/>
        </w:rPr>
        <w:t>（8）表1-3-C 技术措施项目清单及计价表</w:t>
      </w:r>
    </w:p>
    <w:p w14:paraId="4F6A43B5">
      <w:pPr>
        <w:kinsoku/>
        <w:snapToGrid/>
        <w:ind w:firstLine="460" w:firstLineChars="192"/>
        <w:rPr>
          <w:rFonts w:ascii="宋体" w:hAnsi="宋体" w:eastAsia="宋体" w:cs="宋体"/>
        </w:rPr>
      </w:pPr>
      <w:r>
        <w:rPr>
          <w:rFonts w:hint="eastAsia" w:ascii="宋体" w:hAnsi="宋体" w:eastAsia="宋体" w:cs="宋体"/>
        </w:rPr>
        <w:t>（9）表1-3-A-1 安全文明施工措施项目清单及计价表</w:t>
      </w:r>
    </w:p>
    <w:p w14:paraId="0B75E48D">
      <w:pPr>
        <w:kinsoku/>
        <w:snapToGrid/>
        <w:ind w:firstLine="460" w:firstLineChars="192"/>
        <w:rPr>
          <w:rFonts w:ascii="宋体" w:hAnsi="宋体" w:eastAsia="宋体" w:cs="宋体"/>
        </w:rPr>
      </w:pPr>
      <w:r>
        <w:rPr>
          <w:rFonts w:hint="eastAsia" w:ascii="宋体" w:hAnsi="宋体" w:eastAsia="宋体" w:cs="宋体"/>
        </w:rPr>
        <w:t>（10）表1-4 其他项目清单及计价表</w:t>
      </w:r>
    </w:p>
    <w:p w14:paraId="0424A4E1">
      <w:pPr>
        <w:kinsoku/>
        <w:snapToGrid/>
        <w:ind w:firstLine="460" w:firstLineChars="192"/>
        <w:rPr>
          <w:rFonts w:ascii="宋体" w:hAnsi="宋体" w:eastAsia="宋体" w:cs="宋体"/>
        </w:rPr>
      </w:pPr>
      <w:r>
        <w:rPr>
          <w:rFonts w:hint="eastAsia" w:ascii="宋体" w:hAnsi="宋体" w:eastAsia="宋体" w:cs="宋体"/>
        </w:rPr>
        <w:t>（11）表1-4-1 计日工表</w:t>
      </w:r>
    </w:p>
    <w:p w14:paraId="04805D42">
      <w:pPr>
        <w:kinsoku/>
        <w:snapToGrid/>
        <w:ind w:firstLine="460" w:firstLineChars="192"/>
        <w:rPr>
          <w:rFonts w:ascii="宋体" w:hAnsi="宋体" w:eastAsia="宋体" w:cs="宋体"/>
        </w:rPr>
      </w:pPr>
      <w:r>
        <w:rPr>
          <w:rFonts w:hint="eastAsia" w:ascii="宋体" w:hAnsi="宋体" w:eastAsia="宋体" w:cs="宋体"/>
        </w:rPr>
        <w:t>（12）表1-4-2 总承包服务费项目及计价表</w:t>
      </w:r>
    </w:p>
    <w:p w14:paraId="0E2ED029">
      <w:pPr>
        <w:kinsoku/>
        <w:snapToGrid/>
        <w:ind w:firstLine="460" w:firstLineChars="192"/>
        <w:rPr>
          <w:rFonts w:ascii="宋体" w:hAnsi="宋体" w:eastAsia="宋体" w:cs="宋体"/>
        </w:rPr>
      </w:pPr>
      <w:r>
        <w:rPr>
          <w:rFonts w:hint="eastAsia" w:ascii="宋体" w:hAnsi="宋体" w:eastAsia="宋体" w:cs="宋体"/>
        </w:rPr>
        <w:t>（13）表1-5 主要工日价格表</w:t>
      </w:r>
    </w:p>
    <w:p w14:paraId="1CB8F5FD">
      <w:pPr>
        <w:kinsoku/>
        <w:snapToGrid/>
        <w:ind w:firstLine="460" w:firstLineChars="192"/>
        <w:rPr>
          <w:rFonts w:ascii="宋体" w:hAnsi="宋体" w:eastAsia="宋体" w:cs="宋体"/>
        </w:rPr>
      </w:pPr>
      <w:r>
        <w:rPr>
          <w:rFonts w:hint="eastAsia" w:ascii="宋体" w:hAnsi="宋体" w:eastAsia="宋体" w:cs="宋体"/>
        </w:rPr>
        <w:t>（14）表1-6 主要材料价格表</w:t>
      </w:r>
    </w:p>
    <w:p w14:paraId="666BCB3D">
      <w:pPr>
        <w:tabs>
          <w:tab w:val="center" w:pos="4755"/>
          <w:tab w:val="right" w:pos="9070"/>
        </w:tabs>
        <w:kinsoku/>
        <w:snapToGrid/>
        <w:ind w:firstLine="480" w:firstLineChars="200"/>
        <w:rPr>
          <w:rFonts w:ascii="宋体" w:hAnsi="宋体" w:eastAsia="宋体" w:cs="宋体"/>
        </w:rPr>
      </w:pPr>
      <w:r>
        <w:rPr>
          <w:rFonts w:hint="eastAsia" w:ascii="宋体" w:hAnsi="宋体" w:eastAsia="宋体" w:cs="宋体"/>
        </w:rPr>
        <w:t>（15）表1-7 主要机械台班价格表</w:t>
      </w:r>
    </w:p>
    <w:p w14:paraId="49E2C513">
      <w:pPr>
        <w:tabs>
          <w:tab w:val="center" w:pos="4755"/>
          <w:tab w:val="right" w:pos="9070"/>
        </w:tabs>
        <w:kinsoku/>
        <w:snapToGrid/>
        <w:ind w:firstLine="240" w:firstLineChars="100"/>
        <w:rPr>
          <w:rFonts w:ascii="宋体" w:hAnsi="宋体" w:eastAsia="宋体" w:cs="宋体"/>
        </w:rPr>
      </w:pPr>
      <w:r>
        <w:rPr>
          <w:rFonts w:hint="eastAsia" w:ascii="宋体" w:hAnsi="宋体" w:eastAsia="宋体" w:cs="宋体"/>
        </w:rPr>
        <w:t xml:space="preserve">2.工程量清单报价分析表： </w:t>
      </w:r>
    </w:p>
    <w:p w14:paraId="3545B3C9">
      <w:pPr>
        <w:tabs>
          <w:tab w:val="center" w:pos="4755"/>
          <w:tab w:val="right" w:pos="9070"/>
        </w:tabs>
        <w:kinsoku/>
        <w:snapToGrid/>
        <w:ind w:firstLine="480" w:firstLineChars="200"/>
        <w:rPr>
          <w:rFonts w:ascii="宋体" w:hAnsi="宋体" w:eastAsia="宋体" w:cs="宋体"/>
        </w:rPr>
      </w:pPr>
      <w:r>
        <w:rPr>
          <w:rFonts w:hint="eastAsia" w:ascii="宋体" w:hAnsi="宋体" w:eastAsia="宋体" w:cs="宋体"/>
        </w:rPr>
        <w:t>（1） 表2-1  分部分项工程项目清单综合单价分析表</w:t>
      </w:r>
    </w:p>
    <w:p w14:paraId="15527C2E">
      <w:pPr>
        <w:tabs>
          <w:tab w:val="center" w:pos="4755"/>
          <w:tab w:val="right" w:pos="9070"/>
        </w:tabs>
        <w:kinsoku/>
        <w:snapToGrid/>
        <w:ind w:firstLine="480" w:firstLineChars="200"/>
        <w:rPr>
          <w:rFonts w:ascii="宋体" w:hAnsi="宋体" w:eastAsia="宋体" w:cs="宋体"/>
        </w:rPr>
      </w:pPr>
      <w:r>
        <w:rPr>
          <w:rFonts w:hint="eastAsia" w:ascii="宋体" w:hAnsi="宋体" w:eastAsia="宋体" w:cs="宋体"/>
        </w:rPr>
        <w:t>（2） 表2-2  措施项目清单分析表</w:t>
      </w:r>
    </w:p>
    <w:p w14:paraId="266EF921">
      <w:pPr>
        <w:kinsoku/>
        <w:snapToGrid/>
        <w:ind w:firstLine="480" w:firstLineChars="200"/>
        <w:rPr>
          <w:rFonts w:ascii="宋体" w:hAnsi="宋体" w:eastAsia="宋体" w:cs="宋体"/>
        </w:rPr>
      </w:pPr>
      <w:r>
        <w:rPr>
          <w:rFonts w:hint="eastAsia" w:ascii="宋体" w:hAnsi="宋体" w:eastAsia="宋体" w:cs="宋体"/>
        </w:rPr>
        <w:t>（3） 表2-3  综合单价工料机分析表</w:t>
      </w:r>
    </w:p>
    <w:p w14:paraId="3C8E9A8D">
      <w:pPr>
        <w:kinsoku/>
        <w:snapToGrid/>
        <w:ind w:firstLine="480" w:firstLineChars="200"/>
        <w:rPr>
          <w:rFonts w:ascii="宋体" w:hAnsi="宋体" w:eastAsia="宋体" w:cs="宋体"/>
        </w:rPr>
      </w:pPr>
      <w:r>
        <w:rPr>
          <w:rFonts w:hint="eastAsia" w:ascii="宋体" w:hAnsi="宋体" w:eastAsia="宋体" w:cs="宋体"/>
        </w:rPr>
        <w:t>（4） 表2-4  措施项目工料机分析表</w:t>
      </w:r>
    </w:p>
    <w:p w14:paraId="2C5D2540">
      <w:pPr>
        <w:tabs>
          <w:tab w:val="left" w:pos="0"/>
          <w:tab w:val="left" w:pos="1080"/>
        </w:tabs>
        <w:kinsoku/>
        <w:snapToGrid/>
        <w:ind w:firstLine="480" w:firstLineChars="200"/>
        <w:rPr>
          <w:rFonts w:ascii="宋体" w:hAnsi="宋体" w:eastAsia="宋体" w:cs="宋体"/>
        </w:rPr>
      </w:pPr>
      <w:r>
        <w:rPr>
          <w:rFonts w:hint="eastAsia" w:ascii="宋体" w:hAnsi="宋体" w:eastAsia="宋体" w:cs="宋体"/>
        </w:rPr>
        <w:t>（5） 表2-5  临时宿舍取暖降温等费用分析表</w:t>
      </w:r>
    </w:p>
    <w:p w14:paraId="6F444022">
      <w:pPr>
        <w:tabs>
          <w:tab w:val="center" w:pos="4755"/>
          <w:tab w:val="right" w:pos="9070"/>
        </w:tabs>
        <w:kinsoku/>
        <w:snapToGrid/>
        <w:ind w:firstLine="240" w:firstLineChars="100"/>
        <w:rPr>
          <w:rFonts w:ascii="宋体" w:hAnsi="宋体" w:eastAsia="宋体" w:cs="宋体"/>
        </w:rPr>
      </w:pPr>
      <w:r>
        <w:rPr>
          <w:rFonts w:hint="eastAsia" w:ascii="宋体" w:hAnsi="宋体" w:eastAsia="宋体" w:cs="宋体"/>
        </w:rPr>
        <w:t>3.根据发包人工程量清单编制要求填报具体的表格。</w:t>
      </w:r>
    </w:p>
    <w:p w14:paraId="22B19A94">
      <w:pPr>
        <w:kinsoku/>
        <w:topLinePunct/>
        <w:rPr>
          <w:rFonts w:ascii="Times New Roman" w:hAnsi="Times New Roman" w:eastAsia="宋体" w:cs="Times New Roman"/>
          <w:color w:val="auto"/>
          <w:spacing w:val="-1"/>
          <w:sz w:val="44"/>
          <w:szCs w:val="44"/>
          <w14:textOutline w14:w="5448" w14:cap="flat" w14:cmpd="sng" w14:algn="ctr">
            <w14:solidFill>
              <w14:srgbClr w14:val="000000"/>
            </w14:solidFill>
            <w14:prstDash w14:val="solid"/>
            <w14:miter w14:val="0"/>
          </w14:textOutline>
        </w:rPr>
      </w:pPr>
      <w:r>
        <w:rPr>
          <w:rFonts w:ascii="Times New Roman" w:hAnsi="Times New Roman" w:eastAsia="宋体" w:cs="Times New Roman"/>
          <w:color w:val="auto"/>
          <w:spacing w:val="-1"/>
          <w:sz w:val="44"/>
          <w:szCs w:val="44"/>
          <w14:textOutline w14:w="5448" w14:cap="flat" w14:cmpd="sng" w14:algn="ctr">
            <w14:solidFill>
              <w14:srgbClr w14:val="000000"/>
            </w14:solidFill>
            <w14:prstDash w14:val="solid"/>
            <w14:miter w14:val="0"/>
          </w14:textOutline>
        </w:rPr>
        <w:br w:type="page"/>
      </w:r>
    </w:p>
    <w:p w14:paraId="7A75E602">
      <w:pPr>
        <w:kinsoku/>
        <w:topLinePunct/>
        <w:rPr>
          <w:rFonts w:ascii="Times New Roman" w:hAnsi="Times New Roman" w:eastAsia="宋体" w:cs="Times New Roman"/>
          <w:color w:val="auto"/>
          <w:spacing w:val="-1"/>
          <w:sz w:val="44"/>
          <w:szCs w:val="44"/>
          <w14:textOutline w14:w="5448" w14:cap="flat" w14:cmpd="sng" w14:algn="ctr">
            <w14:solidFill>
              <w14:srgbClr w14:val="000000"/>
            </w14:solidFill>
            <w14:prstDash w14:val="solid"/>
            <w14:miter w14:val="0"/>
          </w14:textOutline>
        </w:rPr>
      </w:pPr>
    </w:p>
    <w:p w14:paraId="6AD373F2">
      <w:pPr>
        <w:pStyle w:val="3"/>
        <w:kinsoku/>
        <w:topLinePunct/>
        <w:rPr>
          <w:rFonts w:ascii="Times New Roman" w:hAnsi="Times New Roman" w:eastAsia="宋体" w:cs="Times New Roman"/>
          <w:b w:val="0"/>
          <w:bCs w:val="0"/>
          <w:color w:val="auto"/>
          <w:spacing w:val="-1"/>
          <w:sz w:val="44"/>
          <w:szCs w:val="44"/>
          <w14:textOutline w14:w="5448" w14:cap="flat" w14:cmpd="sng" w14:algn="ctr">
            <w14:solidFill>
              <w14:srgbClr w14:val="000000"/>
            </w14:solidFill>
            <w14:prstDash w14:val="solid"/>
            <w14:miter w14:val="0"/>
          </w14:textOutline>
        </w:rPr>
      </w:pPr>
      <w:r>
        <w:rPr>
          <w:rFonts w:ascii="Times New Roman" w:hAnsi="Times New Roman" w:eastAsia="宋体" w:cs="Times New Roman"/>
          <w:b w:val="0"/>
          <w:bCs w:val="0"/>
          <w:color w:val="auto"/>
          <w:spacing w:val="-1"/>
          <w:sz w:val="44"/>
          <w:szCs w:val="44"/>
          <w14:textOutline w14:w="5448" w14:cap="flat" w14:cmpd="sng" w14:algn="ctr">
            <w14:solidFill>
              <w14:srgbClr w14:val="000000"/>
            </w14:solidFill>
            <w14:prstDash w14:val="solid"/>
            <w14:miter w14:val="0"/>
          </w14:textOutline>
        </w:rPr>
        <w:t>拟分包项目名称和分包商情况</w:t>
      </w:r>
    </w:p>
    <w:tbl>
      <w:tblPr>
        <w:tblStyle w:val="22"/>
        <w:tblW w:w="88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4"/>
        <w:gridCol w:w="1279"/>
        <w:gridCol w:w="1658"/>
        <w:gridCol w:w="1488"/>
        <w:gridCol w:w="659"/>
        <w:gridCol w:w="799"/>
        <w:gridCol w:w="1483"/>
      </w:tblGrid>
      <w:tr w14:paraId="5BFAF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1474" w:type="dxa"/>
          </w:tcPr>
          <w:p w14:paraId="658FF3BC">
            <w:pPr>
              <w:pStyle w:val="25"/>
              <w:spacing w:before="275" w:line="220" w:lineRule="auto"/>
              <w:ind w:left="125"/>
              <w:rPr>
                <w:rFonts w:ascii="Times New Roman" w:hAnsi="Times New Roman" w:cs="Times New Roman"/>
                <w:color w:val="auto"/>
                <w:sz w:val="24"/>
                <w:szCs w:val="24"/>
              </w:rPr>
            </w:pPr>
            <w:r>
              <w:rPr>
                <w:rFonts w:ascii="Times New Roman" w:hAnsi="Times New Roman" w:cs="Times New Roman"/>
                <w:color w:val="auto"/>
                <w:spacing w:val="2"/>
                <w:sz w:val="24"/>
                <w:szCs w:val="24"/>
              </w:rPr>
              <w:t>分包人名称</w:t>
            </w:r>
          </w:p>
        </w:tc>
        <w:tc>
          <w:tcPr>
            <w:tcW w:w="2937" w:type="dxa"/>
            <w:gridSpan w:val="2"/>
          </w:tcPr>
          <w:p w14:paraId="34662FC6">
            <w:pPr>
              <w:rPr>
                <w:rFonts w:ascii="Times New Roman" w:hAnsi="Times New Roman" w:cs="Times New Roman"/>
                <w:color w:val="auto"/>
                <w:sz w:val="21"/>
              </w:rPr>
            </w:pPr>
          </w:p>
        </w:tc>
        <w:tc>
          <w:tcPr>
            <w:tcW w:w="1488" w:type="dxa"/>
          </w:tcPr>
          <w:p w14:paraId="7E913149">
            <w:pPr>
              <w:pStyle w:val="25"/>
              <w:spacing w:before="286" w:line="229" w:lineRule="auto"/>
              <w:ind w:left="524"/>
              <w:rPr>
                <w:rFonts w:ascii="Times New Roman" w:hAnsi="Times New Roman" w:cs="Times New Roman"/>
                <w:color w:val="auto"/>
                <w:sz w:val="24"/>
                <w:szCs w:val="24"/>
              </w:rPr>
            </w:pPr>
            <w:r>
              <w:rPr>
                <w:rFonts w:ascii="Times New Roman" w:hAnsi="Times New Roman" w:cs="Times New Roman"/>
                <w:color w:val="auto"/>
                <w:spacing w:val="5"/>
                <w:sz w:val="24"/>
                <w:szCs w:val="24"/>
              </w:rPr>
              <w:t>地址</w:t>
            </w:r>
          </w:p>
        </w:tc>
        <w:tc>
          <w:tcPr>
            <w:tcW w:w="2941" w:type="dxa"/>
            <w:gridSpan w:val="3"/>
          </w:tcPr>
          <w:p w14:paraId="6C0BB763">
            <w:pPr>
              <w:rPr>
                <w:rFonts w:ascii="Times New Roman" w:hAnsi="Times New Roman" w:cs="Times New Roman"/>
                <w:color w:val="auto"/>
                <w:sz w:val="21"/>
              </w:rPr>
            </w:pPr>
          </w:p>
        </w:tc>
      </w:tr>
      <w:tr w14:paraId="5AC34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474" w:type="dxa"/>
          </w:tcPr>
          <w:p w14:paraId="32758D06">
            <w:pPr>
              <w:pStyle w:val="25"/>
              <w:spacing w:before="281" w:line="219" w:lineRule="auto"/>
              <w:ind w:left="125"/>
              <w:rPr>
                <w:rFonts w:ascii="Times New Roman" w:hAnsi="Times New Roman" w:cs="Times New Roman"/>
                <w:color w:val="auto"/>
                <w:sz w:val="24"/>
                <w:szCs w:val="24"/>
              </w:rPr>
            </w:pPr>
            <w:r>
              <w:rPr>
                <w:rFonts w:ascii="Times New Roman" w:hAnsi="Times New Roman" w:cs="Times New Roman"/>
                <w:color w:val="auto"/>
                <w:spacing w:val="2"/>
                <w:sz w:val="24"/>
                <w:szCs w:val="24"/>
              </w:rPr>
              <w:t>法定代表人</w:t>
            </w:r>
          </w:p>
        </w:tc>
        <w:tc>
          <w:tcPr>
            <w:tcW w:w="1279" w:type="dxa"/>
          </w:tcPr>
          <w:p w14:paraId="23586077">
            <w:pPr>
              <w:rPr>
                <w:rFonts w:ascii="Times New Roman" w:hAnsi="Times New Roman" w:cs="Times New Roman"/>
                <w:color w:val="auto"/>
                <w:sz w:val="21"/>
              </w:rPr>
            </w:pPr>
          </w:p>
        </w:tc>
        <w:tc>
          <w:tcPr>
            <w:tcW w:w="1658" w:type="dxa"/>
          </w:tcPr>
          <w:p w14:paraId="180DB5BB">
            <w:pPr>
              <w:pStyle w:val="25"/>
              <w:spacing w:before="281" w:line="219" w:lineRule="auto"/>
              <w:ind w:left="112"/>
              <w:rPr>
                <w:rFonts w:ascii="Times New Roman" w:hAnsi="Times New Roman" w:cs="Times New Roman"/>
                <w:color w:val="auto"/>
                <w:sz w:val="24"/>
                <w:szCs w:val="24"/>
              </w:rPr>
            </w:pPr>
            <w:r>
              <w:rPr>
                <w:rFonts w:ascii="Times New Roman" w:hAnsi="Times New Roman" w:cs="Times New Roman"/>
                <w:color w:val="auto"/>
                <w:spacing w:val="2"/>
                <w:sz w:val="24"/>
                <w:szCs w:val="24"/>
              </w:rPr>
              <w:t>营业执照号码</w:t>
            </w:r>
          </w:p>
        </w:tc>
        <w:tc>
          <w:tcPr>
            <w:tcW w:w="1488" w:type="dxa"/>
          </w:tcPr>
          <w:p w14:paraId="28CF5FA1">
            <w:pPr>
              <w:rPr>
                <w:rFonts w:ascii="Times New Roman" w:hAnsi="Times New Roman" w:cs="Times New Roman"/>
                <w:color w:val="auto"/>
                <w:sz w:val="21"/>
              </w:rPr>
            </w:pPr>
          </w:p>
        </w:tc>
        <w:tc>
          <w:tcPr>
            <w:tcW w:w="1458" w:type="dxa"/>
            <w:gridSpan w:val="2"/>
          </w:tcPr>
          <w:p w14:paraId="50D7368C">
            <w:pPr>
              <w:pStyle w:val="25"/>
              <w:spacing w:before="140" w:line="232" w:lineRule="auto"/>
              <w:ind w:left="246" w:right="227"/>
              <w:rPr>
                <w:rFonts w:ascii="Times New Roman" w:hAnsi="Times New Roman" w:cs="Times New Roman"/>
                <w:color w:val="auto"/>
                <w:sz w:val="24"/>
                <w:szCs w:val="24"/>
              </w:rPr>
            </w:pPr>
            <w:r>
              <w:rPr>
                <w:rFonts w:ascii="Times New Roman" w:hAnsi="Times New Roman" w:cs="Times New Roman"/>
                <w:color w:val="auto"/>
                <w:spacing w:val="3"/>
                <w:sz w:val="24"/>
                <w:szCs w:val="24"/>
              </w:rPr>
              <w:t>资质等级</w:t>
            </w:r>
            <w:r>
              <w:rPr>
                <w:rFonts w:ascii="Times New Roman" w:hAnsi="Times New Roman" w:cs="Times New Roman"/>
                <w:color w:val="auto"/>
                <w:spacing w:val="1"/>
                <w:sz w:val="24"/>
                <w:szCs w:val="24"/>
              </w:rPr>
              <w:t xml:space="preserve"> </w:t>
            </w:r>
            <w:r>
              <w:rPr>
                <w:rFonts w:ascii="Times New Roman" w:hAnsi="Times New Roman" w:cs="Times New Roman"/>
                <w:color w:val="auto"/>
                <w:spacing w:val="3"/>
                <w:sz w:val="24"/>
                <w:szCs w:val="24"/>
              </w:rPr>
              <w:t>证书号码</w:t>
            </w:r>
          </w:p>
        </w:tc>
        <w:tc>
          <w:tcPr>
            <w:tcW w:w="1483" w:type="dxa"/>
          </w:tcPr>
          <w:p w14:paraId="6163783F">
            <w:pPr>
              <w:rPr>
                <w:rFonts w:ascii="Times New Roman" w:hAnsi="Times New Roman" w:cs="Times New Roman"/>
                <w:color w:val="auto"/>
                <w:sz w:val="21"/>
              </w:rPr>
            </w:pPr>
          </w:p>
        </w:tc>
      </w:tr>
      <w:tr w14:paraId="7E3DC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1474" w:type="dxa"/>
          </w:tcPr>
          <w:p w14:paraId="199D24C5">
            <w:pPr>
              <w:pStyle w:val="25"/>
              <w:spacing w:before="130" w:line="230" w:lineRule="auto"/>
              <w:ind w:left="244" w:right="213"/>
              <w:rPr>
                <w:rFonts w:ascii="Times New Roman" w:hAnsi="Times New Roman" w:cs="Times New Roman"/>
                <w:color w:val="auto"/>
                <w:sz w:val="24"/>
                <w:szCs w:val="24"/>
              </w:rPr>
            </w:pPr>
            <w:r>
              <w:rPr>
                <w:rFonts w:ascii="Times New Roman" w:hAnsi="Times New Roman" w:cs="Times New Roman"/>
                <w:color w:val="auto"/>
                <w:spacing w:val="4"/>
                <w:sz w:val="24"/>
                <w:szCs w:val="24"/>
              </w:rPr>
              <w:t>拟分包的</w:t>
            </w:r>
            <w:r>
              <w:rPr>
                <w:rFonts w:ascii="Times New Roman" w:hAnsi="Times New Roman" w:cs="Times New Roman"/>
                <w:color w:val="auto"/>
                <w:spacing w:val="1"/>
                <w:sz w:val="24"/>
                <w:szCs w:val="24"/>
              </w:rPr>
              <w:t xml:space="preserve"> </w:t>
            </w:r>
            <w:r>
              <w:rPr>
                <w:rFonts w:ascii="Times New Roman" w:hAnsi="Times New Roman" w:cs="Times New Roman"/>
                <w:color w:val="auto"/>
                <w:spacing w:val="11"/>
                <w:sz w:val="24"/>
                <w:szCs w:val="24"/>
              </w:rPr>
              <w:t>工程项目</w:t>
            </w:r>
          </w:p>
        </w:tc>
        <w:tc>
          <w:tcPr>
            <w:tcW w:w="2937" w:type="dxa"/>
            <w:gridSpan w:val="2"/>
          </w:tcPr>
          <w:p w14:paraId="71B3640B">
            <w:pPr>
              <w:pStyle w:val="25"/>
              <w:spacing w:before="271" w:line="219" w:lineRule="auto"/>
              <w:ind w:left="1001"/>
              <w:rPr>
                <w:rFonts w:ascii="Times New Roman" w:hAnsi="Times New Roman" w:cs="Times New Roman"/>
                <w:color w:val="auto"/>
                <w:sz w:val="24"/>
                <w:szCs w:val="24"/>
              </w:rPr>
            </w:pPr>
            <w:r>
              <w:rPr>
                <w:rFonts w:ascii="Times New Roman" w:hAnsi="Times New Roman" w:cs="Times New Roman"/>
                <w:color w:val="auto"/>
                <w:spacing w:val="3"/>
                <w:sz w:val="24"/>
                <w:szCs w:val="24"/>
              </w:rPr>
              <w:t>主要内容</w:t>
            </w:r>
          </w:p>
        </w:tc>
        <w:tc>
          <w:tcPr>
            <w:tcW w:w="2147" w:type="dxa"/>
            <w:gridSpan w:val="2"/>
          </w:tcPr>
          <w:p w14:paraId="28CF5479">
            <w:pPr>
              <w:pStyle w:val="25"/>
              <w:spacing w:before="109" w:line="243" w:lineRule="auto"/>
              <w:ind w:left="703" w:right="660" w:firstLine="120"/>
              <w:rPr>
                <w:rFonts w:ascii="Times New Roman" w:hAnsi="Times New Roman" w:cs="Times New Roman"/>
                <w:color w:val="auto"/>
                <w:sz w:val="24"/>
                <w:szCs w:val="24"/>
              </w:rPr>
            </w:pPr>
            <w:r>
              <w:rPr>
                <w:rFonts w:ascii="Times New Roman" w:hAnsi="Times New Roman" w:cs="Times New Roman"/>
                <w:color w:val="auto"/>
                <w:spacing w:val="-5"/>
                <w:sz w:val="24"/>
                <w:szCs w:val="24"/>
              </w:rPr>
              <w:t>造价</w:t>
            </w:r>
            <w:r>
              <w:rPr>
                <w:rFonts w:ascii="Times New Roman" w:hAnsi="Times New Roman" w:cs="Times New Roman"/>
                <w:color w:val="auto"/>
                <w:sz w:val="24"/>
                <w:szCs w:val="24"/>
              </w:rPr>
              <w:t xml:space="preserve">  </w:t>
            </w:r>
            <w:r>
              <w:rPr>
                <w:rFonts w:ascii="Times New Roman" w:hAnsi="Times New Roman" w:cs="Times New Roman"/>
                <w:color w:val="auto"/>
                <w:spacing w:val="13"/>
                <w:sz w:val="24"/>
                <w:szCs w:val="24"/>
              </w:rPr>
              <w:t>(万元)</w:t>
            </w:r>
          </w:p>
        </w:tc>
        <w:tc>
          <w:tcPr>
            <w:tcW w:w="2282" w:type="dxa"/>
            <w:gridSpan w:val="2"/>
          </w:tcPr>
          <w:p w14:paraId="23DB5270">
            <w:pPr>
              <w:pStyle w:val="25"/>
              <w:spacing w:before="271" w:line="219" w:lineRule="auto"/>
              <w:ind w:left="77"/>
              <w:rPr>
                <w:rFonts w:ascii="Times New Roman" w:hAnsi="Times New Roman" w:cs="Times New Roman"/>
                <w:color w:val="auto"/>
                <w:sz w:val="24"/>
                <w:szCs w:val="24"/>
              </w:rPr>
            </w:pPr>
            <w:r>
              <w:rPr>
                <w:rFonts w:ascii="Times New Roman" w:hAnsi="Times New Roman" w:cs="Times New Roman"/>
                <w:color w:val="auto"/>
                <w:sz w:val="24"/>
                <w:szCs w:val="24"/>
              </w:rPr>
              <w:t>已经做过的类似工程</w:t>
            </w:r>
          </w:p>
        </w:tc>
      </w:tr>
      <w:tr w14:paraId="509A3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474" w:type="dxa"/>
          </w:tcPr>
          <w:p w14:paraId="78F9F16C">
            <w:pPr>
              <w:rPr>
                <w:rFonts w:ascii="Times New Roman" w:hAnsi="Times New Roman" w:cs="Times New Roman"/>
                <w:color w:val="auto"/>
                <w:sz w:val="21"/>
              </w:rPr>
            </w:pPr>
          </w:p>
        </w:tc>
        <w:tc>
          <w:tcPr>
            <w:tcW w:w="2937" w:type="dxa"/>
            <w:gridSpan w:val="2"/>
          </w:tcPr>
          <w:p w14:paraId="024CE29E">
            <w:pPr>
              <w:rPr>
                <w:rFonts w:ascii="Times New Roman" w:hAnsi="Times New Roman" w:cs="Times New Roman"/>
                <w:color w:val="auto"/>
                <w:sz w:val="21"/>
              </w:rPr>
            </w:pPr>
          </w:p>
        </w:tc>
        <w:tc>
          <w:tcPr>
            <w:tcW w:w="2147" w:type="dxa"/>
            <w:gridSpan w:val="2"/>
          </w:tcPr>
          <w:p w14:paraId="7EFEA0AC">
            <w:pPr>
              <w:rPr>
                <w:rFonts w:ascii="Times New Roman" w:hAnsi="Times New Roman" w:cs="Times New Roman"/>
                <w:color w:val="auto"/>
                <w:sz w:val="21"/>
              </w:rPr>
            </w:pPr>
          </w:p>
        </w:tc>
        <w:tc>
          <w:tcPr>
            <w:tcW w:w="2282" w:type="dxa"/>
            <w:gridSpan w:val="2"/>
          </w:tcPr>
          <w:p w14:paraId="584BC570">
            <w:pPr>
              <w:rPr>
                <w:rFonts w:ascii="Times New Roman" w:hAnsi="Times New Roman" w:cs="Times New Roman"/>
                <w:color w:val="auto"/>
                <w:sz w:val="21"/>
              </w:rPr>
            </w:pPr>
          </w:p>
        </w:tc>
      </w:tr>
      <w:tr w14:paraId="177B4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474" w:type="dxa"/>
          </w:tcPr>
          <w:p w14:paraId="6ED811BC">
            <w:pPr>
              <w:rPr>
                <w:rFonts w:ascii="Times New Roman" w:hAnsi="Times New Roman" w:cs="Times New Roman"/>
                <w:color w:val="auto"/>
                <w:sz w:val="21"/>
              </w:rPr>
            </w:pPr>
          </w:p>
        </w:tc>
        <w:tc>
          <w:tcPr>
            <w:tcW w:w="2937" w:type="dxa"/>
            <w:gridSpan w:val="2"/>
          </w:tcPr>
          <w:p w14:paraId="36C57A7D">
            <w:pPr>
              <w:rPr>
                <w:rFonts w:ascii="Times New Roman" w:hAnsi="Times New Roman" w:cs="Times New Roman"/>
                <w:color w:val="auto"/>
                <w:sz w:val="21"/>
              </w:rPr>
            </w:pPr>
          </w:p>
        </w:tc>
        <w:tc>
          <w:tcPr>
            <w:tcW w:w="2147" w:type="dxa"/>
            <w:gridSpan w:val="2"/>
          </w:tcPr>
          <w:p w14:paraId="1EF14C7E">
            <w:pPr>
              <w:rPr>
                <w:rFonts w:ascii="Times New Roman" w:hAnsi="Times New Roman" w:cs="Times New Roman"/>
                <w:color w:val="auto"/>
                <w:sz w:val="21"/>
              </w:rPr>
            </w:pPr>
          </w:p>
        </w:tc>
        <w:tc>
          <w:tcPr>
            <w:tcW w:w="2282" w:type="dxa"/>
            <w:gridSpan w:val="2"/>
          </w:tcPr>
          <w:p w14:paraId="550806E0">
            <w:pPr>
              <w:rPr>
                <w:rFonts w:ascii="Times New Roman" w:hAnsi="Times New Roman" w:cs="Times New Roman"/>
                <w:color w:val="auto"/>
                <w:sz w:val="21"/>
              </w:rPr>
            </w:pPr>
          </w:p>
        </w:tc>
      </w:tr>
      <w:tr w14:paraId="69034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1474" w:type="dxa"/>
          </w:tcPr>
          <w:p w14:paraId="66E5C2A8">
            <w:pPr>
              <w:rPr>
                <w:rFonts w:ascii="Times New Roman" w:hAnsi="Times New Roman" w:cs="Times New Roman"/>
                <w:color w:val="auto"/>
                <w:sz w:val="21"/>
              </w:rPr>
            </w:pPr>
          </w:p>
        </w:tc>
        <w:tc>
          <w:tcPr>
            <w:tcW w:w="2937" w:type="dxa"/>
            <w:gridSpan w:val="2"/>
          </w:tcPr>
          <w:p w14:paraId="0701595F">
            <w:pPr>
              <w:rPr>
                <w:rFonts w:ascii="Times New Roman" w:hAnsi="Times New Roman" w:cs="Times New Roman"/>
                <w:color w:val="auto"/>
                <w:sz w:val="21"/>
              </w:rPr>
            </w:pPr>
          </w:p>
        </w:tc>
        <w:tc>
          <w:tcPr>
            <w:tcW w:w="2147" w:type="dxa"/>
            <w:gridSpan w:val="2"/>
          </w:tcPr>
          <w:p w14:paraId="45CDD51C">
            <w:pPr>
              <w:rPr>
                <w:rFonts w:ascii="Times New Roman" w:hAnsi="Times New Roman" w:cs="Times New Roman"/>
                <w:color w:val="auto"/>
                <w:sz w:val="21"/>
              </w:rPr>
            </w:pPr>
          </w:p>
        </w:tc>
        <w:tc>
          <w:tcPr>
            <w:tcW w:w="2282" w:type="dxa"/>
            <w:gridSpan w:val="2"/>
          </w:tcPr>
          <w:p w14:paraId="20F26E01">
            <w:pPr>
              <w:rPr>
                <w:rFonts w:ascii="Times New Roman" w:hAnsi="Times New Roman" w:cs="Times New Roman"/>
                <w:color w:val="auto"/>
                <w:sz w:val="21"/>
              </w:rPr>
            </w:pPr>
          </w:p>
        </w:tc>
      </w:tr>
      <w:tr w14:paraId="103D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474" w:type="dxa"/>
          </w:tcPr>
          <w:p w14:paraId="755B4AE9">
            <w:pPr>
              <w:rPr>
                <w:rFonts w:ascii="Times New Roman" w:hAnsi="Times New Roman" w:cs="Times New Roman"/>
                <w:color w:val="auto"/>
                <w:sz w:val="21"/>
              </w:rPr>
            </w:pPr>
          </w:p>
        </w:tc>
        <w:tc>
          <w:tcPr>
            <w:tcW w:w="2937" w:type="dxa"/>
            <w:gridSpan w:val="2"/>
          </w:tcPr>
          <w:p w14:paraId="0C9B0DFE">
            <w:pPr>
              <w:rPr>
                <w:rFonts w:ascii="Times New Roman" w:hAnsi="Times New Roman" w:cs="Times New Roman"/>
                <w:color w:val="auto"/>
                <w:sz w:val="21"/>
              </w:rPr>
            </w:pPr>
          </w:p>
        </w:tc>
        <w:tc>
          <w:tcPr>
            <w:tcW w:w="2147" w:type="dxa"/>
            <w:gridSpan w:val="2"/>
          </w:tcPr>
          <w:p w14:paraId="0C286262">
            <w:pPr>
              <w:rPr>
                <w:rFonts w:ascii="Times New Roman" w:hAnsi="Times New Roman" w:cs="Times New Roman"/>
                <w:color w:val="auto"/>
                <w:sz w:val="21"/>
              </w:rPr>
            </w:pPr>
          </w:p>
        </w:tc>
        <w:tc>
          <w:tcPr>
            <w:tcW w:w="2282" w:type="dxa"/>
            <w:gridSpan w:val="2"/>
          </w:tcPr>
          <w:p w14:paraId="38DC3BBF">
            <w:pPr>
              <w:rPr>
                <w:rFonts w:ascii="Times New Roman" w:hAnsi="Times New Roman" w:cs="Times New Roman"/>
                <w:color w:val="auto"/>
                <w:sz w:val="21"/>
              </w:rPr>
            </w:pPr>
          </w:p>
        </w:tc>
      </w:tr>
      <w:tr w14:paraId="709C0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1474" w:type="dxa"/>
          </w:tcPr>
          <w:p w14:paraId="61EB638F">
            <w:pPr>
              <w:rPr>
                <w:rFonts w:ascii="Times New Roman" w:hAnsi="Times New Roman" w:cs="Times New Roman"/>
                <w:color w:val="auto"/>
                <w:sz w:val="21"/>
              </w:rPr>
            </w:pPr>
          </w:p>
        </w:tc>
        <w:tc>
          <w:tcPr>
            <w:tcW w:w="2937" w:type="dxa"/>
            <w:gridSpan w:val="2"/>
          </w:tcPr>
          <w:p w14:paraId="2D4ABC7E">
            <w:pPr>
              <w:rPr>
                <w:rFonts w:ascii="Times New Roman" w:hAnsi="Times New Roman" w:cs="Times New Roman"/>
                <w:color w:val="auto"/>
                <w:sz w:val="21"/>
              </w:rPr>
            </w:pPr>
          </w:p>
        </w:tc>
        <w:tc>
          <w:tcPr>
            <w:tcW w:w="2147" w:type="dxa"/>
            <w:gridSpan w:val="2"/>
          </w:tcPr>
          <w:p w14:paraId="1094693A">
            <w:pPr>
              <w:rPr>
                <w:rFonts w:ascii="Times New Roman" w:hAnsi="Times New Roman" w:cs="Times New Roman"/>
                <w:color w:val="auto"/>
                <w:sz w:val="21"/>
              </w:rPr>
            </w:pPr>
          </w:p>
        </w:tc>
        <w:tc>
          <w:tcPr>
            <w:tcW w:w="2282" w:type="dxa"/>
            <w:gridSpan w:val="2"/>
          </w:tcPr>
          <w:p w14:paraId="44F7343C">
            <w:pPr>
              <w:rPr>
                <w:rFonts w:ascii="Times New Roman" w:hAnsi="Times New Roman" w:cs="Times New Roman"/>
                <w:color w:val="auto"/>
                <w:sz w:val="21"/>
              </w:rPr>
            </w:pPr>
          </w:p>
        </w:tc>
      </w:tr>
      <w:tr w14:paraId="74F6D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474" w:type="dxa"/>
          </w:tcPr>
          <w:p w14:paraId="62861708">
            <w:pPr>
              <w:rPr>
                <w:rFonts w:ascii="Times New Roman" w:hAnsi="Times New Roman" w:cs="Times New Roman"/>
                <w:color w:val="auto"/>
                <w:sz w:val="21"/>
              </w:rPr>
            </w:pPr>
          </w:p>
        </w:tc>
        <w:tc>
          <w:tcPr>
            <w:tcW w:w="2937" w:type="dxa"/>
            <w:gridSpan w:val="2"/>
          </w:tcPr>
          <w:p w14:paraId="027B2412">
            <w:pPr>
              <w:rPr>
                <w:rFonts w:ascii="Times New Roman" w:hAnsi="Times New Roman" w:cs="Times New Roman"/>
                <w:color w:val="auto"/>
                <w:sz w:val="21"/>
              </w:rPr>
            </w:pPr>
          </w:p>
        </w:tc>
        <w:tc>
          <w:tcPr>
            <w:tcW w:w="2147" w:type="dxa"/>
            <w:gridSpan w:val="2"/>
          </w:tcPr>
          <w:p w14:paraId="0D5F2EBE">
            <w:pPr>
              <w:rPr>
                <w:rFonts w:ascii="Times New Roman" w:hAnsi="Times New Roman" w:cs="Times New Roman"/>
                <w:color w:val="auto"/>
                <w:sz w:val="21"/>
              </w:rPr>
            </w:pPr>
          </w:p>
        </w:tc>
        <w:tc>
          <w:tcPr>
            <w:tcW w:w="2282" w:type="dxa"/>
            <w:gridSpan w:val="2"/>
          </w:tcPr>
          <w:p w14:paraId="12429F8D">
            <w:pPr>
              <w:rPr>
                <w:rFonts w:ascii="Times New Roman" w:hAnsi="Times New Roman" w:cs="Times New Roman"/>
                <w:color w:val="auto"/>
                <w:sz w:val="21"/>
              </w:rPr>
            </w:pPr>
          </w:p>
        </w:tc>
      </w:tr>
      <w:tr w14:paraId="77A56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474" w:type="dxa"/>
          </w:tcPr>
          <w:p w14:paraId="1EE07E7C">
            <w:pPr>
              <w:rPr>
                <w:rFonts w:ascii="Times New Roman" w:hAnsi="Times New Roman" w:cs="Times New Roman"/>
                <w:color w:val="auto"/>
                <w:sz w:val="21"/>
              </w:rPr>
            </w:pPr>
          </w:p>
        </w:tc>
        <w:tc>
          <w:tcPr>
            <w:tcW w:w="2937" w:type="dxa"/>
            <w:gridSpan w:val="2"/>
          </w:tcPr>
          <w:p w14:paraId="3EAABAFB">
            <w:pPr>
              <w:rPr>
                <w:rFonts w:ascii="Times New Roman" w:hAnsi="Times New Roman" w:cs="Times New Roman"/>
                <w:color w:val="auto"/>
                <w:sz w:val="21"/>
              </w:rPr>
            </w:pPr>
          </w:p>
        </w:tc>
        <w:tc>
          <w:tcPr>
            <w:tcW w:w="2147" w:type="dxa"/>
            <w:gridSpan w:val="2"/>
          </w:tcPr>
          <w:p w14:paraId="0026DC5A">
            <w:pPr>
              <w:rPr>
                <w:rFonts w:ascii="Times New Roman" w:hAnsi="Times New Roman" w:cs="Times New Roman"/>
                <w:color w:val="auto"/>
                <w:sz w:val="21"/>
              </w:rPr>
            </w:pPr>
          </w:p>
        </w:tc>
        <w:tc>
          <w:tcPr>
            <w:tcW w:w="2282" w:type="dxa"/>
            <w:gridSpan w:val="2"/>
          </w:tcPr>
          <w:p w14:paraId="00E072D2">
            <w:pPr>
              <w:rPr>
                <w:rFonts w:ascii="Times New Roman" w:hAnsi="Times New Roman" w:cs="Times New Roman"/>
                <w:color w:val="auto"/>
                <w:sz w:val="21"/>
              </w:rPr>
            </w:pPr>
          </w:p>
        </w:tc>
      </w:tr>
      <w:tr w14:paraId="6D7C4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1474" w:type="dxa"/>
          </w:tcPr>
          <w:p w14:paraId="23C4A658">
            <w:pPr>
              <w:rPr>
                <w:rFonts w:ascii="Times New Roman" w:hAnsi="Times New Roman" w:cs="Times New Roman"/>
                <w:color w:val="auto"/>
                <w:sz w:val="21"/>
              </w:rPr>
            </w:pPr>
          </w:p>
        </w:tc>
        <w:tc>
          <w:tcPr>
            <w:tcW w:w="2937" w:type="dxa"/>
            <w:gridSpan w:val="2"/>
          </w:tcPr>
          <w:p w14:paraId="46566A41">
            <w:pPr>
              <w:rPr>
                <w:rFonts w:ascii="Times New Roman" w:hAnsi="Times New Roman" w:cs="Times New Roman"/>
                <w:color w:val="auto"/>
                <w:sz w:val="21"/>
              </w:rPr>
            </w:pPr>
          </w:p>
        </w:tc>
        <w:tc>
          <w:tcPr>
            <w:tcW w:w="2147" w:type="dxa"/>
            <w:gridSpan w:val="2"/>
          </w:tcPr>
          <w:p w14:paraId="614D5C80">
            <w:pPr>
              <w:rPr>
                <w:rFonts w:ascii="Times New Roman" w:hAnsi="Times New Roman" w:cs="Times New Roman"/>
                <w:color w:val="auto"/>
                <w:sz w:val="21"/>
              </w:rPr>
            </w:pPr>
          </w:p>
        </w:tc>
        <w:tc>
          <w:tcPr>
            <w:tcW w:w="2282" w:type="dxa"/>
            <w:gridSpan w:val="2"/>
          </w:tcPr>
          <w:p w14:paraId="3C5E52D2">
            <w:pPr>
              <w:rPr>
                <w:rFonts w:ascii="Times New Roman" w:hAnsi="Times New Roman" w:cs="Times New Roman"/>
                <w:color w:val="auto"/>
                <w:sz w:val="21"/>
              </w:rPr>
            </w:pPr>
          </w:p>
        </w:tc>
      </w:tr>
      <w:tr w14:paraId="4F2D8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474" w:type="dxa"/>
          </w:tcPr>
          <w:p w14:paraId="3FEE6F5D">
            <w:pPr>
              <w:rPr>
                <w:rFonts w:ascii="Times New Roman" w:hAnsi="Times New Roman" w:cs="Times New Roman"/>
                <w:color w:val="auto"/>
                <w:sz w:val="21"/>
              </w:rPr>
            </w:pPr>
          </w:p>
        </w:tc>
        <w:tc>
          <w:tcPr>
            <w:tcW w:w="2937" w:type="dxa"/>
            <w:gridSpan w:val="2"/>
          </w:tcPr>
          <w:p w14:paraId="00491FED">
            <w:pPr>
              <w:rPr>
                <w:rFonts w:ascii="Times New Roman" w:hAnsi="Times New Roman" w:cs="Times New Roman"/>
                <w:color w:val="auto"/>
                <w:sz w:val="21"/>
              </w:rPr>
            </w:pPr>
          </w:p>
        </w:tc>
        <w:tc>
          <w:tcPr>
            <w:tcW w:w="2147" w:type="dxa"/>
            <w:gridSpan w:val="2"/>
          </w:tcPr>
          <w:p w14:paraId="141CF44C">
            <w:pPr>
              <w:rPr>
                <w:rFonts w:ascii="Times New Roman" w:hAnsi="Times New Roman" w:cs="Times New Roman"/>
                <w:color w:val="auto"/>
                <w:sz w:val="21"/>
              </w:rPr>
            </w:pPr>
          </w:p>
        </w:tc>
        <w:tc>
          <w:tcPr>
            <w:tcW w:w="2282" w:type="dxa"/>
            <w:gridSpan w:val="2"/>
          </w:tcPr>
          <w:p w14:paraId="4A7C1A51">
            <w:pPr>
              <w:rPr>
                <w:rFonts w:ascii="Times New Roman" w:hAnsi="Times New Roman" w:cs="Times New Roman"/>
                <w:color w:val="auto"/>
                <w:sz w:val="21"/>
              </w:rPr>
            </w:pPr>
          </w:p>
        </w:tc>
      </w:tr>
      <w:tr w14:paraId="35539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474" w:type="dxa"/>
          </w:tcPr>
          <w:p w14:paraId="4BB68869">
            <w:pPr>
              <w:rPr>
                <w:rFonts w:ascii="Times New Roman" w:hAnsi="Times New Roman" w:cs="Times New Roman"/>
                <w:color w:val="auto"/>
                <w:sz w:val="21"/>
              </w:rPr>
            </w:pPr>
          </w:p>
        </w:tc>
        <w:tc>
          <w:tcPr>
            <w:tcW w:w="2937" w:type="dxa"/>
            <w:gridSpan w:val="2"/>
          </w:tcPr>
          <w:p w14:paraId="5462F332">
            <w:pPr>
              <w:rPr>
                <w:rFonts w:ascii="Times New Roman" w:hAnsi="Times New Roman" w:cs="Times New Roman"/>
                <w:color w:val="auto"/>
                <w:sz w:val="21"/>
              </w:rPr>
            </w:pPr>
          </w:p>
        </w:tc>
        <w:tc>
          <w:tcPr>
            <w:tcW w:w="2147" w:type="dxa"/>
            <w:gridSpan w:val="2"/>
          </w:tcPr>
          <w:p w14:paraId="0D90863D">
            <w:pPr>
              <w:rPr>
                <w:rFonts w:ascii="Times New Roman" w:hAnsi="Times New Roman" w:cs="Times New Roman"/>
                <w:color w:val="auto"/>
                <w:sz w:val="21"/>
              </w:rPr>
            </w:pPr>
          </w:p>
        </w:tc>
        <w:tc>
          <w:tcPr>
            <w:tcW w:w="2282" w:type="dxa"/>
            <w:gridSpan w:val="2"/>
          </w:tcPr>
          <w:p w14:paraId="2D2C4A02">
            <w:pPr>
              <w:rPr>
                <w:rFonts w:ascii="Times New Roman" w:hAnsi="Times New Roman" w:cs="Times New Roman"/>
                <w:color w:val="auto"/>
                <w:sz w:val="21"/>
              </w:rPr>
            </w:pPr>
          </w:p>
        </w:tc>
      </w:tr>
      <w:tr w14:paraId="0B820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474" w:type="dxa"/>
          </w:tcPr>
          <w:p w14:paraId="458E3362">
            <w:pPr>
              <w:rPr>
                <w:rFonts w:ascii="Times New Roman" w:hAnsi="Times New Roman" w:cs="Times New Roman"/>
                <w:color w:val="auto"/>
                <w:sz w:val="21"/>
              </w:rPr>
            </w:pPr>
          </w:p>
        </w:tc>
        <w:tc>
          <w:tcPr>
            <w:tcW w:w="2937" w:type="dxa"/>
            <w:gridSpan w:val="2"/>
          </w:tcPr>
          <w:p w14:paraId="6DD921D4">
            <w:pPr>
              <w:rPr>
                <w:rFonts w:ascii="Times New Roman" w:hAnsi="Times New Roman" w:cs="Times New Roman"/>
                <w:color w:val="auto"/>
                <w:sz w:val="21"/>
              </w:rPr>
            </w:pPr>
          </w:p>
        </w:tc>
        <w:tc>
          <w:tcPr>
            <w:tcW w:w="2147" w:type="dxa"/>
            <w:gridSpan w:val="2"/>
          </w:tcPr>
          <w:p w14:paraId="636C445F">
            <w:pPr>
              <w:rPr>
                <w:rFonts w:ascii="Times New Roman" w:hAnsi="Times New Roman" w:cs="Times New Roman"/>
                <w:color w:val="auto"/>
                <w:sz w:val="21"/>
              </w:rPr>
            </w:pPr>
          </w:p>
        </w:tc>
        <w:tc>
          <w:tcPr>
            <w:tcW w:w="2282" w:type="dxa"/>
            <w:gridSpan w:val="2"/>
          </w:tcPr>
          <w:p w14:paraId="175323C0">
            <w:pPr>
              <w:rPr>
                <w:rFonts w:ascii="Times New Roman" w:hAnsi="Times New Roman" w:cs="Times New Roman"/>
                <w:color w:val="auto"/>
                <w:sz w:val="21"/>
              </w:rPr>
            </w:pPr>
          </w:p>
        </w:tc>
      </w:tr>
      <w:tr w14:paraId="141DB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1474" w:type="dxa"/>
          </w:tcPr>
          <w:p w14:paraId="20A5891A">
            <w:pPr>
              <w:rPr>
                <w:rFonts w:ascii="Times New Roman" w:hAnsi="Times New Roman" w:cs="Times New Roman"/>
                <w:color w:val="auto"/>
                <w:sz w:val="21"/>
              </w:rPr>
            </w:pPr>
          </w:p>
        </w:tc>
        <w:tc>
          <w:tcPr>
            <w:tcW w:w="2937" w:type="dxa"/>
            <w:gridSpan w:val="2"/>
          </w:tcPr>
          <w:p w14:paraId="499B7839">
            <w:pPr>
              <w:rPr>
                <w:rFonts w:ascii="Times New Roman" w:hAnsi="Times New Roman" w:cs="Times New Roman"/>
                <w:color w:val="auto"/>
                <w:sz w:val="21"/>
              </w:rPr>
            </w:pPr>
          </w:p>
        </w:tc>
        <w:tc>
          <w:tcPr>
            <w:tcW w:w="2147" w:type="dxa"/>
            <w:gridSpan w:val="2"/>
          </w:tcPr>
          <w:p w14:paraId="63371512">
            <w:pPr>
              <w:rPr>
                <w:rFonts w:ascii="Times New Roman" w:hAnsi="Times New Roman" w:cs="Times New Roman"/>
                <w:color w:val="auto"/>
                <w:sz w:val="21"/>
              </w:rPr>
            </w:pPr>
          </w:p>
        </w:tc>
        <w:tc>
          <w:tcPr>
            <w:tcW w:w="2282" w:type="dxa"/>
            <w:gridSpan w:val="2"/>
          </w:tcPr>
          <w:p w14:paraId="6474793B">
            <w:pPr>
              <w:rPr>
                <w:rFonts w:ascii="Times New Roman" w:hAnsi="Times New Roman" w:cs="Times New Roman"/>
                <w:color w:val="auto"/>
                <w:sz w:val="21"/>
              </w:rPr>
            </w:pPr>
          </w:p>
        </w:tc>
      </w:tr>
    </w:tbl>
    <w:p w14:paraId="68E8A020"/>
    <w:sectPr>
      <w:pgSz w:w="11906" w:h="16838"/>
      <w:pgMar w:top="1440" w:right="1080" w:bottom="1440" w:left="1080" w:header="850" w:footer="850" w:gutter="0"/>
      <w:cols w:space="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CS?o｡ﾀ?">
    <w:altName w:val="Yu Gothic"/>
    <w:panose1 w:val="00000000000000000000"/>
    <w:charset w:val="80"/>
    <w:family w:val="moder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F7DF2">
    <w:pPr>
      <w:pStyle w:val="11"/>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263C8">
    <w:pPr>
      <w:spacing w:line="173" w:lineRule="auto"/>
      <w:ind w:left="4555"/>
      <w:rPr>
        <w:rFonts w:ascii="Times New Roman" w:hAnsi="Times New Roman" w:eastAsia="Times New Roman" w:cs="Times New Roman"/>
        <w:sz w:val="14"/>
        <w:szCs w:val="14"/>
      </w:rPr>
    </w:pPr>
    <w:r>
      <w:rPr>
        <w:sz w:val="14"/>
      </w:rPr>
      <mc:AlternateContent>
        <mc:Choice Requires="wps">
          <w:drawing>
            <wp:anchor distT="0" distB="0" distL="0" distR="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6" name="文本框 1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AAC9B25">
                          <w:pPr>
                            <w:pStyle w:val="11"/>
                          </w:pPr>
                          <w:r>
                            <w:fldChar w:fldCharType="begin"/>
                          </w:r>
                          <w:r>
                            <w:instrText xml:space="preserve"> PAGE  \* MERGEFORMAT </w:instrText>
                          </w:r>
                          <w:r>
                            <w:fldChar w:fldCharType="separate"/>
                          </w:r>
                          <w:r>
                            <w:t>38</w:t>
                          </w:r>
                          <w:r>
                            <w:fldChar w:fldCharType="end"/>
                          </w:r>
                        </w:p>
                      </w:txbxContent>
                    </wps:txbx>
                    <wps:bodyPr vert="horz" wrap="none" lIns="0" tIns="0" rIns="0" bIns="0" anchor="t">
                      <a:spAutoFit/>
                    </wps:bodyPr>
                  </wps:wsp>
                </a:graphicData>
              </a:graphic>
            </wp:anchor>
          </w:drawing>
        </mc:Choice>
        <mc:Fallback>
          <w:pict>
            <v:rect id="文本框 18" o:spid="_x0000_s1026" o:spt="1"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HfzhvHKAQAAkwMAAA4AAAAAAAAAAQAgAAAAHwEAAGRycy9lMm9E&#10;b2MueG1sUEsFBgAAAAAGAAYAWQEAAFsFAAAAAA==&#10;">
              <v:fill on="f" focussize="0,0"/>
              <v:stroke on="f"/>
              <v:imagedata o:title=""/>
              <o:lock v:ext="edit" aspectratio="f"/>
              <v:textbox inset="0mm,0mm,0mm,0mm" style="mso-fit-shape-to-text:t;">
                <w:txbxContent>
                  <w:p w14:paraId="0AAC9B25">
                    <w:pPr>
                      <w:pStyle w:val="11"/>
                    </w:pPr>
                    <w:r>
                      <w:fldChar w:fldCharType="begin"/>
                    </w:r>
                    <w:r>
                      <w:instrText xml:space="preserve"> PAGE  \* MERGEFORMAT </w:instrText>
                    </w:r>
                    <w:r>
                      <w:fldChar w:fldCharType="separate"/>
                    </w:r>
                    <w:r>
                      <w:t>38</w:t>
                    </w:r>
                    <w:r>
                      <w:fldChar w:fldCharType="end"/>
                    </w:r>
                  </w:p>
                </w:txbxContent>
              </v:textbox>
            </v:rect>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C5314">
    <w:pPr>
      <w:spacing w:line="188" w:lineRule="auto"/>
      <w:rPr>
        <w:rFonts w:ascii="Times New Roman" w:hAnsi="Times New Roman" w:eastAsia="Times New Roman" w:cs="Times New Roman"/>
        <w:sz w:val="18"/>
        <w:szCs w:val="18"/>
      </w:rPr>
    </w:pPr>
    <w:r>
      <w:rPr>
        <w:sz w:val="18"/>
      </w:rPr>
      <mc:AlternateContent>
        <mc:Choice Requires="wps">
          <w:drawing>
            <wp:anchor distT="0" distB="0" distL="0" distR="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7"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E9E2890">
                          <w:pPr>
                            <w:pStyle w:val="11"/>
                          </w:pPr>
                          <w:r>
                            <w:fldChar w:fldCharType="begin"/>
                          </w:r>
                          <w:r>
                            <w:instrText xml:space="preserve"> PAGE  \* MERGEFORMAT </w:instrText>
                          </w:r>
                          <w:r>
                            <w:fldChar w:fldCharType="separate"/>
                          </w:r>
                          <w:r>
                            <w:t>39</w:t>
                          </w:r>
                          <w:r>
                            <w:fldChar w:fldCharType="end"/>
                          </w:r>
                        </w:p>
                      </w:txbxContent>
                    </wps:txbx>
                    <wps:bodyPr vert="horz" wrap="none" lIns="0" tIns="0" rIns="0" bIns="0" anchor="t">
                      <a:spAutoFit/>
                    </wps:bodyPr>
                  </wps:wsp>
                </a:graphicData>
              </a:graphic>
            </wp:anchor>
          </w:drawing>
        </mc:Choice>
        <mc:Fallback>
          <w:pict>
            <v:rect id="文本框 11" o:spid="_x0000_s1026" o:spt="1"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DTYBUkywEAAJMDAAAOAAAAAAAAAAEAIAAAAB8BAABkcnMvZTJv&#10;RG9jLnhtbFBLBQYAAAAABgAGAFkBAABcBQAAAAA=&#10;">
              <v:fill on="f" focussize="0,0"/>
              <v:stroke on="f"/>
              <v:imagedata o:title=""/>
              <o:lock v:ext="edit" aspectratio="f"/>
              <v:textbox inset="0mm,0mm,0mm,0mm" style="mso-fit-shape-to-text:t;">
                <w:txbxContent>
                  <w:p w14:paraId="0E9E2890">
                    <w:pPr>
                      <w:pStyle w:val="11"/>
                    </w:pPr>
                    <w:r>
                      <w:fldChar w:fldCharType="begin"/>
                    </w:r>
                    <w:r>
                      <w:instrText xml:space="preserve"> PAGE  \* MERGEFORMAT </w:instrText>
                    </w:r>
                    <w:r>
                      <w:fldChar w:fldCharType="separate"/>
                    </w:r>
                    <w:r>
                      <w:t>39</w:t>
                    </w:r>
                    <w:r>
                      <w:fldChar w:fldCharType="end"/>
                    </w:r>
                  </w:p>
                </w:txbxContent>
              </v:textbox>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F384F">
    <w:pPr>
      <w:spacing w:line="188" w:lineRule="auto"/>
      <w:rPr>
        <w:rFonts w:ascii="Times New Roman" w:hAnsi="Times New Roman" w:eastAsia="Times New Roman" w:cs="Times New Roman"/>
        <w:sz w:val="18"/>
        <w:szCs w:val="18"/>
      </w:rPr>
    </w:pPr>
    <w:r>
      <w:rPr>
        <w:sz w:val="18"/>
      </w:rPr>
      <mc:AlternateContent>
        <mc:Choice Requires="wps">
          <w:drawing>
            <wp:anchor distT="0" distB="0" distL="0" distR="0" simplePos="0" relativeHeight="251666432" behindDoc="0" locked="0" layoutInCell="1" allowOverlap="1">
              <wp:simplePos x="0" y="0"/>
              <wp:positionH relativeFrom="margin">
                <wp:posOffset>3028950</wp:posOffset>
              </wp:positionH>
              <wp:positionV relativeFrom="paragraph">
                <wp:posOffset>-142240</wp:posOffset>
              </wp:positionV>
              <wp:extent cx="1828800" cy="1828800"/>
              <wp:effectExtent l="0" t="0" r="0" b="0"/>
              <wp:wrapNone/>
              <wp:docPr id="4108" name="文本框 1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91DB712">
                          <w:pPr>
                            <w:pStyle w:val="11"/>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43</w:t>
                          </w:r>
                          <w:r>
                            <w:rPr>
                              <w:rFonts w:ascii="Times New Roman" w:hAnsi="Times New Roman" w:cs="Times New Roman"/>
                            </w:rPr>
                            <w:fldChar w:fldCharType="end"/>
                          </w:r>
                        </w:p>
                      </w:txbxContent>
                    </wps:txbx>
                    <wps:bodyPr vert="horz" wrap="none" lIns="0" tIns="0" rIns="0" bIns="0" anchor="t">
                      <a:spAutoFit/>
                    </wps:bodyPr>
                  </wps:wsp>
                </a:graphicData>
              </a:graphic>
            </wp:anchor>
          </w:drawing>
        </mc:Choice>
        <mc:Fallback>
          <w:pict>
            <v:rect id="文本框 16" o:spid="_x0000_s1026" o:spt="1" style="position:absolute;left:0pt;margin-left:238.5pt;margin-top:-11.2pt;height:144pt;width:144pt;mso-position-horizontal-relative:margin;mso-wrap-style:none;z-index:251666432;mso-width-relative:page;mso-height-relative:page;" filled="f" stroked="f" coordsize="21600,21600" o:gfxdata="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7tQdd9kAAAALAQAADwAAAAAAAAABACAAAAAiAAAAZHJz&#10;L2Rvd25yZXYueG1sUEsBAhQAFAAAAAgAh07iQCb0vTPKAQAAkwMAAA4AAAAAAAAAAQAgAAAAKAEA&#10;AGRycy9lMm9Eb2MueG1sUEsFBgAAAAAGAAYAWQEAAGQFAAAAAA==&#10;">
              <v:fill on="f" focussize="0,0"/>
              <v:stroke on="f"/>
              <v:imagedata o:title=""/>
              <o:lock v:ext="edit" aspectratio="f"/>
              <v:textbox inset="0mm,0mm,0mm,0mm" style="mso-fit-shape-to-text:t;">
                <w:txbxContent>
                  <w:p w14:paraId="291DB712">
                    <w:pPr>
                      <w:pStyle w:val="11"/>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43</w:t>
                    </w:r>
                    <w:r>
                      <w:rPr>
                        <w:rFonts w:ascii="Times New Roman" w:hAnsi="Times New Roman" w:cs="Times New Roman"/>
                      </w:rPr>
                      <w:fldChar w:fldCharType="end"/>
                    </w:r>
                  </w:p>
                </w:txbxContent>
              </v:textbox>
            </v:rect>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7B5AB">
    <w:pPr>
      <w:spacing w:line="188" w:lineRule="auto"/>
      <w:rPr>
        <w:rFonts w:ascii="Times New Roman" w:hAnsi="Times New Roman" w:eastAsia="Times New Roman" w:cs="Times New Roman"/>
        <w:sz w:val="18"/>
        <w:szCs w:val="18"/>
      </w:rPr>
    </w:pPr>
    <w:r>
      <w:rPr>
        <w:sz w:val="18"/>
      </w:rPr>
      <mc:AlternateContent>
        <mc:Choice Requires="wps">
          <w:drawing>
            <wp:anchor distT="0" distB="0" distL="0" distR="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9" name="文本框 2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C8985B2">
                          <w:pPr>
                            <w:pStyle w:val="11"/>
                          </w:pPr>
                          <w:r>
                            <w:fldChar w:fldCharType="begin"/>
                          </w:r>
                          <w:r>
                            <w:instrText xml:space="preserve"> PAGE  \* MERGEFORMAT </w:instrText>
                          </w:r>
                          <w:r>
                            <w:fldChar w:fldCharType="separate"/>
                          </w:r>
                          <w:r>
                            <w:t>46</w:t>
                          </w:r>
                          <w:r>
                            <w:fldChar w:fldCharType="end"/>
                          </w:r>
                        </w:p>
                      </w:txbxContent>
                    </wps:txbx>
                    <wps:bodyPr vert="horz" wrap="none" lIns="0" tIns="0" rIns="0" bIns="0" anchor="t">
                      <a:spAutoFit/>
                    </wps:bodyPr>
                  </wps:wsp>
                </a:graphicData>
              </a:graphic>
            </wp:anchor>
          </w:drawing>
        </mc:Choice>
        <mc:Fallback>
          <w:pict>
            <v:rect id="文本框 20" o:spid="_x0000_s1026" o:spt="1"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FjZfb7KAQAAkwMAAA4AAAAAAAAAAQAgAAAAHwEAAGRycy9lMm9E&#10;b2MueG1sUEsFBgAAAAAGAAYAWQEAAFsFAAAAAA==&#10;">
              <v:fill on="f" focussize="0,0"/>
              <v:stroke on="f"/>
              <v:imagedata o:title=""/>
              <o:lock v:ext="edit" aspectratio="f"/>
              <v:textbox inset="0mm,0mm,0mm,0mm" style="mso-fit-shape-to-text:t;">
                <w:txbxContent>
                  <w:p w14:paraId="5C8985B2">
                    <w:pPr>
                      <w:pStyle w:val="11"/>
                    </w:pPr>
                    <w:r>
                      <w:fldChar w:fldCharType="begin"/>
                    </w:r>
                    <w:r>
                      <w:instrText xml:space="preserve"> PAGE  \* MERGEFORMAT </w:instrText>
                    </w:r>
                    <w:r>
                      <w:fldChar w:fldCharType="separate"/>
                    </w:r>
                    <w:r>
                      <w:t>46</w:t>
                    </w:r>
                    <w:r>
                      <w:fldChar w:fldCharType="end"/>
                    </w:r>
                  </w:p>
                </w:txbxContent>
              </v:textbox>
            </v:rect>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EF6DF">
    <w:pPr>
      <w:pStyle w:val="11"/>
    </w:pPr>
    <w:r>
      <mc:AlternateContent>
        <mc:Choice Requires="wps">
          <w:drawing>
            <wp:anchor distT="0" distB="0" distL="0" distR="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0" name="文本框 2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46B2EED">
                          <w:pPr>
                            <w:pStyle w:val="11"/>
                          </w:pPr>
                          <w:r>
                            <w:fldChar w:fldCharType="begin"/>
                          </w:r>
                          <w:r>
                            <w:instrText xml:space="preserve"> PAGE  \* MERGEFORMAT </w:instrText>
                          </w:r>
                          <w:r>
                            <w:fldChar w:fldCharType="separate"/>
                          </w:r>
                          <w:r>
                            <w:t>44</w:t>
                          </w:r>
                          <w:r>
                            <w:fldChar w:fldCharType="end"/>
                          </w:r>
                        </w:p>
                      </w:txbxContent>
                    </wps:txbx>
                    <wps:bodyPr vert="horz" wrap="none" lIns="0" tIns="0" rIns="0" bIns="0" anchor="t">
                      <a:spAutoFit/>
                    </wps:bodyPr>
                  </wps:wsp>
                </a:graphicData>
              </a:graphic>
            </wp:anchor>
          </w:drawing>
        </mc:Choice>
        <mc:Fallback>
          <w:pict>
            <v:rect id="文本框 24" o:spid="_x0000_s1026" o:spt="1"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M3hEAbKAQAAkwMAAA4AAAAAAAAAAQAgAAAAHwEAAGRycy9lMm9E&#10;b2MueG1sUEsFBgAAAAAGAAYAWQEAAFsFAAAAAA==&#10;">
              <v:fill on="f" focussize="0,0"/>
              <v:stroke on="f"/>
              <v:imagedata o:title=""/>
              <o:lock v:ext="edit" aspectratio="f"/>
              <v:textbox inset="0mm,0mm,0mm,0mm" style="mso-fit-shape-to-text:t;">
                <w:txbxContent>
                  <w:p w14:paraId="146B2EED">
                    <w:pPr>
                      <w:pStyle w:val="11"/>
                    </w:pPr>
                    <w:r>
                      <w:fldChar w:fldCharType="begin"/>
                    </w:r>
                    <w:r>
                      <w:instrText xml:space="preserve"> PAGE  \* MERGEFORMAT </w:instrText>
                    </w:r>
                    <w:r>
                      <w:fldChar w:fldCharType="separate"/>
                    </w:r>
                    <w:r>
                      <w:t>44</w:t>
                    </w:r>
                    <w:r>
                      <w:fldChar w:fldCharType="end"/>
                    </w:r>
                  </w:p>
                </w:txbxContent>
              </v:textbox>
            </v:rect>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46440">
    <w:pPr>
      <w:spacing w:line="178" w:lineRule="auto"/>
      <w:ind w:left="4522"/>
      <w:rPr>
        <w:rFonts w:ascii="Calibri" w:hAnsi="Calibri" w:eastAsia="Calibri" w:cs="Calibri"/>
        <w:sz w:val="18"/>
        <w:szCs w:val="18"/>
      </w:rPr>
    </w:pPr>
    <w:r>
      <w:rPr>
        <w:sz w:val="18"/>
      </w:rPr>
      <mc:AlternateContent>
        <mc:Choice Requires="wps">
          <w:drawing>
            <wp:anchor distT="0" distB="0" distL="0" distR="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1"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F83D38F">
                          <w:pPr>
                            <w:pStyle w:val="11"/>
                          </w:pPr>
                          <w:r>
                            <w:fldChar w:fldCharType="begin"/>
                          </w:r>
                          <w:r>
                            <w:instrText xml:space="preserve"> PAGE  \* MERGEFORMAT </w:instrText>
                          </w:r>
                          <w:r>
                            <w:fldChar w:fldCharType="separate"/>
                          </w:r>
                          <w:r>
                            <w:t>47</w:t>
                          </w:r>
                          <w:r>
                            <w:fldChar w:fldCharType="end"/>
                          </w:r>
                        </w:p>
                      </w:txbxContent>
                    </wps:txbx>
                    <wps:bodyPr vert="horz" wrap="none" lIns="0" tIns="0" rIns="0" bIns="0" anchor="t">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GnaF5vKAQAAkgMAAA4AAAAAAAAAAQAgAAAAHwEAAGRycy9lMm9E&#10;b2MueG1sUEsFBgAAAAAGAAYAWQEAAFsFAAAAAA==&#10;">
              <v:fill on="f" focussize="0,0"/>
              <v:stroke on="f"/>
              <v:imagedata o:title=""/>
              <o:lock v:ext="edit" aspectratio="f"/>
              <v:textbox inset="0mm,0mm,0mm,0mm" style="mso-fit-shape-to-text:t;">
                <w:txbxContent>
                  <w:p w14:paraId="1F83D38F">
                    <w:pPr>
                      <w:pStyle w:val="11"/>
                    </w:pPr>
                    <w:r>
                      <w:fldChar w:fldCharType="begin"/>
                    </w:r>
                    <w:r>
                      <w:instrText xml:space="preserve"> PAGE  \* MERGEFORMAT </w:instrText>
                    </w:r>
                    <w:r>
                      <w:fldChar w:fldCharType="separate"/>
                    </w:r>
                    <w:r>
                      <w:t>47</w:t>
                    </w:r>
                    <w:r>
                      <w:fldChar w:fldCharType="end"/>
                    </w:r>
                  </w:p>
                </w:txbxContent>
              </v:textbox>
            </v:rect>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CF321">
    <w:pPr>
      <w:spacing w:line="173" w:lineRule="auto"/>
      <w:rPr>
        <w:rFonts w:ascii="Times New Roman" w:hAnsi="Times New Roman" w:eastAsia="Times New Roman" w:cs="Times New Roman"/>
        <w:sz w:val="14"/>
        <w:szCs w:val="14"/>
      </w:rPr>
    </w:pPr>
    <w:r>
      <w:rPr>
        <w:sz w:val="14"/>
      </w:rPr>
      <mc:AlternateContent>
        <mc:Choice Requires="wps">
          <w:drawing>
            <wp:anchor distT="0" distB="0" distL="0" distR="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2"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3F7136D">
                          <w:pPr>
                            <w:pStyle w:val="11"/>
                          </w:pPr>
                          <w:r>
                            <w:fldChar w:fldCharType="begin"/>
                          </w:r>
                          <w:r>
                            <w:instrText xml:space="preserve"> PAGE  \* MERGEFORMAT </w:instrText>
                          </w:r>
                          <w:r>
                            <w:fldChar w:fldCharType="separate"/>
                          </w:r>
                          <w:r>
                            <w:t>50</w:t>
                          </w:r>
                          <w:r>
                            <w:fldChar w:fldCharType="end"/>
                          </w:r>
                        </w:p>
                      </w:txbxContent>
                    </wps:txbx>
                    <wps:bodyPr vert="horz" wrap="none" lIns="0" tIns="0" rIns="0" bIns="0" anchor="t">
                      <a:spAutoFit/>
                    </wps:bodyPr>
                  </wps:wsp>
                </a:graphicData>
              </a:graphic>
            </wp:anchor>
          </w:drawing>
        </mc:Choice>
        <mc:Fallback>
          <w:pict>
            <v:rect id="文本框 7" o:spid="_x0000_s1026" o:spt="1"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LoynwDKAQAAkgMAAA4AAAAAAAAAAQAgAAAAHwEAAGRycy9lMm9E&#10;b2MueG1sUEsFBgAAAAAGAAYAWQEAAFsFAAAAAA==&#10;">
              <v:fill on="f" focussize="0,0"/>
              <v:stroke on="f"/>
              <v:imagedata o:title=""/>
              <o:lock v:ext="edit" aspectratio="f"/>
              <v:textbox inset="0mm,0mm,0mm,0mm" style="mso-fit-shape-to-text:t;">
                <w:txbxContent>
                  <w:p w14:paraId="03F7136D">
                    <w:pPr>
                      <w:pStyle w:val="11"/>
                    </w:pPr>
                    <w:r>
                      <w:fldChar w:fldCharType="begin"/>
                    </w:r>
                    <w:r>
                      <w:instrText xml:space="preserve"> PAGE  \* MERGEFORMAT </w:instrText>
                    </w:r>
                    <w:r>
                      <w:fldChar w:fldCharType="separate"/>
                    </w:r>
                    <w:r>
                      <w:t>50</w:t>
                    </w:r>
                    <w:r>
                      <w:fldChar w:fldCharType="end"/>
                    </w:r>
                  </w:p>
                </w:txbxContent>
              </v:textbox>
            </v:rect>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57A1B">
    <w:pPr>
      <w:spacing w:line="173" w:lineRule="auto"/>
      <w:rPr>
        <w:rFonts w:ascii="Times New Roman" w:hAnsi="Times New Roman" w:eastAsia="Times New Roman" w:cs="Times New Roman"/>
        <w:sz w:val="14"/>
        <w:szCs w:val="14"/>
      </w:rPr>
    </w:pPr>
    <w:r>
      <w:rPr>
        <w:sz w:val="14"/>
      </w:rPr>
      <mc:AlternateContent>
        <mc:Choice Requires="wps">
          <w:drawing>
            <wp:anchor distT="0" distB="0" distL="0" distR="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3" name="文本框 1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BB4B02B">
                          <w:pPr>
                            <w:pStyle w:val="11"/>
                          </w:pPr>
                          <w:r>
                            <w:fldChar w:fldCharType="begin"/>
                          </w:r>
                          <w:r>
                            <w:instrText xml:space="preserve"> PAGE  \* MERGEFORMAT </w:instrText>
                          </w:r>
                          <w:r>
                            <w:fldChar w:fldCharType="separate"/>
                          </w:r>
                          <w:r>
                            <w:t>- 1 -</w:t>
                          </w:r>
                          <w:r>
                            <w:fldChar w:fldCharType="end"/>
                          </w:r>
                        </w:p>
                      </w:txbxContent>
                    </wps:txbx>
                    <wps:bodyPr vert="horz" wrap="none" lIns="0" tIns="0" rIns="0" bIns="0" anchor="t">
                      <a:spAutoFit/>
                    </wps:bodyPr>
                  </wps:wsp>
                </a:graphicData>
              </a:graphic>
            </wp:anchor>
          </w:drawing>
        </mc:Choice>
        <mc:Fallback>
          <w:pict>
            <v:rect id="文本框 19" o:spid="_x0000_s1026" o:spt="1"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DtlrE8ywEAAJMDAAAOAAAAAAAAAAEAIAAAAB8BAABkcnMvZTJv&#10;RG9jLnhtbFBLBQYAAAAABgAGAFkBAABcBQAAAAA=&#10;">
              <v:fill on="f" focussize="0,0"/>
              <v:stroke on="f"/>
              <v:imagedata o:title=""/>
              <o:lock v:ext="edit" aspectratio="f"/>
              <v:textbox inset="0mm,0mm,0mm,0mm" style="mso-fit-shape-to-text:t;">
                <w:txbxContent>
                  <w:p w14:paraId="0BB4B02B">
                    <w:pPr>
                      <w:pStyle w:val="11"/>
                    </w:pPr>
                    <w:r>
                      <w:fldChar w:fldCharType="begin"/>
                    </w:r>
                    <w:r>
                      <w:instrText xml:space="preserve"> PAGE  \* MERGEFORMAT </w:instrText>
                    </w:r>
                    <w:r>
                      <w:fldChar w:fldCharType="separate"/>
                    </w:r>
                    <w:r>
                      <w:t>- 1 -</w:t>
                    </w:r>
                    <w:r>
                      <w:fldChar w:fldCharType="end"/>
                    </w:r>
                  </w:p>
                </w:txbxContent>
              </v:textbox>
            </v:rect>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66FBA">
    <w:pPr>
      <w:pStyle w:val="11"/>
      <w:rPr>
        <w:rFonts w:ascii="仿宋_GB2312" w:eastAsia="仿宋_GB2312"/>
        <w:szCs w:val="18"/>
      </w:rPr>
    </w:pPr>
    <w:r>
      <mc:AlternateContent>
        <mc:Choice Requires="wps">
          <w:drawing>
            <wp:anchor distT="0" distB="0" distL="0" distR="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4" name="文本框 1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5FDC381">
                          <w:pPr>
                            <w:pStyle w:val="11"/>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54</w:t>
                          </w:r>
                          <w:r>
                            <w:rPr>
                              <w:rFonts w:ascii="Times New Roman" w:hAnsi="Times New Roman" w:cs="Times New Roman"/>
                            </w:rPr>
                            <w:fldChar w:fldCharType="end"/>
                          </w:r>
                        </w:p>
                      </w:txbxContent>
                    </wps:txbx>
                    <wps:bodyPr vert="horz" wrap="none" lIns="0" tIns="0" rIns="0" bIns="0" anchor="t">
                      <a:spAutoFit/>
                    </wps:bodyPr>
                  </wps:wsp>
                </a:graphicData>
              </a:graphic>
            </wp:anchor>
          </w:drawing>
        </mc:Choice>
        <mc:Fallback>
          <w:pict>
            <v:rect id="文本框 10" o:spid="_x0000_s1026" o:spt="1"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NhoAxnKAQAAkwMAAA4AAAAAAAAAAQAgAAAAHwEAAGRycy9lMm9E&#10;b2MueG1sUEsFBgAAAAAGAAYAWQEAAFsFAAAAAA==&#10;">
              <v:fill on="f" focussize="0,0"/>
              <v:stroke on="f"/>
              <v:imagedata o:title=""/>
              <o:lock v:ext="edit" aspectratio="f"/>
              <v:textbox inset="0mm,0mm,0mm,0mm" style="mso-fit-shape-to-text:t;">
                <w:txbxContent>
                  <w:p w14:paraId="05FDC381">
                    <w:pPr>
                      <w:pStyle w:val="11"/>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54</w:t>
                    </w:r>
                    <w:r>
                      <w:rPr>
                        <w:rFonts w:ascii="Times New Roman" w:hAnsi="Times New Roman" w:cs="Times New Roman"/>
                      </w:rPr>
                      <w:fldChar w:fldCharType="end"/>
                    </w:r>
                  </w:p>
                </w:txbxContent>
              </v:textbox>
            </v:rect>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FADC6">
    <w:pPr>
      <w:spacing w:line="188" w:lineRule="auto"/>
      <w:rPr>
        <w:rFonts w:ascii="Times New Roman" w:hAnsi="Times New Roman" w:eastAsia="Times New Roman" w:cs="Times New Roman"/>
        <w:sz w:val="18"/>
        <w:szCs w:val="18"/>
      </w:rPr>
    </w:pPr>
    <w:r>
      <w:rPr>
        <w:sz w:val="18"/>
      </w:rPr>
      <mc:AlternateContent>
        <mc:Choice Requires="wps">
          <w:drawing>
            <wp:anchor distT="0" distB="0" distL="0" distR="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5" name="文本框 2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D4707D2">
                          <w:pPr>
                            <w:pStyle w:val="11"/>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53</w:t>
                          </w:r>
                          <w:r>
                            <w:rPr>
                              <w:rFonts w:ascii="Times New Roman" w:hAnsi="Times New Roman" w:cs="Times New Roman"/>
                            </w:rPr>
                            <w:fldChar w:fldCharType="end"/>
                          </w:r>
                        </w:p>
                      </w:txbxContent>
                    </wps:txbx>
                    <wps:bodyPr vert="horz" wrap="none" lIns="0" tIns="0" rIns="0" bIns="0" anchor="t">
                      <a:spAutoFit/>
                    </wps:bodyPr>
                  </wps:wsp>
                </a:graphicData>
              </a:graphic>
            </wp:anchor>
          </w:drawing>
        </mc:Choice>
        <mc:Fallback>
          <w:pict>
            <v:rect id="文本框 23" o:spid="_x0000_s1026" o:spt="1"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DKxaraywEAAJMDAAAOAAAAAAAAAAEAIAAAAB8BAABkcnMvZTJv&#10;RG9jLnhtbFBLBQYAAAAABgAGAFkBAABcBQAAAAA=&#10;">
              <v:fill on="f" focussize="0,0"/>
              <v:stroke on="f"/>
              <v:imagedata o:title=""/>
              <o:lock v:ext="edit" aspectratio="f"/>
              <v:textbox inset="0mm,0mm,0mm,0mm" style="mso-fit-shape-to-text:t;">
                <w:txbxContent>
                  <w:p w14:paraId="5D4707D2">
                    <w:pPr>
                      <w:pStyle w:val="11"/>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53</w:t>
                    </w:r>
                    <w:r>
                      <w:rPr>
                        <w:rFonts w:ascii="Times New Roman" w:hAnsi="Times New Roman" w:cs="Times New Roman"/>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2CFF8">
    <w:pPr>
      <w:pStyle w:val="11"/>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56391">
    <w:pPr>
      <w:pStyle w:val="11"/>
      <w:rPr>
        <w:rFonts w:ascii="仿宋_GB2312" w:eastAsia="仿宋_GB2312"/>
        <w:szCs w:val="24"/>
      </w:rPr>
    </w:pPr>
    <w:r>
      <mc:AlternateContent>
        <mc:Choice Requires="wps">
          <w:drawing>
            <wp:anchor distT="0" distB="0" distL="0" distR="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6" name="文本框 2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0B686A2">
                          <w:pPr>
                            <w:pStyle w:val="11"/>
                          </w:pPr>
                          <w:r>
                            <w:fldChar w:fldCharType="begin"/>
                          </w:r>
                          <w:r>
                            <w:instrText xml:space="preserve"> PAGE  \* MERGEFORMAT </w:instrText>
                          </w:r>
                          <w:r>
                            <w:fldChar w:fldCharType="separate"/>
                          </w:r>
                          <w:r>
                            <w:t>58</w:t>
                          </w:r>
                          <w:r>
                            <w:fldChar w:fldCharType="end"/>
                          </w:r>
                        </w:p>
                      </w:txbxContent>
                    </wps:txbx>
                    <wps:bodyPr vert="horz" wrap="none" lIns="0" tIns="0" rIns="0" bIns="0" anchor="t">
                      <a:spAutoFit/>
                    </wps:bodyPr>
                  </wps:wsp>
                </a:graphicData>
              </a:graphic>
            </wp:anchor>
          </w:drawing>
        </mc:Choice>
        <mc:Fallback>
          <w:pict>
            <v:rect id="文本框 21" o:spid="_x0000_s1026" o:spt="1"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DAMWLjKAQAAkwMAAA4AAAAAAAAAAQAgAAAAHwEAAGRycy9lMm9E&#10;b2MueG1sUEsFBgAAAAAGAAYAWQEAAFsFAAAAAA==&#10;">
              <v:fill on="f" focussize="0,0"/>
              <v:stroke on="f"/>
              <v:imagedata o:title=""/>
              <o:lock v:ext="edit" aspectratio="f"/>
              <v:textbox inset="0mm,0mm,0mm,0mm" style="mso-fit-shape-to-text:t;">
                <w:txbxContent>
                  <w:p w14:paraId="40B686A2">
                    <w:pPr>
                      <w:pStyle w:val="11"/>
                    </w:pPr>
                    <w:r>
                      <w:fldChar w:fldCharType="begin"/>
                    </w:r>
                    <w:r>
                      <w:instrText xml:space="preserve"> PAGE  \* MERGEFORMAT </w:instrText>
                    </w:r>
                    <w:r>
                      <w:fldChar w:fldCharType="separate"/>
                    </w:r>
                    <w:r>
                      <w:t>58</w:t>
                    </w:r>
                    <w:r>
                      <w:fldChar w:fldCharType="end"/>
                    </w:r>
                  </w:p>
                </w:txbxContent>
              </v:textbox>
            </v:rect>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E187F">
    <w:pPr>
      <w:pStyle w:val="11"/>
      <w:rPr>
        <w:rFonts w:ascii="仿宋_GB2312" w:eastAsia="仿宋_GB2312"/>
        <w:szCs w:val="18"/>
      </w:rPr>
    </w:pPr>
    <w:r>
      <mc:AlternateContent>
        <mc:Choice Requires="wps">
          <w:drawing>
            <wp:anchor distT="0" distB="0" distL="0" distR="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7" name="文本框 2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FDD7E45">
                          <w:pPr>
                            <w:pStyle w:val="11"/>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59</w:t>
                          </w:r>
                          <w:r>
                            <w:rPr>
                              <w:rFonts w:ascii="Times New Roman" w:hAnsi="Times New Roman" w:cs="Times New Roman"/>
                            </w:rPr>
                            <w:fldChar w:fldCharType="end"/>
                          </w:r>
                        </w:p>
                      </w:txbxContent>
                    </wps:txbx>
                    <wps:bodyPr vert="horz" wrap="none" lIns="0" tIns="0" rIns="0" bIns="0" anchor="t">
                      <a:spAutoFit/>
                    </wps:bodyPr>
                  </wps:wsp>
                </a:graphicData>
              </a:graphic>
            </wp:anchor>
          </w:drawing>
        </mc:Choice>
        <mc:Fallback>
          <w:pict>
            <v:rect id="文本框 22" o:spid="_x0000_s1026" o:spt="1"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EyfGPHKAQAAkwMAAA4AAAAAAAAAAQAgAAAAHwEAAGRycy9lMm9E&#10;b2MueG1sUEsFBgAAAAAGAAYAWQEAAFsFAAAAAA==&#10;">
              <v:fill on="f" focussize="0,0"/>
              <v:stroke on="f"/>
              <v:imagedata o:title=""/>
              <o:lock v:ext="edit" aspectratio="f"/>
              <v:textbox inset="0mm,0mm,0mm,0mm" style="mso-fit-shape-to-text:t;">
                <w:txbxContent>
                  <w:p w14:paraId="3FDD7E45">
                    <w:pPr>
                      <w:pStyle w:val="11"/>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59</w:t>
                    </w:r>
                    <w:r>
                      <w:rPr>
                        <w:rFonts w:ascii="Times New Roman" w:hAnsi="Times New Roman" w:cs="Times New Roman"/>
                      </w:rPr>
                      <w:fldChar w:fldCharType="end"/>
                    </w:r>
                  </w:p>
                </w:txbxContent>
              </v:textbox>
            </v:rect>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8CD88">
    <w:pPr>
      <w:spacing w:line="186" w:lineRule="auto"/>
      <w:rPr>
        <w:rFonts w:ascii="Times New Roman" w:hAnsi="Times New Roman" w:eastAsia="Times New Roman" w:cs="Times New Roman"/>
        <w:sz w:val="18"/>
        <w:szCs w:val="18"/>
      </w:rPr>
    </w:pPr>
    <w:r>
      <w:rPr>
        <w:sz w:val="18"/>
      </w:rPr>
      <mc:AlternateContent>
        <mc:Choice Requires="wps">
          <w:drawing>
            <wp:anchor distT="0" distB="0" distL="0" distR="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8"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62279DE">
                          <w:pPr>
                            <w:pStyle w:val="11"/>
                          </w:pPr>
                          <w:r>
                            <w:fldChar w:fldCharType="begin"/>
                          </w:r>
                          <w:r>
                            <w:instrText xml:space="preserve"> PAGE  \* MERGEFORMAT </w:instrText>
                          </w:r>
                          <w:r>
                            <w:fldChar w:fldCharType="separate"/>
                          </w:r>
                          <w:r>
                            <w:t>- 1 -</w:t>
                          </w:r>
                          <w:r>
                            <w:fldChar w:fldCharType="end"/>
                          </w:r>
                        </w:p>
                      </w:txbxContent>
                    </wps:txbx>
                    <wps:bodyPr vert="horz" wrap="none" lIns="0" tIns="0" rIns="0" bIns="0" anchor="t">
                      <a:spAutoFit/>
                    </wps:bodyPr>
                  </wps:wsp>
                </a:graphicData>
              </a:graphic>
            </wp:anchor>
          </w:drawing>
        </mc:Choice>
        <mc:Fallback>
          <w:pict>
            <v:rect id="文本框 6" o:spid="_x0000_s1026" o:spt="1"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zIxCMkBAACSAwAADgAAAAAAAAABACAAAAAfAQAAZHJzL2Uyb0Rv&#10;Yy54bWxQSwUGAAAAAAYABgBZAQAAWgUAAAAA&#10;">
              <v:fill on="f" focussize="0,0"/>
              <v:stroke on="f"/>
              <v:imagedata o:title=""/>
              <o:lock v:ext="edit" aspectratio="f"/>
              <v:textbox inset="0mm,0mm,0mm,0mm" style="mso-fit-shape-to-text:t;">
                <w:txbxContent>
                  <w:p w14:paraId="762279DE">
                    <w:pPr>
                      <w:pStyle w:val="11"/>
                    </w:pPr>
                    <w:r>
                      <w:fldChar w:fldCharType="begin"/>
                    </w:r>
                    <w:r>
                      <w:instrText xml:space="preserve"> PAGE  \* MERGEFORMAT </w:instrText>
                    </w:r>
                    <w:r>
                      <w:fldChar w:fldCharType="separate"/>
                    </w:r>
                    <w:r>
                      <w:t>- 1 -</w:t>
                    </w:r>
                    <w:r>
                      <w:fldChar w:fldCharType="end"/>
                    </w:r>
                  </w:p>
                </w:txbxContent>
              </v:textbox>
            </v:rect>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DD950">
    <w:pPr>
      <w:pStyle w:val="11"/>
      <w:rPr>
        <w:rFonts w:ascii="仿宋_GB2312" w:eastAsia="仿宋_GB2312"/>
        <w:szCs w:val="18"/>
      </w:rPr>
    </w:pPr>
    <w:r>
      <mc:AlternateContent>
        <mc:Choice Requires="wps">
          <w:drawing>
            <wp:anchor distT="0" distB="0" distL="0" distR="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9"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40DD086">
                          <w:pPr>
                            <w:pStyle w:val="11"/>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63</w:t>
                          </w:r>
                          <w:r>
                            <w:rPr>
                              <w:rFonts w:ascii="Times New Roman" w:hAnsi="Times New Roman" w:cs="Times New Roman"/>
                            </w:rPr>
                            <w:fldChar w:fldCharType="end"/>
                          </w:r>
                        </w:p>
                      </w:txbxContent>
                    </wps:txbx>
                    <wps:bodyPr vert="horz" wrap="none" lIns="0" tIns="0" rIns="0" bIns="0" anchor="t">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N4V3zDKAQAAkgMAAA4AAAAAAAAAAQAgAAAAHwEAAGRycy9lMm9E&#10;b2MueG1sUEsFBgAAAAAGAAYAWQEAAFsFAAAAAA==&#10;">
              <v:fill on="f" focussize="0,0"/>
              <v:stroke on="f"/>
              <v:imagedata o:title=""/>
              <o:lock v:ext="edit" aspectratio="f"/>
              <v:textbox inset="0mm,0mm,0mm,0mm" style="mso-fit-shape-to-text:t;">
                <w:txbxContent>
                  <w:p w14:paraId="240DD086">
                    <w:pPr>
                      <w:pStyle w:val="11"/>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63</w:t>
                    </w:r>
                    <w:r>
                      <w:rPr>
                        <w:rFonts w:ascii="Times New Roman" w:hAnsi="Times New Roman" w:cs="Times New Roman"/>
                      </w:rPr>
                      <w:fldChar w:fldCharType="end"/>
                    </w:r>
                  </w:p>
                </w:txbxContent>
              </v:textbox>
            </v:rect>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63C42">
    <w:pPr>
      <w:spacing w:line="178" w:lineRule="auto"/>
      <w:ind w:left="4522"/>
      <w:rPr>
        <w:rFonts w:ascii="Calibri" w:hAnsi="Calibri" w:eastAsia="Calibri" w:cs="Calibri"/>
        <w:sz w:val="18"/>
        <w:szCs w:val="18"/>
      </w:rPr>
    </w:pPr>
    <w:r>
      <w:rPr>
        <w:sz w:val="18"/>
      </w:rPr>
      <mc:AlternateContent>
        <mc:Choice Requires="wps">
          <w:drawing>
            <wp:anchor distT="0" distB="0" distL="0" distR="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20"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BFEEB7F">
                          <w:pPr>
                            <w:pStyle w:val="11"/>
                            <w:rPr>
                              <w:rFonts w:ascii="Times New Roman" w:hAnsi="Times New Roman" w:cs="Times New Roman"/>
                            </w:rPr>
                          </w:pPr>
                          <w:r>
                            <w:fldChar w:fldCharType="begin"/>
                          </w:r>
                          <w:r>
                            <w:instrText xml:space="preserve"> PAGE  \* MERGEFORMAT </w:instrText>
                          </w:r>
                          <w:r>
                            <w:fldChar w:fldCharType="separate"/>
                          </w:r>
                          <w:r>
                            <w:t>67</w:t>
                          </w:r>
                          <w:r>
                            <w:fldChar w:fldCharType="end"/>
                          </w:r>
                        </w:p>
                      </w:txbxContent>
                    </wps:txbx>
                    <wps:bodyPr vert="horz" wrap="none" lIns="0" tIns="0" rIns="0" bIns="0" anchor="t">
                      <a:spAutoFit/>
                    </wps:bodyPr>
                  </wps:wsp>
                </a:graphicData>
              </a:graphic>
            </wp:anchor>
          </w:drawing>
        </mc:Choice>
        <mc:Fallback>
          <w:pict>
            <v:rect id="文本框 9" o:spid="_x0000_s1026" o:spt="1"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n0p1JskBAACSAwAADgAAAAAAAAABACAAAAAfAQAAZHJzL2Uyb0Rv&#10;Yy54bWxQSwUGAAAAAAYABgBZAQAAWgUAAAAA&#10;">
              <v:fill on="f" focussize="0,0"/>
              <v:stroke on="f"/>
              <v:imagedata o:title=""/>
              <o:lock v:ext="edit" aspectratio="f"/>
              <v:textbox inset="0mm,0mm,0mm,0mm" style="mso-fit-shape-to-text:t;">
                <w:txbxContent>
                  <w:p w14:paraId="0BFEEB7F">
                    <w:pPr>
                      <w:pStyle w:val="11"/>
                      <w:rPr>
                        <w:rFonts w:ascii="Times New Roman" w:hAnsi="Times New Roman" w:cs="Times New Roman"/>
                      </w:rPr>
                    </w:pPr>
                    <w:r>
                      <w:fldChar w:fldCharType="begin"/>
                    </w:r>
                    <w:r>
                      <w:instrText xml:space="preserve"> PAGE  \* MERGEFORMAT </w:instrText>
                    </w:r>
                    <w:r>
                      <w:fldChar w:fldCharType="separate"/>
                    </w:r>
                    <w:r>
                      <w:t>67</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95F39">
    <w:pPr>
      <w:spacing w:line="192" w:lineRule="auto"/>
      <w:rPr>
        <w:rFonts w:ascii="Times New Roman" w:hAnsi="Times New Roman" w:eastAsia="Times New Roman" w:cs="Times New Roman"/>
        <w:sz w:val="17"/>
        <w:szCs w:val="1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E434B">
    <w:pPr>
      <w:spacing w:line="188" w:lineRule="auto"/>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09550" cy="137795"/>
              <wp:effectExtent l="0" t="0" r="0" b="0"/>
              <wp:wrapNone/>
              <wp:docPr id="4099" name="文本框 15"/>
              <wp:cNvGraphicFramePr/>
              <a:graphic xmlns:a="http://schemas.openxmlformats.org/drawingml/2006/main">
                <a:graphicData uri="http://schemas.microsoft.com/office/word/2010/wordprocessingShape">
                  <wps:wsp>
                    <wps:cNvSpPr/>
                    <wps:spPr>
                      <a:xfrm>
                        <a:off x="0" y="0"/>
                        <a:ext cx="209550" cy="137795"/>
                      </a:xfrm>
                      <a:prstGeom prst="rect">
                        <a:avLst/>
                      </a:prstGeom>
                      <a:ln>
                        <a:noFill/>
                      </a:ln>
                    </wps:spPr>
                    <wps:txbx>
                      <w:txbxContent>
                        <w:p w14:paraId="649D03C9">
                          <w:pPr>
                            <w:pStyle w:val="11"/>
                          </w:pPr>
                          <w:r>
                            <w:fldChar w:fldCharType="begin"/>
                          </w:r>
                          <w:r>
                            <w:instrText xml:space="preserve"> PAGE  \* MERGEFORMAT </w:instrText>
                          </w:r>
                          <w:r>
                            <w:fldChar w:fldCharType="separate"/>
                          </w:r>
                          <w:r>
                            <w:t>12</w:t>
                          </w:r>
                          <w:r>
                            <w:fldChar w:fldCharType="end"/>
                          </w:r>
                        </w:p>
                      </w:txbxContent>
                    </wps:txbx>
                    <wps:bodyPr vert="horz" wrap="square" lIns="0" tIns="0" rIns="0" bIns="0" anchor="t">
                      <a:noAutofit/>
                    </wps:bodyPr>
                  </wps:wsp>
                </a:graphicData>
              </a:graphic>
            </wp:anchor>
          </w:drawing>
        </mc:Choice>
        <mc:Fallback>
          <w:pict>
            <v:rect id="文本框 15" o:spid="_x0000_s1026" o:spt="1" style="position:absolute;left:0pt;margin-top:0pt;height:10.85pt;width:16.5pt;mso-position-horizontal:center;mso-position-horizontal-relative:margin;z-index:251659264;mso-width-relative:page;mso-height-relative:page;" filled="f" stroked="f" coordsize="21600,21600" o:gfxdata="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DrCFjtUAAAADAQAADwAAAAAAAAABACAAAAAiAAAA&#10;ZHJzL2Rvd25yZXYueG1sUEsBAhQAFAAAAAgAh07iQI4pikDRAQAAkwMAAA4AAAAAAAAAAQAgAAAA&#10;JAEAAGRycy9lMm9Eb2MueG1sUEsFBgAAAAAGAAYAWQEAAGcFAAAAAA==&#10;">
              <v:fill on="f" focussize="0,0"/>
              <v:stroke on="f"/>
              <v:imagedata o:title=""/>
              <o:lock v:ext="edit" aspectratio="f"/>
              <v:textbox inset="0mm,0mm,0mm,0mm">
                <w:txbxContent>
                  <w:p w14:paraId="649D03C9">
                    <w:pPr>
                      <w:pStyle w:val="11"/>
                    </w:pPr>
                    <w:r>
                      <w:fldChar w:fldCharType="begin"/>
                    </w:r>
                    <w:r>
                      <w:instrText xml:space="preserve"> PAGE  \* MERGEFORMAT </w:instrText>
                    </w:r>
                    <w:r>
                      <w:fldChar w:fldCharType="separate"/>
                    </w:r>
                    <w:r>
                      <w:t>12</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B382C">
    <w:pPr>
      <w:spacing w:line="172" w:lineRule="auto"/>
      <w:rPr>
        <w:rFonts w:ascii="Times New Roman" w:hAnsi="Times New Roman" w:eastAsia="Times New Roman" w:cs="Times New Roman"/>
        <w:sz w:val="13"/>
        <w:szCs w:val="13"/>
      </w:rPr>
    </w:pPr>
    <w:r>
      <w:rPr>
        <w:sz w:val="13"/>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F20699F">
                          <w:pPr>
                            <w:pStyle w:val="11"/>
                          </w:pPr>
                          <w:r>
                            <w:fldChar w:fldCharType="begin"/>
                          </w:r>
                          <w:r>
                            <w:instrText xml:space="preserve"> PAGE  \* MERGEFORMAT </w:instrText>
                          </w:r>
                          <w:r>
                            <w:fldChar w:fldCharType="separate"/>
                          </w:r>
                          <w:r>
                            <w:t>16</w:t>
                          </w:r>
                          <w:r>
                            <w:fldChar w:fldCharType="end"/>
                          </w:r>
                        </w:p>
                      </w:txbxContent>
                    </wps:txbx>
                    <wps:bodyPr vert="horz" wrap="none" lIns="0" tIns="0" rIns="0" bIns="0" anchor="t">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l1uVLQAAAABQEAAA8AAAAAAAAAAQAgAAAAIgAAAGRycy9kb3ducmV2Lnht&#10;bFBLAQIUABQAAAAIAIdO4kAZEMcNyAEAAJIDAAAOAAAAAAAAAAEAIAAAAB8BAABkcnMvZTJvRG9j&#10;LnhtbFBLBQYAAAAABgAGAFkBAABZBQAAAAA=&#10;">
              <v:fill on="f" focussize="0,0"/>
              <v:stroke on="f"/>
              <v:imagedata o:title=""/>
              <o:lock v:ext="edit" aspectratio="f"/>
              <v:textbox inset="0mm,0mm,0mm,0mm" style="mso-fit-shape-to-text:t;">
                <w:txbxContent>
                  <w:p w14:paraId="7F20699F">
                    <w:pPr>
                      <w:pStyle w:val="11"/>
                    </w:pPr>
                    <w:r>
                      <w:fldChar w:fldCharType="begin"/>
                    </w:r>
                    <w:r>
                      <w:instrText xml:space="preserve"> PAGE  \* MERGEFORMAT </w:instrText>
                    </w:r>
                    <w:r>
                      <w:fldChar w:fldCharType="separate"/>
                    </w:r>
                    <w:r>
                      <w:t>16</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542A8">
    <w:pPr>
      <w:spacing w:line="178" w:lineRule="auto"/>
      <w:ind w:left="4166"/>
      <w:rPr>
        <w:rFonts w:ascii="Calibri" w:hAnsi="Calibri" w:eastAsia="Calibri" w:cs="Calibri"/>
        <w:sz w:val="18"/>
        <w:szCs w:val="18"/>
      </w:rPr>
    </w:pPr>
    <w:r>
      <w:rPr>
        <w:sz w:val="18"/>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2"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55F9374">
                          <w:pPr>
                            <w:pStyle w:val="11"/>
                          </w:pPr>
                          <w:r>
                            <w:fldChar w:fldCharType="begin"/>
                          </w:r>
                          <w:r>
                            <w:instrText xml:space="preserve"> PAGE  \* MERGEFORMAT </w:instrText>
                          </w:r>
                          <w:r>
                            <w:fldChar w:fldCharType="separate"/>
                          </w:r>
                          <w:r>
                            <w:t>29</w:t>
                          </w:r>
                          <w:r>
                            <w:fldChar w:fldCharType="end"/>
                          </w:r>
                        </w:p>
                      </w:txbxContent>
                    </wps:txbx>
                    <wps:bodyPr vert="horz" wrap="none" lIns="0" tIns="0" rIns="0" bIns="0" anchor="t">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z99yMskBAACSAwAADgAAAAAAAAABACAAAAAfAQAAZHJzL2Uyb0Rv&#10;Yy54bWxQSwUGAAAAAAYABgBZAQAAWgUAAAAA&#10;">
              <v:fill on="f" focussize="0,0"/>
              <v:stroke on="f"/>
              <v:imagedata o:title=""/>
              <o:lock v:ext="edit" aspectratio="f"/>
              <v:textbox inset="0mm,0mm,0mm,0mm" style="mso-fit-shape-to-text:t;">
                <w:txbxContent>
                  <w:p w14:paraId="255F9374">
                    <w:pPr>
                      <w:pStyle w:val="11"/>
                    </w:pPr>
                    <w:r>
                      <w:fldChar w:fldCharType="begin"/>
                    </w:r>
                    <w:r>
                      <w:instrText xml:space="preserve"> PAGE  \* MERGEFORMAT </w:instrText>
                    </w:r>
                    <w:r>
                      <w:fldChar w:fldCharType="separate"/>
                    </w:r>
                    <w:r>
                      <w:t>29</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44016">
    <w:pPr>
      <w:pStyle w:val="7"/>
      <w:spacing w:line="182" w:lineRule="auto"/>
      <w:ind w:left="4773"/>
      <w:rPr>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FDA863">
                          <w:pPr>
                            <w:pStyle w:val="11"/>
                          </w:pPr>
                          <w:r>
                            <w:fldChar w:fldCharType="begin"/>
                          </w:r>
                          <w:r>
                            <w:instrText xml:space="preserve"> PAGE  \* MERGEFORMAT </w:instrText>
                          </w:r>
                          <w:r>
                            <w:fldChar w:fldCharType="separate"/>
                          </w:r>
                          <w:r>
                            <w:t>- 17 -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7FDA863">
                    <w:pPr>
                      <w:pStyle w:val="11"/>
                    </w:pPr>
                    <w:r>
                      <w:fldChar w:fldCharType="begin"/>
                    </w:r>
                    <w:r>
                      <w:instrText xml:space="preserve"> PAGE  \* MERGEFORMAT </w:instrText>
                    </w:r>
                    <w:r>
                      <w:fldChar w:fldCharType="separate"/>
                    </w:r>
                    <w:r>
                      <w:t>- 17 -</w:t>
                    </w:r>
                    <w:r>
                      <w:fldChar w:fldCharType="end"/>
                    </w:r>
                  </w:p>
                </w:txbxContent>
              </v:textbox>
            </v:shape>
          </w:pict>
        </mc:Fallback>
      </mc:AlternateContent>
    </w:r>
    <w:r>
      <w:rPr>
        <w:spacing w:val="-3"/>
        <w:sz w:val="18"/>
        <w:szCs w:val="18"/>
      </w:rPr>
      <w:t>72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8DABD">
    <w:pPr>
      <w:spacing w:line="173" w:lineRule="auto"/>
      <w:ind w:left="4590"/>
      <w:rPr>
        <w:rFonts w:ascii="Times New Roman" w:hAnsi="Times New Roman" w:eastAsia="Times New Roman" w:cs="Times New Roman"/>
        <w:sz w:val="14"/>
        <w:szCs w:val="14"/>
      </w:rPr>
    </w:pPr>
    <w:r>
      <w:rPr>
        <w:sz w:val="14"/>
      </w:rPr>
      <mc:AlternateContent>
        <mc:Choice Requires="wps">
          <w:drawing>
            <wp:anchor distT="0" distB="0" distL="0" distR="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4" name="文本框 1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ECE23F7">
                          <w:pPr>
                            <w:pStyle w:val="11"/>
                          </w:pPr>
                          <w:r>
                            <w:fldChar w:fldCharType="begin"/>
                          </w:r>
                          <w:r>
                            <w:instrText xml:space="preserve"> PAGE  \* MERGEFORMAT </w:instrText>
                          </w:r>
                          <w:r>
                            <w:fldChar w:fldCharType="separate"/>
                          </w:r>
                          <w:r>
                            <w:t>36</w:t>
                          </w:r>
                          <w:r>
                            <w:fldChar w:fldCharType="end"/>
                          </w:r>
                        </w:p>
                      </w:txbxContent>
                    </wps:txbx>
                    <wps:bodyPr vert="horz" wrap="none" lIns="0" tIns="0" rIns="0" bIns="0" anchor="t">
                      <a:spAutoFit/>
                    </wps:bodyPr>
                  </wps:wsp>
                </a:graphicData>
              </a:graphic>
            </wp:anchor>
          </w:drawing>
        </mc:Choice>
        <mc:Fallback>
          <w:pict>
            <v:rect id="文本框 13"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ApqedGywEAAJMDAAAOAAAAAAAAAAEAIAAAAB8BAABkcnMvZTJv&#10;RG9jLnhtbFBLBQYAAAAABgAGAFkBAABcBQAAAAA=&#10;">
              <v:fill on="f" focussize="0,0"/>
              <v:stroke on="f"/>
              <v:imagedata o:title=""/>
              <o:lock v:ext="edit" aspectratio="f"/>
              <v:textbox inset="0mm,0mm,0mm,0mm" style="mso-fit-shape-to-text:t;">
                <w:txbxContent>
                  <w:p w14:paraId="4ECE23F7">
                    <w:pPr>
                      <w:pStyle w:val="11"/>
                    </w:pPr>
                    <w:r>
                      <w:fldChar w:fldCharType="begin"/>
                    </w:r>
                    <w:r>
                      <w:instrText xml:space="preserve"> PAGE  \* MERGEFORMAT </w:instrText>
                    </w:r>
                    <w:r>
                      <w:fldChar w:fldCharType="separate"/>
                    </w:r>
                    <w:r>
                      <w:t>36</w:t>
                    </w:r>
                    <w:r>
                      <w:fldChar w:fldCharType="end"/>
                    </w: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DD9AA">
    <w:pPr>
      <w:spacing w:line="173" w:lineRule="auto"/>
      <w:ind w:left="4590"/>
      <w:rPr>
        <w:rFonts w:ascii="Times New Roman" w:hAnsi="Times New Roman" w:eastAsia="Times New Roman" w:cs="Times New Roman"/>
        <w:sz w:val="14"/>
        <w:szCs w:val="14"/>
      </w:rPr>
    </w:pPr>
    <w:r>
      <w:rPr>
        <w:sz w:val="14"/>
      </w:rPr>
      <mc:AlternateContent>
        <mc:Choice Requires="wps">
          <w:drawing>
            <wp:anchor distT="0" distB="0" distL="0" distR="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5" name="文本框 1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B31A346">
                          <w:pPr>
                            <w:pStyle w:val="11"/>
                          </w:pPr>
                          <w:r>
                            <w:fldChar w:fldCharType="begin"/>
                          </w:r>
                          <w:r>
                            <w:instrText xml:space="preserve"> PAGE  \* MERGEFORMAT </w:instrText>
                          </w:r>
                          <w:r>
                            <w:fldChar w:fldCharType="separate"/>
                          </w:r>
                          <w:r>
                            <w:t>37</w:t>
                          </w:r>
                          <w:r>
                            <w:fldChar w:fldCharType="end"/>
                          </w:r>
                        </w:p>
                      </w:txbxContent>
                    </wps:txbx>
                    <wps:bodyPr vert="horz" wrap="none" lIns="0" tIns="0" rIns="0" bIns="0" anchor="t">
                      <a:spAutoFit/>
                    </wps:bodyPr>
                  </wps:wsp>
                </a:graphicData>
              </a:graphic>
            </wp:anchor>
          </w:drawing>
        </mc:Choice>
        <mc:Fallback>
          <w:pict>
            <v:rect id="文本框 14" o:spid="_x0000_s1026" o:spt="1"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AwxGM6ywEAAJMDAAAOAAAAAAAAAAEAIAAAAB8BAABkcnMvZTJv&#10;RG9jLnhtbFBLBQYAAAAABgAGAFkBAABcBQAAAAA=&#10;">
              <v:fill on="f" focussize="0,0"/>
              <v:stroke on="f"/>
              <v:imagedata o:title=""/>
              <o:lock v:ext="edit" aspectratio="f"/>
              <v:textbox inset="0mm,0mm,0mm,0mm" style="mso-fit-shape-to-text:t;">
                <w:txbxContent>
                  <w:p w14:paraId="6B31A346">
                    <w:pPr>
                      <w:pStyle w:val="11"/>
                    </w:pPr>
                    <w:r>
                      <w:fldChar w:fldCharType="begin"/>
                    </w:r>
                    <w:r>
                      <w:instrText xml:space="preserve"> PAGE  \* MERGEFORMAT </w:instrText>
                    </w:r>
                    <w:r>
                      <w:fldChar w:fldCharType="separate"/>
                    </w:r>
                    <w:r>
                      <w:t>37</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64E87">
    <w:pPr>
      <w:pStyle w:val="12"/>
      <w:tabs>
        <w:tab w:val="left" w:pos="6240"/>
        <w:tab w:val="clear" w:pos="8306"/>
      </w:tabs>
      <w:rPr>
        <w:rFonts w:eastAsia="宋体"/>
        <w:szCs w:val="18"/>
        <w:u w:val="single"/>
      </w:rPr>
    </w:pPr>
    <w:r>
      <w:rPr>
        <w:rFonts w:hint="eastAsia" w:eastAsia="宋体"/>
        <w:szCs w:val="18"/>
        <w:u w:val="single"/>
      </w:rPr>
      <w:t xml:space="preserve">杭州市城市建设投资集团有限公司 </w:t>
    </w:r>
    <w:r>
      <w:rPr>
        <w:rFonts w:hint="eastAsia" w:eastAsia="宋体"/>
        <w:szCs w:val="18"/>
        <w:u w:val="single"/>
      </w:rPr>
      <w:tab/>
    </w:r>
    <w:r>
      <w:rPr>
        <w:rFonts w:hint="eastAsia" w:eastAsia="宋体"/>
        <w:szCs w:val="18"/>
        <w:u w:val="single"/>
      </w:rPr>
      <w:tab/>
    </w:r>
    <w:r>
      <w:rPr>
        <w:rFonts w:hint="eastAsia" w:eastAsia="宋体"/>
        <w:szCs w:val="18"/>
        <w:u w:val="single"/>
      </w:rPr>
      <w:tab/>
    </w:r>
    <w:r>
      <w:rPr>
        <w:rFonts w:hint="eastAsia" w:eastAsia="宋体"/>
        <w:szCs w:val="18"/>
        <w:u w:val="single"/>
      </w:rPr>
      <w:t>小额工程（施工）交易文件示范文本</w:t>
    </w:r>
  </w:p>
  <w:p w14:paraId="3F7D0C4E">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52E72">
    <w:pPr>
      <w:pStyle w:val="12"/>
      <w:tabs>
        <w:tab w:val="left" w:pos="6240"/>
        <w:tab w:val="clear" w:pos="8306"/>
      </w:tabs>
      <w:rPr>
        <w:rFonts w:eastAsia="宋体"/>
        <w:szCs w:val="18"/>
        <w:u w:val="single"/>
      </w:rPr>
    </w:pPr>
    <w:r>
      <w:rPr>
        <w:rFonts w:hint="eastAsia" w:eastAsia="宋体"/>
        <w:szCs w:val="18"/>
        <w:u w:val="single"/>
      </w:rPr>
      <w:t xml:space="preserve">杭州市城市建设投资集团有限公司 </w:t>
    </w:r>
    <w:r>
      <w:rPr>
        <w:rFonts w:hint="eastAsia" w:eastAsia="宋体"/>
        <w:szCs w:val="18"/>
        <w:u w:val="single"/>
      </w:rPr>
      <w:tab/>
    </w:r>
    <w:r>
      <w:rPr>
        <w:rFonts w:hint="eastAsia" w:eastAsia="宋体"/>
        <w:szCs w:val="18"/>
        <w:u w:val="single"/>
      </w:rPr>
      <w:tab/>
    </w:r>
    <w:r>
      <w:rPr>
        <w:rFonts w:hint="eastAsia" w:eastAsia="宋体"/>
        <w:szCs w:val="18"/>
        <w:u w:val="single"/>
      </w:rPr>
      <w:tab/>
    </w:r>
    <w:r>
      <w:rPr>
        <w:rFonts w:hint="eastAsia" w:eastAsia="宋体"/>
        <w:szCs w:val="18"/>
        <w:u w:val="single"/>
      </w:rPr>
      <w:t>小额工程（施工）交易文件示范文本</w:t>
    </w:r>
  </w:p>
  <w:p w14:paraId="721B2F72">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3C03B">
    <w:pPr>
      <w:pStyle w:val="12"/>
      <w:tabs>
        <w:tab w:val="left" w:pos="6240"/>
        <w:tab w:val="clear" w:pos="8306"/>
      </w:tabs>
      <w:rPr>
        <w:rFonts w:eastAsia="宋体"/>
        <w:szCs w:val="18"/>
        <w:u w:val="single"/>
      </w:rPr>
    </w:pPr>
    <w:r>
      <w:rPr>
        <w:rFonts w:hint="eastAsia" w:eastAsia="宋体"/>
        <w:szCs w:val="18"/>
        <w:u w:val="single"/>
      </w:rPr>
      <w:t xml:space="preserve">杭州市城市建设投资集团有限公司 </w:t>
    </w:r>
    <w:r>
      <w:rPr>
        <w:rFonts w:hint="eastAsia" w:eastAsia="宋体"/>
        <w:szCs w:val="18"/>
        <w:u w:val="single"/>
      </w:rPr>
      <w:tab/>
    </w:r>
    <w:r>
      <w:rPr>
        <w:rFonts w:hint="eastAsia" w:eastAsia="宋体"/>
        <w:szCs w:val="18"/>
        <w:u w:val="single"/>
      </w:rPr>
      <w:tab/>
    </w:r>
    <w:r>
      <w:rPr>
        <w:rFonts w:hint="eastAsia" w:eastAsia="宋体"/>
        <w:szCs w:val="18"/>
        <w:u w:val="single"/>
      </w:rPr>
      <w:tab/>
    </w:r>
    <w:r>
      <w:rPr>
        <w:rFonts w:hint="eastAsia" w:eastAsia="宋体"/>
        <w:szCs w:val="18"/>
        <w:u w:val="single"/>
      </w:rPr>
      <w:t>小额工程（施工）交易文件示范文本</w:t>
    </w:r>
  </w:p>
  <w:p w14:paraId="2D2331BB">
    <w:pPr>
      <w:pStyle w:val="12"/>
      <w:rPr>
        <w:rFonts w:eastAsia="宋体"/>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48D80">
    <w:pPr>
      <w:pStyle w:val="12"/>
      <w:tabs>
        <w:tab w:val="left" w:pos="6240"/>
        <w:tab w:val="clear" w:pos="8306"/>
      </w:tabs>
      <w:rPr>
        <w:rFonts w:eastAsia="宋体"/>
        <w:szCs w:val="18"/>
        <w:u w:val="single"/>
      </w:rPr>
    </w:pPr>
    <w:r>
      <w:rPr>
        <w:rFonts w:hint="eastAsia" w:eastAsia="宋体"/>
        <w:szCs w:val="18"/>
        <w:u w:val="single"/>
      </w:rPr>
      <w:t xml:space="preserve">杭州市城市建设投资集团有限公司 </w:t>
    </w:r>
    <w:r>
      <w:rPr>
        <w:rFonts w:hint="eastAsia" w:eastAsia="宋体"/>
        <w:szCs w:val="18"/>
        <w:u w:val="single"/>
      </w:rPr>
      <w:tab/>
    </w:r>
    <w:r>
      <w:rPr>
        <w:rFonts w:hint="eastAsia" w:eastAsia="宋体"/>
        <w:szCs w:val="18"/>
        <w:u w:val="single"/>
      </w:rPr>
      <w:tab/>
    </w:r>
    <w:r>
      <w:rPr>
        <w:rFonts w:hint="eastAsia" w:eastAsia="宋体"/>
        <w:szCs w:val="18"/>
        <w:u w:val="single"/>
      </w:rPr>
      <w:tab/>
    </w:r>
    <w:r>
      <w:rPr>
        <w:rFonts w:hint="eastAsia" w:eastAsia="宋体"/>
        <w:szCs w:val="18"/>
        <w:u w:val="single"/>
      </w:rPr>
      <w:t>小额工程（施工）交易文件示范文本</w:t>
    </w:r>
  </w:p>
  <w:p w14:paraId="40C4FEE0">
    <w:pPr>
      <w:pStyle w:val="12"/>
      <w:rPr>
        <w:rFonts w:eastAsia="宋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D3DA3">
    <w:pPr>
      <w:pStyle w:val="12"/>
      <w:tabs>
        <w:tab w:val="left" w:pos="6240"/>
        <w:tab w:val="clear" w:pos="8306"/>
      </w:tabs>
      <w:rPr>
        <w:rFonts w:eastAsia="宋体"/>
        <w:szCs w:val="18"/>
        <w:u w:val="single"/>
      </w:rPr>
    </w:pPr>
    <w:r>
      <w:rPr>
        <w:rFonts w:hint="eastAsia" w:eastAsia="宋体"/>
        <w:szCs w:val="18"/>
        <w:u w:val="single"/>
      </w:rPr>
      <w:t xml:space="preserve">杭州市城市建设投资集团有限公司 </w:t>
    </w:r>
    <w:r>
      <w:rPr>
        <w:rFonts w:hint="eastAsia" w:eastAsia="宋体"/>
        <w:szCs w:val="18"/>
        <w:u w:val="single"/>
      </w:rPr>
      <w:tab/>
    </w:r>
    <w:r>
      <w:rPr>
        <w:rFonts w:hint="eastAsia" w:eastAsia="宋体"/>
        <w:szCs w:val="18"/>
        <w:u w:val="single"/>
      </w:rPr>
      <w:tab/>
    </w:r>
    <w:r>
      <w:rPr>
        <w:rFonts w:hint="eastAsia" w:eastAsia="宋体"/>
        <w:szCs w:val="18"/>
        <w:u w:val="single"/>
      </w:rPr>
      <w:tab/>
    </w:r>
    <w:r>
      <w:rPr>
        <w:rFonts w:hint="eastAsia" w:eastAsia="宋体"/>
        <w:szCs w:val="18"/>
        <w:u w:val="single"/>
      </w:rPr>
      <w:t>小额工程（施工）交易文件示范文本</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E656B">
    <w:pPr>
      <w:pStyle w:val="12"/>
      <w:tabs>
        <w:tab w:val="left" w:pos="6240"/>
        <w:tab w:val="clear" w:pos="8306"/>
      </w:tabs>
      <w:rPr>
        <w:rFonts w:eastAsia="宋体"/>
        <w:szCs w:val="18"/>
        <w:u w:val="single"/>
      </w:rPr>
    </w:pPr>
    <w:r>
      <w:rPr>
        <w:rFonts w:hint="eastAsia" w:eastAsia="宋体"/>
        <w:szCs w:val="18"/>
        <w:u w:val="single"/>
      </w:rPr>
      <w:t xml:space="preserve">杭州市城市建设投资集团有限公司 </w:t>
    </w:r>
    <w:r>
      <w:rPr>
        <w:rFonts w:hint="eastAsia" w:eastAsia="宋体"/>
        <w:szCs w:val="18"/>
        <w:u w:val="single"/>
      </w:rPr>
      <w:tab/>
    </w:r>
    <w:r>
      <w:rPr>
        <w:rFonts w:hint="eastAsia" w:eastAsia="宋体"/>
        <w:szCs w:val="18"/>
        <w:u w:val="single"/>
      </w:rPr>
      <w:tab/>
    </w:r>
    <w:r>
      <w:rPr>
        <w:rFonts w:hint="eastAsia" w:eastAsia="宋体"/>
        <w:szCs w:val="18"/>
        <w:u w:val="single"/>
      </w:rPr>
      <w:tab/>
    </w:r>
    <w:r>
      <w:rPr>
        <w:rFonts w:hint="eastAsia" w:eastAsia="宋体"/>
        <w:szCs w:val="18"/>
        <w:u w:val="single"/>
      </w:rPr>
      <w:t>小额工程（施工）交易文件示范文本</w:t>
    </w:r>
  </w:p>
  <w:p w14:paraId="0E1F4FB2">
    <w:pPr>
      <w:pStyle w:val="12"/>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5C0BE">
    <w:pPr>
      <w:pStyle w:val="12"/>
      <w:tabs>
        <w:tab w:val="left" w:pos="6240"/>
        <w:tab w:val="clear" w:pos="8306"/>
      </w:tabs>
      <w:rPr>
        <w:rFonts w:eastAsia="宋体"/>
        <w:szCs w:val="18"/>
        <w:u w:val="single"/>
      </w:rPr>
    </w:pPr>
    <w:r>
      <w:rPr>
        <w:rFonts w:hint="eastAsia" w:eastAsia="宋体"/>
        <w:szCs w:val="18"/>
        <w:u w:val="single"/>
      </w:rPr>
      <w:t xml:space="preserve">杭州市城市建设投资集团有限公司 </w:t>
    </w:r>
    <w:r>
      <w:rPr>
        <w:rFonts w:hint="eastAsia" w:eastAsia="宋体"/>
        <w:szCs w:val="18"/>
        <w:u w:val="single"/>
      </w:rPr>
      <w:tab/>
    </w:r>
    <w:r>
      <w:rPr>
        <w:rFonts w:hint="eastAsia" w:eastAsia="宋体"/>
        <w:szCs w:val="18"/>
        <w:u w:val="single"/>
      </w:rPr>
      <w:tab/>
    </w:r>
    <w:r>
      <w:rPr>
        <w:rFonts w:hint="eastAsia" w:eastAsia="宋体"/>
        <w:szCs w:val="18"/>
        <w:u w:val="single"/>
      </w:rPr>
      <w:tab/>
    </w:r>
    <w:r>
      <w:rPr>
        <w:rFonts w:hint="eastAsia" w:eastAsia="宋体"/>
        <w:szCs w:val="18"/>
        <w:u w:val="single"/>
      </w:rPr>
      <w:t>小额工程（施工）交易文件示范文本</w:t>
    </w:r>
  </w:p>
  <w:p w14:paraId="1E0470B3">
    <w:pPr>
      <w:pStyle w:val="12"/>
      <w:pBdr>
        <w:bottom w:val="none" w:color="auto" w:sz="0" w:space="0"/>
      </w:pBdr>
      <w:tabs>
        <w:tab w:val="clear" w:pos="4153"/>
        <w:tab w:val="clear" w:pos="8306"/>
      </w:tabs>
      <w:jc w:val="right"/>
      <w:rPr>
        <w:rFonts w:ascii="仿宋_GB2312"/>
        <w:b/>
        <w:i/>
        <w:iCs/>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8467E">
    <w:pPr>
      <w:pStyle w:val="12"/>
      <w:tabs>
        <w:tab w:val="left" w:pos="6240"/>
        <w:tab w:val="clear" w:pos="8306"/>
      </w:tabs>
      <w:rPr>
        <w:rFonts w:eastAsia="宋体"/>
        <w:szCs w:val="18"/>
        <w:u w:val="single"/>
      </w:rPr>
    </w:pPr>
    <w:r>
      <w:rPr>
        <w:rFonts w:hint="eastAsia" w:eastAsia="宋体"/>
        <w:szCs w:val="18"/>
        <w:u w:val="single"/>
      </w:rPr>
      <w:t xml:space="preserve">杭州市城市建设投资集团有限公司 </w:t>
    </w:r>
    <w:r>
      <w:rPr>
        <w:rFonts w:hint="eastAsia" w:eastAsia="宋体"/>
        <w:szCs w:val="18"/>
        <w:u w:val="single"/>
      </w:rPr>
      <w:tab/>
    </w:r>
    <w:r>
      <w:rPr>
        <w:rFonts w:hint="eastAsia" w:eastAsia="宋体"/>
        <w:szCs w:val="18"/>
        <w:u w:val="single"/>
      </w:rPr>
      <w:tab/>
    </w:r>
    <w:r>
      <w:rPr>
        <w:rFonts w:hint="eastAsia" w:eastAsia="宋体"/>
        <w:szCs w:val="18"/>
        <w:u w:val="single"/>
      </w:rPr>
      <w:tab/>
    </w:r>
    <w:r>
      <w:rPr>
        <w:rFonts w:hint="eastAsia" w:eastAsia="宋体"/>
        <w:szCs w:val="18"/>
        <w:u w:val="single"/>
      </w:rPr>
      <w:t>小额工程（施工）交易文件示范文本</w:t>
    </w:r>
  </w:p>
  <w:p w14:paraId="7AB2F102">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D8E616"/>
    <w:multiLevelType w:val="singleLevel"/>
    <w:tmpl w:val="D8D8E616"/>
    <w:lvl w:ilvl="0" w:tentative="0">
      <w:start w:val="1"/>
      <w:numFmt w:val="decimalEnclosedCircleChinese"/>
      <w:suff w:val="nothing"/>
      <w:lvlText w:val="%1　"/>
      <w:lvlJc w:val="left"/>
      <w:pPr>
        <w:ind w:left="-391" w:firstLine="397"/>
      </w:pPr>
      <w:rPr>
        <w:rFonts w:hint="eastAsia"/>
      </w:r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3"/>
    <w:multiLevelType w:val="singleLevel"/>
    <w:tmpl w:val="00000003"/>
    <w:lvl w:ilvl="0" w:tentative="0">
      <w:start w:val="1"/>
      <w:numFmt w:val="decimal"/>
      <w:suff w:val="nothing"/>
      <w:lvlText w:val="(%1)"/>
      <w:lvlJc w:val="left"/>
      <w:pPr>
        <w:ind w:left="425" w:hanging="425"/>
      </w:pPr>
      <w:rPr>
        <w:rFonts w:hint="default"/>
      </w:rPr>
    </w:lvl>
  </w:abstractNum>
  <w:abstractNum w:abstractNumId="3">
    <w:nsid w:val="00000004"/>
    <w:multiLevelType w:val="singleLevel"/>
    <w:tmpl w:val="00000004"/>
    <w:lvl w:ilvl="0" w:tentative="0">
      <w:start w:val="1"/>
      <w:numFmt w:val="decimal"/>
      <w:suff w:val="space"/>
      <w:lvlText w:val="%1."/>
      <w:lvlJc w:val="left"/>
    </w:lvl>
  </w:abstractNum>
  <w:abstractNum w:abstractNumId="4">
    <w:nsid w:val="00000005"/>
    <w:multiLevelType w:val="singleLevel"/>
    <w:tmpl w:val="00000005"/>
    <w:lvl w:ilvl="0" w:tentative="0">
      <w:start w:val="1"/>
      <w:numFmt w:val="lowerLetter"/>
      <w:lvlText w:val="%1."/>
      <w:lvlJc w:val="left"/>
      <w:pPr>
        <w:ind w:left="425" w:hanging="425"/>
      </w:pPr>
      <w:rPr>
        <w:rFonts w:hint="default"/>
      </w:rPr>
    </w:lvl>
  </w:abstractNum>
  <w:abstractNum w:abstractNumId="5">
    <w:nsid w:val="00000006"/>
    <w:multiLevelType w:val="singleLevel"/>
    <w:tmpl w:val="00000006"/>
    <w:lvl w:ilvl="0" w:tentative="0">
      <w:start w:val="1"/>
      <w:numFmt w:val="decimal"/>
      <w:lvlText w:val="%1"/>
      <w:lvlJc w:val="left"/>
      <w:pPr>
        <w:tabs>
          <w:tab w:val="left" w:pos="420"/>
        </w:tabs>
        <w:ind w:left="665" w:hanging="425"/>
      </w:pPr>
      <w:rPr>
        <w:rFonts w:hint="default"/>
      </w:rPr>
    </w:lvl>
  </w:abstractNum>
  <w:abstractNum w:abstractNumId="6">
    <w:nsid w:val="00000007"/>
    <w:multiLevelType w:val="singleLevel"/>
    <w:tmpl w:val="00000007"/>
    <w:lvl w:ilvl="0" w:tentative="0">
      <w:start w:val="1"/>
      <w:numFmt w:val="decimalEnclosedCircleChinese"/>
      <w:suff w:val="nothing"/>
      <w:lvlText w:val="%1　"/>
      <w:lvlJc w:val="left"/>
      <w:pPr>
        <w:ind w:left="240" w:firstLine="397"/>
      </w:pPr>
      <w:rPr>
        <w:rFonts w:hint="eastAsia"/>
      </w:rPr>
    </w:lvl>
  </w:abstractNum>
  <w:abstractNum w:abstractNumId="7">
    <w:nsid w:val="00000008"/>
    <w:multiLevelType w:val="singleLevel"/>
    <w:tmpl w:val="00000008"/>
    <w:lvl w:ilvl="0" w:tentative="0">
      <w:start w:val="3"/>
      <w:numFmt w:val="decimal"/>
      <w:lvlText w:val="%1."/>
      <w:lvlJc w:val="left"/>
      <w:pPr>
        <w:tabs>
          <w:tab w:val="left" w:pos="312"/>
        </w:tabs>
      </w:pPr>
    </w:lvl>
  </w:abstractNum>
  <w:abstractNum w:abstractNumId="8">
    <w:nsid w:val="00000009"/>
    <w:multiLevelType w:val="singleLevel"/>
    <w:tmpl w:val="00000009"/>
    <w:lvl w:ilvl="0" w:tentative="0">
      <w:start w:val="1"/>
      <w:numFmt w:val="decimal"/>
      <w:suff w:val="nothing"/>
      <w:lvlText w:val="(%1)"/>
      <w:lvlJc w:val="left"/>
      <w:pPr>
        <w:ind w:left="-180"/>
      </w:pPr>
    </w:lvl>
  </w:abstractNum>
  <w:abstractNum w:abstractNumId="9">
    <w:nsid w:val="62704107"/>
    <w:multiLevelType w:val="singleLevel"/>
    <w:tmpl w:val="62704107"/>
    <w:lvl w:ilvl="0" w:tentative="0">
      <w:start w:val="2"/>
      <w:numFmt w:val="decimal"/>
      <w:suff w:val="nothing"/>
      <w:lvlText w:val="%1、"/>
      <w:lvlJc w:val="left"/>
    </w:lvl>
  </w:abstractNum>
  <w:abstractNum w:abstractNumId="10">
    <w:nsid w:val="79F86D8B"/>
    <w:multiLevelType w:val="singleLevel"/>
    <w:tmpl w:val="79F86D8B"/>
    <w:lvl w:ilvl="0" w:tentative="0">
      <w:start w:val="1"/>
      <w:numFmt w:val="chineseCounting"/>
      <w:suff w:val="nothing"/>
      <w:lvlText w:val="（%1）"/>
      <w:lvlJc w:val="left"/>
      <w:pPr>
        <w:ind w:left="0" w:firstLine="420"/>
      </w:pPr>
      <w:rPr>
        <w:rFonts w:hint="eastAsia"/>
      </w:rPr>
    </w:lvl>
  </w:abstractNum>
  <w:num w:numId="1">
    <w:abstractNumId w:val="7"/>
  </w:num>
  <w:num w:numId="2">
    <w:abstractNumId w:val="5"/>
  </w:num>
  <w:num w:numId="3">
    <w:abstractNumId w:val="1"/>
  </w:num>
  <w:num w:numId="4">
    <w:abstractNumId w:val="6"/>
  </w:num>
  <w:num w:numId="5">
    <w:abstractNumId w:val="0"/>
  </w:num>
  <w:num w:numId="6">
    <w:abstractNumId w:val="3"/>
  </w:num>
  <w:num w:numId="7">
    <w:abstractNumId w:val="8"/>
  </w:num>
  <w:num w:numId="8">
    <w:abstractNumId w:val="4"/>
  </w:num>
  <w:num w:numId="9">
    <w:abstractNumId w:val="2"/>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9B0889"/>
    <w:rsid w:val="079B0889"/>
    <w:rsid w:val="0EF10390"/>
    <w:rsid w:val="17271745"/>
    <w:rsid w:val="33AE3C30"/>
    <w:rsid w:val="54A10BC6"/>
    <w:rsid w:val="586D3364"/>
    <w:rsid w:val="5A4B255D"/>
    <w:rsid w:val="5CBF2236"/>
    <w:rsid w:val="67166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新宋体" w:cs="Arial"/>
      <w:snapToGrid w:val="0"/>
      <w:color w:val="000000"/>
      <w:sz w:val="24"/>
      <w:szCs w:val="21"/>
      <w:lang w:val="en-US" w:eastAsia="zh-CN" w:bidi="ar-SA"/>
    </w:rPr>
  </w:style>
  <w:style w:type="paragraph" w:styleId="2">
    <w:name w:val="heading 1"/>
    <w:basedOn w:val="1"/>
    <w:next w:val="1"/>
    <w:qFormat/>
    <w:uiPriority w:val="9"/>
    <w:pPr>
      <w:keepNext/>
      <w:keepLines/>
      <w:tabs>
        <w:tab w:val="left" w:pos="432"/>
      </w:tabs>
      <w:snapToGrid/>
      <w:ind w:left="431" w:hanging="431"/>
      <w:jc w:val="center"/>
      <w:outlineLvl w:val="0"/>
    </w:pPr>
    <w:rPr>
      <w:rFonts w:eastAsia="黑体"/>
      <w:b/>
      <w:bCs/>
      <w:kern w:val="44"/>
      <w:sz w:val="44"/>
      <w:szCs w:val="44"/>
    </w:rPr>
  </w:style>
  <w:style w:type="paragraph" w:styleId="3">
    <w:name w:val="heading 2"/>
    <w:basedOn w:val="1"/>
    <w:next w:val="1"/>
    <w:qFormat/>
    <w:uiPriority w:val="0"/>
    <w:pPr>
      <w:keepNext/>
      <w:keepLines/>
      <w:snapToGrid/>
      <w:jc w:val="center"/>
      <w:outlineLvl w:val="1"/>
    </w:pPr>
    <w:rPr>
      <w:rFonts w:eastAsia="黑体"/>
      <w:b/>
      <w:bCs/>
      <w:sz w:val="32"/>
      <w:szCs w:val="32"/>
    </w:rPr>
  </w:style>
  <w:style w:type="paragraph" w:styleId="4">
    <w:name w:val="heading 3"/>
    <w:basedOn w:val="1"/>
    <w:next w:val="1"/>
    <w:qFormat/>
    <w:uiPriority w:val="0"/>
    <w:pPr>
      <w:keepNext/>
      <w:keepLines/>
      <w:snapToGrid/>
      <w:outlineLvl w:val="2"/>
    </w:pPr>
    <w:rPr>
      <w:rFonts w:eastAsia="宋体"/>
      <w:b/>
    </w:rPr>
  </w:style>
  <w:style w:type="paragraph" w:styleId="5">
    <w:name w:val="heading 4"/>
    <w:basedOn w:val="1"/>
    <w:next w:val="1"/>
    <w:qFormat/>
    <w:uiPriority w:val="0"/>
    <w:pPr>
      <w:keepNext/>
      <w:keepLines/>
      <w:tabs>
        <w:tab w:val="left" w:pos="864"/>
      </w:tabs>
      <w:snapToGrid/>
      <w:ind w:left="100" w:leftChars="100" w:hanging="862"/>
      <w:outlineLvl w:val="3"/>
    </w:pPr>
    <w:rPr>
      <w:rFonts w:eastAsia="宋体"/>
      <w:b/>
      <w:bCs/>
      <w:szCs w:val="28"/>
      <w:lang w:val="zh-CN"/>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Body Text"/>
    <w:basedOn w:val="1"/>
    <w:next w:val="8"/>
    <w:qFormat/>
    <w:uiPriority w:val="0"/>
    <w:pPr>
      <w:ind w:left="520"/>
    </w:pPr>
    <w:rPr>
      <w:rFonts w:ascii="Times New Roman" w:hAnsi="Times New Roman"/>
    </w:rPr>
  </w:style>
  <w:style w:type="paragraph" w:styleId="8">
    <w:name w:val="Body Text First Indent"/>
    <w:basedOn w:val="7"/>
    <w:next w:val="7"/>
    <w:qFormat/>
    <w:uiPriority w:val="99"/>
    <w:pPr>
      <w:ind w:firstLine="420" w:firstLineChars="100"/>
    </w:pPr>
    <w:rPr>
      <w:szCs w:val="20"/>
    </w:rPr>
  </w:style>
  <w:style w:type="paragraph" w:styleId="9">
    <w:name w:val="Plain Text"/>
    <w:basedOn w:val="1"/>
    <w:qFormat/>
    <w:uiPriority w:val="0"/>
    <w:rPr>
      <w:rFonts w:ascii="宋体" w:hAnsi="Courier New" w:cs="Courier New"/>
    </w:rPr>
  </w:style>
  <w:style w:type="paragraph" w:styleId="10">
    <w:name w:val="endnote text"/>
    <w:basedOn w:val="1"/>
    <w:qFormat/>
    <w:uiPriority w:val="99"/>
  </w:style>
  <w:style w:type="paragraph" w:styleId="11">
    <w:name w:val="footer"/>
    <w:basedOn w:val="1"/>
    <w:qFormat/>
    <w:uiPriority w:val="0"/>
    <w:pPr>
      <w:tabs>
        <w:tab w:val="center" w:pos="4153"/>
        <w:tab w:val="right" w:pos="8306"/>
      </w:tabs>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3">
    <w:name w:val="toc 1"/>
    <w:basedOn w:val="1"/>
    <w:next w:val="1"/>
    <w:qFormat/>
    <w:uiPriority w:val="39"/>
    <w:pPr>
      <w:autoSpaceDE/>
      <w:autoSpaceDN/>
      <w:adjustRightInd/>
      <w:spacing w:after="100" w:line="259" w:lineRule="auto"/>
    </w:pPr>
    <w:rPr>
      <w:rFonts w:ascii="等线" w:hAnsi="等线" w:eastAsia="等线"/>
      <w:sz w:val="22"/>
      <w:szCs w:val="22"/>
    </w:rPr>
  </w:style>
  <w:style w:type="paragraph" w:styleId="14">
    <w:name w:val="footnote text"/>
    <w:basedOn w:val="1"/>
    <w:qFormat/>
    <w:uiPriority w:val="99"/>
    <w:rPr>
      <w:sz w:val="18"/>
      <w:szCs w:val="18"/>
    </w:rPr>
  </w:style>
  <w:style w:type="paragraph" w:styleId="15">
    <w:name w:val="Normal (Web)"/>
    <w:basedOn w:val="1"/>
    <w:qFormat/>
    <w:uiPriority w:val="0"/>
    <w:pPr>
      <w:spacing w:beforeAutospacing="1" w:afterAutospacing="1"/>
    </w:pPr>
    <w:rPr>
      <w:rFonts w:cs="Times New Roman"/>
    </w:rPr>
  </w:style>
  <w:style w:type="character" w:styleId="18">
    <w:name w:val="Hyperlink"/>
    <w:basedOn w:val="17"/>
    <w:qFormat/>
    <w:uiPriority w:val="0"/>
    <w:rPr>
      <w:color w:val="0000FF"/>
      <w:u w:val="single"/>
    </w:rPr>
  </w:style>
  <w:style w:type="paragraph" w:styleId="19">
    <w:name w:val="List Paragraph"/>
    <w:basedOn w:val="1"/>
    <w:qFormat/>
    <w:uiPriority w:val="0"/>
  </w:style>
  <w:style w:type="paragraph" w:customStyle="1" w:styleId="20">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21">
    <w:name w:val="p0"/>
    <w:basedOn w:val="1"/>
    <w:qFormat/>
    <w:uiPriority w:val="0"/>
    <w:pPr>
      <w:spacing w:before="100" w:beforeAutospacing="1" w:after="100" w:afterAutospacing="1"/>
    </w:pPr>
    <w:rPr>
      <w:rFonts w:ascii="宋体" w:hAnsi="宋体" w:cs="宋体"/>
    </w:rPr>
  </w:style>
  <w:style w:type="table" w:customStyle="1" w:styleId="22">
    <w:name w:val="Table Normal"/>
    <w:qFormat/>
    <w:uiPriority w:val="0"/>
    <w:tblPr>
      <w:tblCellMar>
        <w:top w:w="0" w:type="dxa"/>
        <w:left w:w="0" w:type="dxa"/>
        <w:bottom w:w="0" w:type="dxa"/>
        <w:right w:w="0" w:type="dxa"/>
      </w:tblCellMar>
    </w:tblPr>
  </w:style>
  <w:style w:type="paragraph" w:customStyle="1" w:styleId="23">
    <w:name w:val="Table Paragraph"/>
    <w:basedOn w:val="1"/>
    <w:qFormat/>
    <w:uiPriority w:val="1"/>
  </w:style>
  <w:style w:type="paragraph" w:customStyle="1" w:styleId="24">
    <w:name w:val="正文，首行缩进:"/>
    <w:basedOn w:val="1"/>
    <w:qFormat/>
    <w:uiPriority w:val="0"/>
    <w:pPr>
      <w:tabs>
        <w:tab w:val="left" w:pos="3376"/>
      </w:tabs>
      <w:spacing w:line="460" w:lineRule="exact"/>
      <w:ind w:firstLine="480" w:firstLineChars="200"/>
    </w:pPr>
    <w:rPr>
      <w:rFonts w:ascii="宋体" w:hAnsi="宋体" w:cs="宋体"/>
      <w:szCs w:val="20"/>
    </w:rPr>
  </w:style>
  <w:style w:type="paragraph" w:customStyle="1" w:styleId="25">
    <w:name w:val="Table Text"/>
    <w:basedOn w:val="1"/>
    <w:qFormat/>
    <w:uiPriority w:val="0"/>
    <w:rPr>
      <w:rFonts w:ascii="宋体" w:hAnsi="宋体" w:eastAsia="宋体" w:cs="宋体"/>
      <w:sz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0" Type="http://schemas.openxmlformats.org/officeDocument/2006/relationships/fontTable" Target="fontTable.xml"/><Relationship Id="rId4" Type="http://schemas.openxmlformats.org/officeDocument/2006/relationships/header" Target="header2.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2.png"/><Relationship Id="rId36" Type="http://schemas.openxmlformats.org/officeDocument/2006/relationships/image" Target="media/image1.png"/><Relationship Id="rId35" Type="http://schemas.openxmlformats.org/officeDocument/2006/relationships/theme" Target="theme/theme1.xml"/><Relationship Id="rId34" Type="http://schemas.openxmlformats.org/officeDocument/2006/relationships/footer" Target="footer24.xml"/><Relationship Id="rId33" Type="http://schemas.openxmlformats.org/officeDocument/2006/relationships/footer" Target="footer23.xml"/><Relationship Id="rId32" Type="http://schemas.openxmlformats.org/officeDocument/2006/relationships/footer" Target="footer22.xml"/><Relationship Id="rId31" Type="http://schemas.openxmlformats.org/officeDocument/2006/relationships/footer" Target="footer21.xml"/><Relationship Id="rId30" Type="http://schemas.openxmlformats.org/officeDocument/2006/relationships/footer" Target="footer20.xml"/><Relationship Id="rId3" Type="http://schemas.openxmlformats.org/officeDocument/2006/relationships/header" Target="header1.xml"/><Relationship Id="rId29" Type="http://schemas.openxmlformats.org/officeDocument/2006/relationships/header" Target="header8.xml"/><Relationship Id="rId28" Type="http://schemas.openxmlformats.org/officeDocument/2006/relationships/header" Target="header7.xml"/><Relationship Id="rId27" Type="http://schemas.openxmlformats.org/officeDocument/2006/relationships/footer" Target="footer19.xml"/><Relationship Id="rId26" Type="http://schemas.openxmlformats.org/officeDocument/2006/relationships/footer" Target="footer18.xml"/><Relationship Id="rId25" Type="http://schemas.openxmlformats.org/officeDocument/2006/relationships/footer" Target="footer17.xml"/><Relationship Id="rId24" Type="http://schemas.openxmlformats.org/officeDocument/2006/relationships/footer" Target="footer16.xml"/><Relationship Id="rId23" Type="http://schemas.openxmlformats.org/officeDocument/2006/relationships/footer" Target="footer15.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6508</Words>
  <Characters>7216</Characters>
  <Lines>0</Lines>
  <Paragraphs>0</Paragraphs>
  <TotalTime>39</TotalTime>
  <ScaleCrop>false</ScaleCrop>
  <LinksUpToDate>false</LinksUpToDate>
  <CharactersWithSpaces>7527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2026-04-03T03:31:00Z</dcterms:created>
  <dc:creator>Administrator</dc:creator>
  <cp:lastModifiedBy>张启明</cp:lastModifiedBy>
  <dcterms:modified xsi:type="dcterms:W3CDTF">2026-04-08T06:42:44Z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B673C33916374912BE7654E08579D93E_13</vt:lpwstr>
  </property>
  <property fmtid="{D5CDD505-2E9C-101B-9397-08002B2CF9AE}" pid="4" name="KSOTemplateDocerSaveRecord">
    <vt:lpwstr>eyJoZGlkIjoiNDFkOTEyYTVkMzVkOWM1MjQ2OWE1NWJjOTJmMzliNTUiLCJ1c2VySWQiOiIxMjQ5MTYzMDc1In0=</vt:lpwstr>
  </property>
</Properties>
</file>